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Vận hành hệ thống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05/2026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PVH</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25</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08</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phê duyệt chủ trương triển khai chương trình tuân thủ pháp luật về an ninh mạng</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330/2026/NĐ-CP ngày 19 tháng 8 năm 2026 của Chính phủ quy định xử phạt vi phạm hành chính trong lĩnh vực an ninh mạng và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chủ trương triển khai chương trình tuân thủ pháp luật về an ninh mạng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trong Tờ trình: Luật 116 là Luật An ninh mạng số 116/2025/QH15; NĐ 330, NĐ 331, NĐ 333 là các Nghị định số 330/2026/NĐ-CP, 331/2026/NĐ-CP, 333/2026/NĐ-CP; HTTT là hệ thống thông tin; ANM là an ninh mạng. Cách ghi "Đ31.1.a" nghĩa là điểm a khoản 1 Điều 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116 có hiệu lực từ ngày 01/7/2026 (Luật 116 Đ44.1). Các Nghị định hướng dẫn và xử phạt có hiệu lực từ ngày 19/8/2026 (NĐ 331 Đ38; NĐ 330 Đ80). Nhiệm vụ bảo vệ ANM đối với HTTT gồm: xác định cấp độ; đánh giá, quản lý rủi ro; đôn đốc, giám sát, kiểm tra; triển khai biện pháp bảo vệ; báo cáo; tuyên truyền, nâng cao nhận thức (Luật 116 Đ10.1).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NĐ 331 áp dụng đối với HTTT phục vụ hoạt động của cơ quan, tổ chức nhà nước và HTTT cung cấp dịch vụ trực tuyến phục vụ người dân, doanh nghiệp; các tổ chức khác được khuyến khích áp dụng (NĐ 331 Đ2).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đang vận hành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 HTTT, trong đó có HTTT cung cấp dịch vụ trực tuyến là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nên thuộc đối tượng áp dụng.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Các nghĩa vụ chính của chủ quản HTTT: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5539"/>
        <w:gridCol w:w="2771"/>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55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Nghĩa vụ</w:t>
            </w:r>
          </w:p>
        </w:tc>
        <w:tc>
          <w:tcPr>
            <w:tcW w:type="dxa" w:w="27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55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đứng đầu trực tiếp chỉ đạo và chịu trách nhiệm trước pháp luật về công tác bảo vệ ANM của tổ chức</w:t>
            </w:r>
          </w:p>
        </w:tc>
        <w:tc>
          <w:tcPr>
            <w:tcW w:type="dxa" w:w="27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Đ31.1.a</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55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Bố trí bộ phận hoặc nhân sự chuyên trách ANM phù hợp với cấp độ của hệ thống</w:t>
            </w:r>
          </w:p>
        </w:tc>
        <w:tc>
          <w:tcPr>
            <w:tcW w:type="dxa" w:w="27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Đ31.1.b–c</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55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đạo lập hồ sơ đề xuất cấp độ; tổ chức thẩm định, phê duyệt</w:t>
            </w:r>
          </w:p>
        </w:tc>
        <w:tc>
          <w:tcPr>
            <w:tcW w:type="dxa" w:w="27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Đ31.2.a; Đ18, Đ20</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55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Ban hành Quy chế bảo đảm ANM </w:t>
            </w:r>
            <w:r>
              <w:rPr>
                <w:rFonts w:ascii="Times New Roman" w:cs="Times New Roman" w:eastAsia="Times New Roman" w:hAnsi="Times New Roman"/>
                <w:b/>
                <w:bCs/>
                <w:i w:val="false"/>
                <w:iCs w:val="false"/>
                <w:sz w:val="24"/>
                <w:szCs w:val="24"/>
              </w:rPr>
              <w:t xml:space="preserve">trước khi</w:t>
            </w:r>
            <w:r>
              <w:rPr>
                <w:rFonts w:ascii="Times New Roman" w:cs="Times New Roman" w:eastAsia="Times New Roman" w:hAnsi="Times New Roman"/>
                <w:b w:val="false"/>
                <w:bCs w:val="false"/>
                <w:i w:val="false"/>
                <w:iCs w:val="false"/>
                <w:sz w:val="24"/>
                <w:szCs w:val="24"/>
              </w:rPr>
              <w:t xml:space="preserve"> hồ sơ đề xuất cấp độ được phê duyệt</w:t>
            </w:r>
          </w:p>
        </w:tc>
        <w:tc>
          <w:tcPr>
            <w:tcW w:type="dxa" w:w="27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Đ30.7</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55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Triển khai đầy đủ phương án bảo đảm ANM đã phê duyệt trước khi đưa HTTT xây mới, nâng cấp vào vận hành</w:t>
            </w:r>
          </w:p>
        </w:tc>
        <w:tc>
          <w:tcPr>
            <w:tcW w:type="dxa" w:w="27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55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kiểm tra, đánh giá ANM và quản lý rủi ro; chịu trách nhiệm về tính trung thực của kết quả</w:t>
            </w:r>
          </w:p>
        </w:tc>
        <w:tc>
          <w:tcPr>
            <w:tcW w:type="dxa" w:w="27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Đ31.2.c</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55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sự cố: thông báo ban đầu sự cố nghiêm trọng trong 24 giờ; báo cáo trong 72 giờ</w:t>
            </w:r>
          </w:p>
        </w:tc>
        <w:tc>
          <w:tcPr>
            <w:tcW w:type="dxa" w:w="27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Đ31.2.d</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8</w:t>
            </w:r>
          </w:p>
        </w:tc>
        <w:tc>
          <w:tcPr>
            <w:tcW w:type="dxa" w:w="55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Đào tạo, tuyên truyền, diễn tập ANM</w:t>
            </w:r>
          </w:p>
        </w:tc>
        <w:tc>
          <w:tcPr>
            <w:tcW w:type="dxa" w:w="27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Đ31.3</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9</w:t>
            </w:r>
          </w:p>
        </w:tc>
        <w:tc>
          <w:tcPr>
            <w:tcW w:type="dxa" w:w="55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định kỳ hằng năm: nội bộ trước 20/12, gửi Bộ Công an trước 25/12</w:t>
            </w:r>
          </w:p>
        </w:tc>
        <w:tc>
          <w:tcPr>
            <w:tcW w:type="dxa" w:w="27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Đ35.4</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10</w:t>
            </w:r>
          </w:p>
        </w:tc>
        <w:tc>
          <w:tcPr>
            <w:tcW w:type="dxa" w:w="55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bảo đảm kinh phí bảo vệ ANM (tổ chức ngoài khu vực nhà nước)</w:t>
            </w:r>
          </w:p>
        </w:tc>
        <w:tc>
          <w:tcPr>
            <w:tcW w:type="dxa" w:w="27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Đ38.2</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Các mốc thời gian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709"/>
        <w:gridCol w:w="2747"/>
        <w:gridCol w:w="1532"/>
        <w:gridCol w:w="3037"/>
      </w:tblGrid>
      <w:tr>
        <w:trPr>
          <w:cantSplit/>
          <w:tblHeader/>
        </w:trPr>
        <w:tc>
          <w:tcPr>
            <w:tcW w:type="dxa" w:w="170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Mốc</w:t>
            </w:r>
          </w:p>
        </w:tc>
        <w:tc>
          <w:tcPr>
            <w:tcW w:type="dxa" w:w="27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5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30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Áp dụng với </w:t>
            </w:r>
            <w:r>
              <w:rPr>
                <w:rFonts w:ascii="Times New Roman" w:cs="Times New Roman" w:eastAsia="Times New Roman" w:hAnsi="Times New Roman"/>
                <w:b/>
                <w:bCs/>
                <w:i w:val="false"/>
                <w:iCs w:val="false"/>
                <w:sz w:val="22"/>
                <w:szCs w:val="22"/>
                <w:highlight w:val="yellow"/>
              </w:rPr>
              <w:t xml:space="preserve">Công ty cổ phần Giải pháp Công nghệ TURBO</w:t>
            </w:r>
          </w:p>
        </w:tc>
      </w:tr>
      <w:tr>
        <w:trPr>
          <w:cantSplit/>
          <w:tblHeader w:val="false"/>
        </w:trPr>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01/7/2026</w:t>
            </w:r>
          </w:p>
        </w:tc>
        <w:tc>
          <w:tcPr>
            <w:tcW w:type="dxa" w:w="2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có hiệu lực</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Đ44.1</w:t>
            </w:r>
          </w:p>
        </w:tc>
        <w:tc>
          <w:tcPr>
            <w:tcW w:type="dxa" w:w="3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hiệu lực</w:t>
            </w:r>
          </w:p>
        </w:tc>
      </w:tr>
      <w:tr>
        <w:trPr>
          <w:cantSplit/>
          <w:tblHeader w:val="false"/>
        </w:trPr>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19/8/2026</w:t>
            </w:r>
          </w:p>
        </w:tc>
        <w:tc>
          <w:tcPr>
            <w:tcW w:type="dxa" w:w="2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NĐ 331, NĐ 333 có hiệu lực; mức phạt mới áp dụng</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Đ38; NĐ 330 Đ80</w:t>
            </w:r>
          </w:p>
        </w:tc>
        <w:tc>
          <w:tcPr>
            <w:tcW w:type="dxa" w:w="3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hiệu lực</w:t>
            </w:r>
          </w:p>
        </w:tc>
      </w:tr>
      <w:tr>
        <w:trPr>
          <w:cantSplit/>
          <w:tblHeader w:val="false"/>
        </w:trPr>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25/12 hằng năm</w:t>
            </w:r>
          </w:p>
        </w:tc>
        <w:tc>
          <w:tcPr>
            <w:tcW w:type="dxa" w:w="2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Gửi báo cáo năm cho Bộ Công an (số liệu từ 15/12 năm trước đến 14/12)</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Đ35.3, Đ35.4.b</w:t>
            </w:r>
          </w:p>
        </w:tc>
        <w:tc>
          <w:tcPr>
            <w:tcW w:type="dxa" w:w="3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Kỳ đầu: </w:t>
            </w:r>
            <w:r>
              <w:rPr>
                <w:rFonts w:ascii="Times New Roman" w:cs="Times New Roman" w:eastAsia="Times New Roman" w:hAnsi="Times New Roman"/>
                <w:b w:val="false"/>
                <w:bCs w:val="false"/>
                <w:i w:val="false"/>
                <w:iCs w:val="false"/>
                <w:sz w:val="22"/>
                <w:szCs w:val="22"/>
                <w:highlight w:val="yellow"/>
              </w:rPr>
              <w:t xml:space="preserve">25/12/2026</w:t>
            </w:r>
          </w:p>
        </w:tc>
      </w:tr>
      <w:tr>
        <w:trPr>
          <w:cantSplit/>
          <w:tblHeader w:val="false"/>
        </w:trPr>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06 tháng kể từ 01/7/2026</w:t>
            </w:r>
          </w:p>
        </w:tc>
        <w:tc>
          <w:tcPr>
            <w:tcW w:type="dxa" w:w="2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HTTT đang đầu tư, xây dựng trước 01/7/2026: hoàn thành thẩm định, phê duyệt cấp độ theo NĐ 85/2016</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Đ39.1</w:t>
            </w:r>
          </w:p>
        </w:tc>
        <w:tc>
          <w:tcPr>
            <w:tcW w:type="dxa" w:w="3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Không thuộc diện (CRM Online đã vận hành)</w:t>
            </w:r>
          </w:p>
        </w:tc>
      </w:tr>
      <w:tr>
        <w:trPr>
          <w:cantSplit/>
          <w:tblHeader w:val="false"/>
        </w:trPr>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12 tháng kể từ 01/7/2026</w:t>
            </w:r>
          </w:p>
        </w:tc>
        <w:tc>
          <w:tcPr>
            <w:tcW w:type="dxa" w:w="2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HTTT đã xác định cấp độ theo Luật 86/2015, hoặc đang đầu tư trước 01/7/2026: phải đáp ứng điều kiện, biện pháp bảo vệ ANM tương ứng cấp độ</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Đ45.1; NĐ 331 Đ39.1</w:t>
            </w:r>
          </w:p>
        </w:tc>
        <w:tc>
          <w:tcPr>
            <w:tcW w:type="dxa" w:w="3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Không thuộc diện (chưa xác định cấp độ theo Luật 86/2015)</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HTTT đang vận hành nhưng chưa từng được xác định cấp độ không thuộc hai trường hợp chuyển tiếp nêu trên, nên nghĩa vụ xác định cấp độ áp dụng ngay từ ngày 19/8/2026.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Hiện trạng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5646"/>
        <w:gridCol w:w="2664"/>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56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266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Hiện trạng tại </w:t>
            </w:r>
            <w:r>
              <w:rPr>
                <w:rFonts w:ascii="Times New Roman" w:cs="Times New Roman" w:eastAsia="Times New Roman" w:hAnsi="Times New Roman"/>
                <w:b/>
                <w:bCs/>
                <w:i w:val="false"/>
                <w:iCs w:val="false"/>
                <w:sz w:val="24"/>
                <w:szCs w:val="24"/>
                <w:highlight w:val="yellow"/>
              </w:rPr>
              <w:t xml:space="preserve">Công ty cổ phần Giải pháp Công nghệ TURBO</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Văn bản xác định chủ quản, đơn vị chuyên trách ANM, đơn vị vận hành</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Có một phần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mục HTTT và cấp độ đề xuất</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Đang làm</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chế bảo đảm ANM</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Có một phần (quy định năm 2022)</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Hồ sơ đề xuất cấp độ đã được phê duyệt</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đánh giá ANM gần nhất</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ứng phó, báo cáo sự cố</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Có một phần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56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Đào tạo, diễn tập trong năm</w:t>
            </w:r>
          </w:p>
        </w:tc>
        <w:tc>
          <w:tcPr>
            <w:tcW w:type="dxa" w:w="26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Rủi ro nếu không thực hiện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Theo NĐ 330, mức phạt ghi trong các điều về ANM là mức cho cá nhân; tổ chức vi phạm bị phạt </w:t>
      </w:r>
      <w:r>
        <w:rPr>
          <w:rFonts w:ascii="Times New Roman" w:cs="Times New Roman" w:eastAsia="Times New Roman" w:hAnsi="Times New Roman"/>
          <w:b/>
          <w:bCs/>
          <w:i w:val="false"/>
          <w:iCs w:val="false"/>
          <w:sz w:val="26"/>
          <w:szCs w:val="26"/>
        </w:rPr>
        <w:t xml:space="preserve">gấp hai lần</w:t>
      </w:r>
      <w:r>
        <w:rPr>
          <w:rFonts w:ascii="Times New Roman" w:cs="Times New Roman" w:eastAsia="Times New Roman" w:hAnsi="Times New Roman"/>
          <w:b w:val="false"/>
          <w:bCs w:val="false"/>
          <w:i w:val="false"/>
          <w:iCs w:val="false"/>
          <w:sz w:val="26"/>
          <w:szCs w:val="26"/>
        </w:rPr>
        <w:t xml:space="preserve"> (NĐ 330 Đ7.1). Mức tối đa trong lĩnh vực ANM là 200 triệu đồng đối với tổ chức (NĐ 330 Đ7.3). Các mức dưới đây là mức áp dụng cho tổ chức: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060"/>
        <w:gridCol w:w="2180"/>
        <w:gridCol w:w="1785"/>
      </w:tblGrid>
      <w:tr>
        <w:trPr>
          <w:cantSplit/>
          <w:tblHeader/>
        </w:trPr>
        <w:tc>
          <w:tcPr>
            <w:tcW w:type="dxa" w:w="50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Hành vi vi phạm</w:t>
            </w:r>
          </w:p>
        </w:tc>
        <w:tc>
          <w:tcPr>
            <w:tcW w:type="dxa" w:w="21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17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Mức phạt tổ chức (đồng)</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ban hành quy định về bảo đảm ANM trong thiết kế, xây dựng, quản lý, vận hành, sử dụng, nâng cấp, hủy bỏ HTTT</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Đ23.1.a</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xây dựng hồ sơ đề xuất cấp độ đối với HTTT cấp 3 đến cấp 5</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Đ23.1.b</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Đưa HTTT cấp 3 đến cấp 5 vào vận hành khi chưa được phê duyệt cấp độ</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Đ23.1.c</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triển khai đầy đủ biện pháp như hồ sơ đã phê duyệt (cấp 3 đến cấp 5)</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Đ23.1.d</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lập hồ sơ đề xuất cấp độ hoặc không tổ chức thẩm định, phê duyệt</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Đ24.1</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kiểm tra, giám sát tuân thủ, lưu trữ nhật ký hệ thống hoặc không đánh giá hiệu quả biện pháp</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Đ23.2.a</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tổ chức thực thi, đôn đốc, kiểm tra, giám sát công tác bảo đảm ANM</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Đ23.2.c</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báo cáo lực lượng chuyên trách khi phát hiện sự cố</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Đ21.2.a</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xây dựng Kế hoạch ứng phó sự cố; không thành lập hoặc chỉ định đơn vị chuyên trách ứng cứu sự cố, Đội ứng cứu sự cố</w:t>
            </w:r>
          </w:p>
        </w:tc>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Đ21.3.b, d</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Ngoài tiền phạt, tổ chức có thể bị áp dụng biện pháp khắc phục hậu quả, như buộc khôi phục tình trạng ban đầu của HTTT, buộc khắc phục tình trạng mất ANM, buộc loại bỏ yếu tố vi phạm (NĐ 330 Đ23.4, Đ24.4). Chủ quản HTTT và đơn vị vận hành HTTT đều là đối tượng bị xử phạt (NĐ 330 Đ2.2.k). Người đứng đầu chủ quản chịu trách nhiệm trước pháp luật về công tác bảo vệ ANM (NĐ 331 Đ31.1.a).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Mục tiêu:</w:t>
      </w:r>
      <w:r>
        <w:rPr>
          <w:rFonts w:ascii="Times New Roman" w:cs="Times New Roman" w:eastAsia="Times New Roman" w:hAnsi="Times New Roman"/>
          <w:b w:val="false"/>
          <w:bCs w:val="false"/>
          <w:i w:val="false"/>
          <w:iCs w:val="false"/>
          <w:sz w:val="26"/>
          <w:szCs w:val="26"/>
        </w:rPr>
        <w:t xml:space="preserve"> hoàn thành xác định cấp độ, ban hành Quy chế và phê duyệt hồ sơ đề xuất cấp độ cho toàn bộ HTTT trước </w:t>
      </w:r>
      <w:r>
        <w:rPr>
          <w:rFonts w:ascii="Times New Roman" w:cs="Times New Roman" w:eastAsia="Times New Roman" w:hAnsi="Times New Roman"/>
          <w:b w:val="false"/>
          <w:bCs w:val="false"/>
          <w:i w:val="false"/>
          <w:iCs w:val="false"/>
          <w:sz w:val="26"/>
          <w:szCs w:val="26"/>
          <w:highlight w:val="yellow"/>
        </w:rPr>
        <w:t xml:space="preserve">31/10/2026</w:t>
      </w:r>
      <w:r>
        <w:rPr>
          <w:rFonts w:ascii="Times New Roman" w:cs="Times New Roman" w:eastAsia="Times New Roman" w:hAnsi="Times New Roman"/>
          <w:b w:val="false"/>
          <w:bCs w:val="false"/>
          <w:i w:val="false"/>
          <w:iCs w:val="false"/>
          <w:sz w:val="26"/>
          <w:szCs w:val="26"/>
        </w:rPr>
        <w:t xml:space="preserve">; đáp ứng yêu cầu theo cấp độ đã phê duyệt trước </w:t>
      </w:r>
      <w:r>
        <w:rPr>
          <w:rFonts w:ascii="Times New Roman" w:cs="Times New Roman" w:eastAsia="Times New Roman" w:hAnsi="Times New Roman"/>
          <w:b w:val="false"/>
          <w:bCs w:val="false"/>
          <w:i w:val="false"/>
          <w:iCs w:val="false"/>
          <w:sz w:val="26"/>
          <w:szCs w:val="26"/>
          <w:highlight w:val="yellow"/>
        </w:rPr>
        <w:t xml:space="preserve">30/06/2027</w:t>
      </w:r>
      <w:r>
        <w:rPr>
          <w:rFonts w:ascii="Times New Roman" w:cs="Times New Roman" w:eastAsia="Times New Roman" w:hAnsi="Times New Roman"/>
          <w:b w:val="false"/>
          <w:bCs w:val="false"/>
          <w:i w:val="false"/>
          <w:iCs w:val="false"/>
          <w:sz w:val="26"/>
          <w:szCs w:val="26"/>
        </w:rPr>
        <w:t xml:space="preserve">; gửi báo cáo năm đúng hạn.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Phạm vi:</w:t>
      </w:r>
      <w:r>
        <w:rPr>
          <w:rFonts w:ascii="Times New Roman" w:cs="Times New Roman" w:eastAsia="Times New Roman" w:hAnsi="Times New Roman"/>
          <w:b w:val="false"/>
          <w:bCs w:val="false"/>
          <w:i w:val="false"/>
          <w:iCs w:val="false"/>
          <w:sz w:val="26"/>
          <w:szCs w:val="26"/>
        </w:rPr>
        <w:t xml:space="preserve"> toàn bộ HTTT do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làm chủ quản. Ưu tiên HTTT cung cấp dịch vụ trực tuyến và HTTT có cấp độ cao hơn, vì nguồn lực được phân bổ theo thứ tự từ cấp độ cao xuống cấp độ thấp (NĐ 331 Đ6.3).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Các hạng mục công việc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355"/>
        <w:gridCol w:w="2075"/>
        <w:gridCol w:w="2923"/>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3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0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Đầu ra</w:t>
            </w:r>
          </w:p>
        </w:tc>
        <w:tc>
          <w:tcPr>
            <w:tcW w:type="dxa" w:w="29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vai: xác định chủ quản (ủy quyền nếu cần), chỉ định đơn vị chuyên trách ANM, giao đơn vị vận hành, xử lý xung đột vai trò khi thẩm định</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Các quyết định nội bộ</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Đ4, Đ5, Đ18.4, Đ31.1</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kê HTTT, phân loại thông tin và loại hình HTTT</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 HTTT, phiếu xác định cấp độ</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Đ7, Đ8, Đ9</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rủi ro ANM lần đầu, đề xuất cấp độ</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đánh giá rủi ro, cấp độ đề xuất</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Đ10.2.a, Đ11–Đ16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Xây dựng, ban hành Quy chế bảo đảm ANM và các quy trình kèm theo</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ban hành Quy chế</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Đ30.3, Đ30.7</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Lập hồ sơ đề xuất cấp độ; thẩm định; phê duyệt</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phê duyệt cấp độ</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Đ20–Đ24</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Triển khai phương án bảo đảm ANM theo cấp độ</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triển khai, nghiệm thu</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Đ29, Đ30; TCVN 14423:2026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đánh giá định kỳ; quản lý rủi ro</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kiểm tra, kế hoạch khắc phục</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Đ27, Đ31.2.c</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8</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tuyên truyền, diễn tập</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 hoạch năm, hồ sơ đào tạo, diễn tập</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Đ31.3</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9</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năm</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theo Mẫu 08</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Đ35, Đ36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10</w:t>
            </w:r>
          </w:p>
        </w:tc>
        <w:tc>
          <w:tcPr>
            <w:tcW w:type="dxa" w:w="33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song song nghĩa vụ bảo vệ dữ liệu cá nhân và nghĩa vụ của doanh nghiệp cung cấp dịch vụ (nếu thuộc diện)</w:t>
            </w:r>
          </w:p>
        </w:tc>
        <w:tc>
          <w:tcPr>
            <w:tcW w:type="dxa" w:w="2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rà soát</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91/2025/QH15; NĐ 333 Đ16, Đ19, Đ20</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Nhân lực:</w:t>
      </w:r>
      <w:r>
        <w:rPr>
          <w:rFonts w:ascii="Times New Roman" w:cs="Times New Roman" w:eastAsia="Times New Roman" w:hAnsi="Times New Roman"/>
          <w:b w:val="false"/>
          <w:bCs w:val="false"/>
          <w:i w:val="false"/>
          <w:iCs w:val="false"/>
          <w:sz w:val="26"/>
          <w:szCs w:val="26"/>
        </w:rPr>
        <w:t xml:space="preserve"> giao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làm đầu mối chương trình. Đề xuất cụ thể về tổ chức bộ phận chuyên trách, số lượng và tiêu chuẩn nhân sự sẽ trình tại tờ trình riêng.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Các đề xuất chi tiết sẽ trình tiếp theo:</w:t>
      </w:r>
      <w:r>
        <w:rPr>
          <w:rFonts w:ascii="Times New Roman" w:cs="Times New Roman" w:eastAsia="Times New Roman" w:hAnsi="Times New Roman"/>
          <w:b w:val="false"/>
          <w:bCs w:val="false"/>
          <w:i w:val="false"/>
          <w:iCs w:val="false"/>
          <w:sz w:val="26"/>
          <w:szCs w:val="26"/>
        </w:rPr>
        <w:t xml:space="preserve"> thành lập, chỉ định bộ phận chuyên trách ANM; ban hành Quy chế bảo đảm ANM; thành lập Hội đồng thẩm định độc lập (nếu cần); kinh phí giải pháp kỹ thuật; thuê dịch vụ đánh giá, kiểm thử; kế hoạch đào tạo, diễn tập; tuân thủ bảo vệ dữ liệu cá nhân; lưu trữ dữ liệu và nhật ký (nếu thuộc diện).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643"/>
        <w:gridCol w:w="2602"/>
        <w:gridCol w:w="1773"/>
        <w:gridCol w:w="1335"/>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6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6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 chi</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 dự kiến (đồng)</w:t>
            </w:r>
          </w:p>
        </w:tc>
        <w:tc>
          <w:tcPr>
            <w:tcW w:type="dxa" w:w="13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kê, đánh giá rủi ro, lập hồ sơ cấp độ</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công nội bộ; thuê tư vấn (nếu có)</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80.000.000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chế, quy trình</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Soạn thảo, rà soát pháp lý</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55.000.000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Giải pháp kỹ thuật theo cấp độ</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tờ trình kinh phí giải pháp kỹ thuật</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1.930.000.000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Ước tính sơ bộ</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kiểm thử độc lập</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tờ trình thuê dịch vụ</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410.000.000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diễn tập</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kế hoạch năm</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330.000.000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Dự phòng</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195.000.000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2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3.000.000.000</w:t>
            </w:r>
          </w:p>
        </w:tc>
        <w:tc>
          <w:tcPr>
            <w:tcW w:type="dxa" w:w="1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 Tổ chức ngoài khu vực nhà nước tự bảo đảm kinh phí bảo vệ ANM (Luật 116 Đ38.2). Từng hạng mục sẽ được trình phê duyệt chi tiết theo quy chế tài chính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3271"/>
        <w:gridCol w:w="2012"/>
        <w:gridCol w:w="2912"/>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Giai đoạn</w:t>
            </w:r>
          </w:p>
        </w:tc>
        <w:tc>
          <w:tcPr>
            <w:tcW w:type="dxa" w:w="32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Công việc chính</w:t>
            </w:r>
          </w:p>
        </w:tc>
        <w:tc>
          <w:tcPr>
            <w:tcW w:type="dxa" w:w="20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chủ trì</w:t>
            </w:r>
          </w:p>
        </w:tc>
        <w:tc>
          <w:tcPr>
            <w:tcW w:type="dxa" w:w="29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Ban hành các quyết định phân vai</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15/10/2026</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kê HTTT, đánh giá rủi ro, đề xuất cấp độ</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20/10/2026</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Ban hành Quy chế bảo đảm ANM</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25/10/2026</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Lập hồ sơ, thẩm định, phê duyệt cấp độ</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30/10/2026</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Triển khai phương án bảo đảm ANM</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30/06/2027</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3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đánh giá; lập báo cáo năm</w:t>
            </w:r>
          </w:p>
        </w:tc>
        <w:tc>
          <w:tcPr>
            <w:tcW w:type="dxa" w:w="20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29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20/12 hằng năm (nội bộ)</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đầu mối chương trình; tham mưu, đôn đốc, kiểm tra; thẩm định hồ sơ đề xuất cấp độ theo thẩm quyền; tổng hợp báo cáo 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kiểm kê HTTT; lập hồ sơ đề xuất cấp độ; triển khai biện pháp bảo đảm ANM theo phương án được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rà soát pháp lý các quyết định, Quy chế, hợp đồng với nhà cung cấp; đầu mối các nghĩa vụ về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bố trí nhân sự; đưa nghĩa vụ ANM vào nội quy lao động và bản mô tả công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cân đối, bố trí kinh phí theo tiến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val="false"/>
          <w:bCs w:val="false"/>
          <w:i w:val="false"/>
          <w:iCs w:val="false"/>
          <w:sz w:val="26"/>
          <w:szCs w:val="26"/>
          <w:highlight w:val="yellow"/>
        </w:rPr>
        <w:t xml:space="preserve">Ban Kiểm soát nội bộ</w:t>
      </w:r>
      <w:r>
        <w:rPr>
          <w:rFonts w:ascii="Times New Roman" w:cs="Times New Roman" w:eastAsia="Times New Roman" w:hAnsi="Times New Roman"/>
          <w:b w:val="false"/>
          <w:bCs w:val="false"/>
          <w:i w:val="false"/>
          <w:iCs w:val="false"/>
          <w:sz w:val="26"/>
          <w:szCs w:val="26"/>
        </w:rPr>
        <w:t xml:space="preserve">: thực hiện hoặc giám sát việc tự đánh giá, bảo đảm độc lập với đơn vị vận hành (NĐ 331 Đ31.2.c).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Các đơn vị nghiệp vụ sử dụng HTTT: phối hợp cung cấp thông tin kiểm kê, tham gia đào tạo, tuân thủ Quy chế.</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Chủ trương triển khai chương trình tuân thủ pháp luật về ANM với phạm vi, hạng mục và tiến độ nêu tại Mục II và Mục IV.</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Giao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làm đầu mối; các đơn vị liên quan thực hiện theo Mục V.</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Tổng mức kinh phí dự kiến </w:t>
      </w:r>
      <w:r>
        <w:rPr>
          <w:rFonts w:ascii="Times New Roman" w:cs="Times New Roman" w:eastAsia="Times New Roman" w:hAnsi="Times New Roman"/>
          <w:b w:val="false"/>
          <w:bCs w:val="false"/>
          <w:i w:val="false"/>
          <w:iCs w:val="false"/>
          <w:sz w:val="26"/>
          <w:szCs w:val="26"/>
          <w:highlight w:val="yellow"/>
        </w:rPr>
        <w:t xml:space="preserve">3.000.000.000 đồng</w:t>
      </w:r>
      <w:r>
        <w:rPr>
          <w:rFonts w:ascii="Times New Roman" w:cs="Times New Roman" w:eastAsia="Times New Roman" w:hAnsi="Times New Roman"/>
          <w:b w:val="false"/>
          <w:bCs w:val="false"/>
          <w:i w:val="false"/>
          <w:iCs w:val="false"/>
          <w:sz w:val="26"/>
          <w:szCs w:val="26"/>
        </w:rPr>
        <w:t xml:space="preserve">; từng hạng mục được trình phê duyệt chi tiết theo quy định nội bộ.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Giao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báo cáo tiến độ định kỳ </w:t>
      </w:r>
      <w:r>
        <w:rPr>
          <w:rFonts w:ascii="Times New Roman" w:cs="Times New Roman" w:eastAsia="Times New Roman" w:hAnsi="Times New Roman"/>
          <w:b w:val="false"/>
          <w:bCs w:val="false"/>
          <w:i w:val="false"/>
          <w:iCs w:val="false"/>
          <w:sz w:val="26"/>
          <w:szCs w:val="26"/>
          <w:highlight w:val="yellow"/>
        </w:rPr>
        <w:t xml:space="preserve">hằng tháng</w:t>
      </w:r>
      <w:r>
        <w:rPr>
          <w:rFonts w:ascii="Times New Roman" w:cs="Times New Roman" w:eastAsia="Times New Roman" w:hAnsi="Times New Roman"/>
          <w:b w:val="false"/>
          <w:bCs w:val="false"/>
          <w:i w:val="false"/>
          <w:iCs w:val="false"/>
          <w:sz w:val="26"/>
          <w:szCs w:val="26"/>
        </w:rPr>
        <w:t xml:space="preserve"> cho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Tài chính – Kế toán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PVH</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VẬN HÀNH HỆ THỐNG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Minh Cường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 Đồng ý, có điều chỉnh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triển khai chương trình tuân thủ an ninh mạng</dc:title>
  <dc:creator>vn-cyber-compliance</dc:creator>
  <cp:lastModifiedBy>Un-named</cp:lastModifiedBy>
  <cp:revision>1</cp:revision>
  <dcterms:created xsi:type="dcterms:W3CDTF">2026-09-25T02:31:05.024Z</dcterms:created>
  <dcterms:modified xsi:type="dcterms:W3CDTF">2026-09-25T02:31:05.024Z</dcterms:modified>
</cp:coreProperties>
</file>

<file path=docProps/custom.xml><?xml version="1.0" encoding="utf-8"?>
<Properties xmlns="http://schemas.openxmlformats.org/officeDocument/2006/custom-properties" xmlns:vt="http://schemas.openxmlformats.org/officeDocument/2006/docPropsVTypes"/>
</file>