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Pháp chế</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03/2026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PPC</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triển khai các nghĩa vụ bảo vệ dữ liệu cá nhân theo Luật Bảo vệ dữ liệu cá nhân</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quyết số 22/2026/NQ-CP của Chính phủ về cắt giảm, phân cấp, đơn giản hóa thủ tục hành chính và điều kiện kinh doanh thuộc phạm vi quản lý của Bộ Công an;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330/2026/NĐ-CP ngày 19 tháng 8 năm 2026 của Chính phủ quy định xử phạt vi phạm hành chính trong lĩnh vực an ninh mạng và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việc triển khai các nghĩa vụ BVDLCN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91 là Luật Bảo vệ dữ liệu cá nhân; NĐ 356, NĐ 330 là các Nghị định số 356/2025/NĐ-CP, 330/2026/NĐ-CP; NQ 22 là Nghị quyết số 22/2026/NQ-CP; DLCN là dữ liệu cá nhân; BVDLCN là bảo vệ dữ liệu cá nhân; DPIA là hồ sơ đánh giá tác động xử lý DLCN. "Đ21.1" nghĩa là khoản 1 Điều 21.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958"/>
        <w:gridCol w:w="2958"/>
        <w:gridCol w:w="2437"/>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9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Nghĩa vụ</w:t>
            </w:r>
          </w:p>
        </w:tc>
        <w:tc>
          <w:tcPr>
            <w:tcW w:type="dxa" w:w="29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24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Bên kiểm soát, bên kiểm soát và xử lý DLCN lập, lưu trữ DPIA và gửi 01 bản chính cho cơ quan chuyên trách BVDLCN</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60 ngày kể từ ngày đầu tiên xử lý DLCN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Đ21.1; NĐ 356 Đ19</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hồ sơ đánh giá tác động chuyển DLCN xuyên biên giới khi chuyển dữ liệu ra hệ thống đặt ngoài lãnh thổ (kể cả cloud của nhà cung cấp ở nước ngoài), chuyển cho tổ chức ở nước ngoài, hoặc dùng nền tảng ở nước ngoài để xử lý DLCN thu thập tại Việt Nam; gửi 01 bản chính</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60 ngày kể từ ngày đầu tiên chuyển dữ liệu</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Đ20.1–20.2; NĐ 356 Đ17.1, Đ18</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hai loại hồ sơ trên</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Định kỳ 06 tháng khi có mục đích mới hoặc thay đổi các bên; trong 10 ngày khi tổ chức lại, thay đổi nhà cung cấp dịch vụ BVDLCN, thay đổi ngành nghề liên quan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Đ22; NĐ 356 Đ20</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định bộ phận, nhân sự đủ điều kiện năng lực BVDLCN, hoặc thuê dịch vụ BVDLCN</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xử lý DLCN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Đ33.2; NĐ 356 Đ13</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cơ quan chuyên trách BVDLCN khi phát hiện vi phạm có thể gây tổn hại quốc phòng, an ninh, trật tự hoặc tính mạng, sức khỏe, danh dự, tài sản của chủ thể; lập biên bản xác nhận vi phạm</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Chậm nhất 72 giờ kể từ khi phát hiện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Đ23.1–23.2</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Kinh doanh một trong 09 dịch vụ xử lý DLCN phải có Giấy chứng nhận đủ điều kiện và đáp ứng điều kiện về nhân sự, hạ tầng, hồ sơ DPIA đạt yêu cầu</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kinh doanh</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Đ21, Đ22</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Hồ sơ nộp qua Cổng Dịch vụ công quốc gia, trực tiếp hoặc bưu chính về Bộ Công an; Bộ Công an tiếp nhận, phân loại và chuyển Công an tỉnh, thành phố xử lý (NQ 22 Phụ lục I.7). Thủ tục theo NQ 22 áp dụng từ 29/4/2026 đến hết 01/3/2027 (NQ 22 Đ6.1).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3775"/>
        <w:gridCol w:w="4535"/>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37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45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Hiện trạng tại </w:t>
            </w:r>
            <w:r>
              <w:rPr>
                <w:rFonts w:ascii="Times New Roman" w:cs="Times New Roman" w:eastAsia="Times New Roman" w:hAnsi="Times New Roman"/>
                <w:b/>
                <w:bCs/>
                <w:i w:val="false"/>
                <w:iCs w:val="false"/>
                <w:sz w:val="24"/>
                <w:szCs w:val="24"/>
                <w:highlight w:val="yellow"/>
              </w:rPr>
              <w:t xml:space="preserve">Công ty cổ phần Giải pháp Công nghệ TURBO</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Vai trò của </w:t>
            </w: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với từng hoạt động xử lý (bên kiểm soát, bên xử lý, bên kiểm soát và xử lý)</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Bên kiểm soát và xử lý (DLCN khách hàng, người lao động)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chủ thể DLCN cơ bản / nhạy cảm (tính tích lũy)</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khoảng 150.000</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0</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Hồ sơ DPIA</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Luồng dữ liệu ra nước ngoài (cloud, SaaS, công ty mẹ)</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01 luồng (thư điện tử giao dịch, Singapore); chưa lập hồ sơ</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BVDLCN</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 văn bản chỉ định</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luận rà soát "kinh doanh dịch vụ xử lý DLCN"</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kết luận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thông báo vi phạm 72 giờ</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Diện miễn trừ và ngoại lệ</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Doanh nghiệp nhỏ, doanh nghiệp khởi nghiệp được </w:t>
      </w:r>
      <w:r>
        <w:rPr>
          <w:rFonts w:ascii="Times New Roman" w:cs="Times New Roman" w:eastAsia="Times New Roman" w:hAnsi="Times New Roman"/>
          <w:b/>
          <w:bCs/>
          <w:i w:val="false"/>
          <w:iCs w:val="false"/>
          <w:sz w:val="26"/>
          <w:szCs w:val="26"/>
        </w:rPr>
        <w:t xml:space="preserve">lựa chọn</w:t>
      </w:r>
      <w:r>
        <w:rPr>
          <w:rFonts w:ascii="Times New Roman" w:cs="Times New Roman" w:eastAsia="Times New Roman" w:hAnsi="Times New Roman"/>
          <w:b w:val="false"/>
          <w:bCs w:val="false"/>
          <w:i w:val="false"/>
          <w:iCs w:val="false"/>
          <w:sz w:val="26"/>
          <w:szCs w:val="26"/>
        </w:rPr>
        <w:t xml:space="preserve"> thực hiện hay không thực hiện DPIA, cập nhật hồ sơ và chỉ định nhân sự BVDLCN trong 05 năm kể từ 01/01/2026. Hộ kinh doanh, doanh nghiệp siêu nhỏ không phải thực hiện các nghĩa vụ này (Luật 91 Đ38.2–38.3; NĐ 356 Đ41).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Không được hưởng miễn trừ nếu: kinh doanh dịch vụ xử lý DLCN; trực tiếp xử lý DLCN nhạy cảm; hoặc xử lý DLCN kể từ thời điểm quy mô đạt từ 100.000 chủ thể trở lên, tính trên kết quả tích lũy (NĐ 356 Đ41).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Miễn trừ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bao gồm hồ sơ chuyển DLCN xuyên biên giới (Luật 91 Đ20) và nghĩa vụ thông báo vi phạm (Luật 91 Đ23).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Kết luận đối với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không thuộc diện miễn trừ (xử lý DLCN của khoảng 150.000 chủ thể — NĐ 356 Đ41)</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Rủi ro nếu không thực hiện (mức phạt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95"/>
        <w:gridCol w:w="1718"/>
        <w:gridCol w:w="2274"/>
        <w:gridCol w:w="2638"/>
      </w:tblGrid>
      <w:tr>
        <w:trPr>
          <w:cantSplit/>
          <w:tblHeader/>
        </w:trPr>
        <w:tc>
          <w:tcPr>
            <w:tcW w:type="dxa" w:w="23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Hành vi</w:t>
            </w:r>
          </w:p>
        </w:tc>
        <w:tc>
          <w:tcPr>
            <w:tcW w:type="dxa" w:w="17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2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Mức phạt tổ chức</w:t>
            </w:r>
          </w:p>
        </w:tc>
        <w:tc>
          <w:tcPr>
            <w:tcW w:type="dxa" w:w="26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 khác</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lập, duy trì DPIA; không gửi trong 60 ngày; không cập nhật 06 tháng hoặc 10 ngày</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Đ55.1</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20–30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dừng xử lý DLCN đến khi hoàn thành và được xác nhận, nếu không lập hồ sơ (Đ55.3.b)</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lập, không nộp hồ sơ chuyển DLCN xuyên biên giới trong 60 ngày</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Đ56.1.a–b</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30–50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ngừng chuyển dữ liệu đến khi hoàn thành (Đ56.6.b)</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Chuyển xuyên biên giới không lập hồ sơ, dẫn đến lộ, mất DLCN</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Đ56.3–56.4</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1–5% tổng doanh thu năm tài chính liền trước tại Việt Nam, theo số chủ thể bị ảnh hưởng; nếu không có doanh thu hoặc mức tính thấp hơn 03 tỷ đồng thì 200 triệu – 03 tỷ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Đình chỉ chuyển DLCN xuyên biên giới 06–12 tháng (Đ56.5.b)</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ban hành văn bản chỉ định nhân sự BVDLCN; nhân sự không đủ điều kiện</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Đ57.2</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20–30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thay nhân sự (Đ57.3.a)</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vi phạm cho cơ quan chuyên trách chậm hơn 72 giờ</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Đ54.3</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40–60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thông báo đúng hạn (Đ54.5.a)</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Kinh doanh dịch vụ xử lý DLCN khi chưa có Giấy chứng nhận</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Đ59.3.a</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50–80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hủy dữ liệu xử lý trái phép; nộp lại khoản thu (Đ59.5)</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lĩnh vực BVDLCN, mức phạt ghi trong điều khoản là mức cho tổ chức (NĐ 330 Đ7.1). Mức tối đa đối với tổ chức là 03 tỷ đồng; riêng vi phạm về chuyển DLCN xuyên biên giới là 5% doanh thu năm trước liền kề nếu cao hơn (NĐ 330 Đ7.4).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Kiểm kê hoạt động xử lý DLCN:</w:t>
      </w:r>
      <w:r>
        <w:rPr>
          <w:rFonts w:ascii="Times New Roman" w:cs="Times New Roman" w:eastAsia="Times New Roman" w:hAnsi="Times New Roman"/>
          <w:b w:val="false"/>
          <w:bCs w:val="false"/>
          <w:i w:val="false"/>
          <w:iCs w:val="false"/>
          <w:sz w:val="26"/>
          <w:szCs w:val="26"/>
        </w:rPr>
        <w:t xml:space="preserve"> lập danh mục hoạt động xử lý theo từng HTTT, gồm loại dữ liệu (cơ bản, nhạy cảm), số chủ thể, vai trò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vị trí lưu trữ, bên nhận. Dùng chung bảng kiểm kê với việc xác định cấp độ HTTT.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Hồ sơ DPIA:</w:t>
      </w:r>
      <w:r>
        <w:rPr>
          <w:rFonts w:ascii="Times New Roman" w:cs="Times New Roman" w:eastAsia="Times New Roman" w:hAnsi="Times New Roman"/>
          <w:b w:val="false"/>
          <w:bCs w:val="false"/>
          <w:i w:val="false"/>
          <w:iCs w:val="false"/>
          <w:sz w:val="26"/>
          <w:szCs w:val="26"/>
        </w:rPr>
        <w:t xml:space="preserve"> lập DPIA cho </w:t>
      </w:r>
      <w:r>
        <w:rPr>
          <w:rFonts w:ascii="Times New Roman" w:cs="Times New Roman" w:eastAsia="Times New Roman" w:hAnsi="Times New Roman"/>
          <w:b w:val="false"/>
          <w:bCs w:val="false"/>
          <w:i w:val="false"/>
          <w:iCs w:val="false"/>
          <w:sz w:val="26"/>
          <w:szCs w:val="26"/>
          <w:highlight w:val="yellow"/>
        </w:rPr>
        <w:t xml:space="preserve">Hệ thống CRM Online</w:t>
      </w:r>
      <w:r>
        <w:rPr>
          <w:rFonts w:ascii="Times New Roman" w:cs="Times New Roman" w:eastAsia="Times New Roman" w:hAnsi="Times New Roman"/>
          <w:b w:val="false"/>
          <w:bCs w:val="false"/>
          <w:i w:val="false"/>
          <w:iCs w:val="false"/>
          <w:sz w:val="26"/>
          <w:szCs w:val="26"/>
        </w:rPr>
        <w:t xml:space="preserve">; nộp trước </w:t>
      </w:r>
      <w:r>
        <w:rPr>
          <w:rFonts w:ascii="Times New Roman" w:cs="Times New Roman" w:eastAsia="Times New Roman" w:hAnsi="Times New Roman"/>
          <w:b w:val="false"/>
          <w:bCs w:val="false"/>
          <w:i w:val="false"/>
          <w:iCs w:val="false"/>
          <w:sz w:val="26"/>
          <w:szCs w:val="26"/>
          <w:highlight w:val="yellow"/>
        </w:rPr>
        <w:t xml:space="preserve">31/10/2026</w:t>
      </w:r>
      <w:r>
        <w:rPr>
          <w:rFonts w:ascii="Times New Roman" w:cs="Times New Roman" w:eastAsia="Times New Roman" w:hAnsi="Times New Roman"/>
          <w:b w:val="false"/>
          <w:bCs w:val="false"/>
          <w:i w:val="false"/>
          <w:iCs w:val="false"/>
          <w:sz w:val="26"/>
          <w:szCs w:val="26"/>
        </w:rPr>
        <w:t xml:space="preserve">. Thiết lập lịch cập nhật 06 tháng và cơ chế cập nhật trong 10 ngày.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Hồ sơ chuyển DLCN xuyên biên giới:</w:t>
      </w:r>
      <w:r>
        <w:rPr>
          <w:rFonts w:ascii="Times New Roman" w:cs="Times New Roman" w:eastAsia="Times New Roman" w:hAnsi="Times New Roman"/>
          <w:b w:val="false"/>
          <w:bCs w:val="false"/>
          <w:i w:val="false"/>
          <w:iCs w:val="false"/>
          <w:sz w:val="26"/>
          <w:szCs w:val="26"/>
        </w:rPr>
        <w:t xml:space="preserve"> lập cho các luồng </w:t>
      </w:r>
      <w:r>
        <w:rPr>
          <w:rFonts w:ascii="Times New Roman" w:cs="Times New Roman" w:eastAsia="Times New Roman" w:hAnsi="Times New Roman"/>
          <w:b w:val="false"/>
          <w:bCs w:val="false"/>
          <w:i w:val="false"/>
          <w:iCs w:val="false"/>
          <w:sz w:val="26"/>
          <w:szCs w:val="26"/>
          <w:highlight w:val="yellow"/>
        </w:rPr>
        <w:t xml:space="preserve">dịch vụ gửi thư điện tử giao dịch đặt máy chủ tại Singapore</w:t>
      </w:r>
      <w:r>
        <w:rPr>
          <w:rFonts w:ascii="Times New Roman" w:cs="Times New Roman" w:eastAsia="Times New Roman" w:hAnsi="Times New Roman"/>
          <w:b w:val="false"/>
          <w:bCs w:val="false"/>
          <w:i w:val="false"/>
          <w:iCs w:val="false"/>
          <w:sz w:val="26"/>
          <w:szCs w:val="26"/>
        </w:rPr>
        <w:t xml:space="preserve">; ký hoặc bổ sung hợp đồng ràng buộc trách nhiệm với bên nhận; ghi nhận căn cứ miễn đối với các luồng thuộc trường hợp được miễn (Luật 91 Đ20.6; NĐ 356 Đ17.3).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Nhân sự BVDLCN:</w:t>
      </w:r>
      <w:r>
        <w:rPr>
          <w:rFonts w:ascii="Times New Roman" w:cs="Times New Roman" w:eastAsia="Times New Roman" w:hAnsi="Times New Roman"/>
          <w:b w:val="false"/>
          <w:bCs w:val="false"/>
          <w:i w:val="false"/>
          <w:iCs w:val="false"/>
          <w:sz w:val="26"/>
          <w:szCs w:val="26"/>
        </w:rPr>
        <w:t xml:space="preserve"> chỉ định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bằng văn bản chính thức, nêu rõ chức năng, nhiệm vụ, quyền hạn (NĐ 356 Đ13.1); ký thỏa thuận trách nhiệm bảo mật (NĐ 356 Đ13.5); bố trí đào tạo (NĐ 356 Đ13.6).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Rà soát "kinh doanh dịch vụ xử lý DLCN":</w:t>
      </w:r>
      <w:r>
        <w:rPr>
          <w:rFonts w:ascii="Times New Roman" w:cs="Times New Roman" w:eastAsia="Times New Roman" w:hAnsi="Times New Roman"/>
          <w:b w:val="false"/>
          <w:bCs w:val="false"/>
          <w:i w:val="false"/>
          <w:iCs w:val="false"/>
          <w:sz w:val="26"/>
          <w:szCs w:val="26"/>
        </w:rPr>
        <w:t xml:space="preserve"> đối chiếu các dịch vụ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cung cấp cho khách hàng với 09 loại dịch vụ tại NĐ 356 Đ21. Nếu thuộc phạm vi thì lập hồ sơ đề nghị cấp Giấy chứng nhận (NĐ 356 Đ22). Nếu còn vùng chưa rõ thì xin ý kiến bằng văn bản của cơ quan chuyên trách BVDLCN hoặc luật sư.</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Thông báo vi phạm 72 giờ:</w:t>
      </w:r>
      <w:r>
        <w:rPr>
          <w:rFonts w:ascii="Times New Roman" w:cs="Times New Roman" w:eastAsia="Times New Roman" w:hAnsi="Times New Roman"/>
          <w:b w:val="false"/>
          <w:bCs w:val="false"/>
          <w:i w:val="false"/>
          <w:iCs w:val="false"/>
          <w:sz w:val="26"/>
          <w:szCs w:val="26"/>
        </w:rPr>
        <w:t xml:space="preserve"> tích hợp vào quy trình ứng phó sự cố ANM một nhánh đánh giá có liên quan DLCN hay không, lập biên bản xác nhận vi phạm và thông báo đúng hạn.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510"/>
        <w:gridCol w:w="1531"/>
        <w:gridCol w:w="231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5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23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dữ liệu, lập DPIA và hồ sơ chuyển xuyên biên giới</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60.000.000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Nội bộ hoặc thuê tư vấn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nhân sự BVDLCN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Đ13.6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bổ sung hợp đồng với bên xử lý, bên nhận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Tư vấn pháp lý về phạm vi "kinh doanh dịch vụ xử lý DLCN"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cần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đề nghị cấp Giấy chứng nhận (nếu thuộc diện)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125.000.000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797"/>
        <w:gridCol w:w="2448"/>
        <w:gridCol w:w="310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7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24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31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định nhân sự BVDLCN</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Hoàn thành kiểm kê hoạt động xử lý DLCN</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luận phạm vi "kinh doanh dịch vụ xử lý DLCN"</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25/10/2026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Nộp DPIA</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60 ngày kể từ ngày đầu xử lý: </w:t>
            </w:r>
            <w:r>
              <w:rPr>
                <w:rFonts w:ascii="Times New Roman" w:cs="Times New Roman" w:eastAsia="Times New Roman" w:hAnsi="Times New Roman"/>
                <w:b w:val="false"/>
                <w:bCs w:val="false"/>
                <w:i w:val="false"/>
                <w:iCs w:val="false"/>
                <w:sz w:val="22"/>
                <w:szCs w:val="22"/>
                <w:highlight w:val="yellow"/>
              </w:rPr>
              <w:t xml:space="preserve">31/10/2026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Nộp hồ sơ chuyển DLCN xuyên biên giới</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60 ngày kể từ ngày đầu chuyển: </w:t>
            </w:r>
            <w:r>
              <w:rPr>
                <w:rFonts w:ascii="Times New Roman" w:cs="Times New Roman" w:eastAsia="Times New Roman" w:hAnsi="Times New Roman"/>
                <w:b w:val="false"/>
                <w:bCs w:val="false"/>
                <w:i w:val="false"/>
                <w:iCs w:val="false"/>
                <w:sz w:val="22"/>
                <w:szCs w:val="22"/>
                <w:highlight w:val="yellow"/>
              </w:rPr>
              <w:t xml:space="preserve">31/10/2026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quy trình ứng phó sự cố (nhánh DLCN 72 giờ)</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30/10/2026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đầu mối; lập, nộp, cập nhật hồ sơ; rà soát hợp đồng; tiếp nhận yêu cầu của chủ thể dữ liệu và cơ quan chuyên trách.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cung cấp phương án bảo đảm an toàn, sơ đồ hệ thống cho hồ sơ; tích hợp nhánh DLCN vào quy trình sự cố.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cung cấp thông tin luồng dữ liệu, vị trí lưu trữ, nhà cung cấp cloud.</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Các đơn vị nghiệp vụ có xử lý DLCN (kinh doanh, chăm sóc khách hàng, nhân sự): kê khai hoạt động xử lý; tuân thủ quy trình.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Các nội dung triển khai tại Mục II và tiến độ tại Mục IV.</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Chỉ định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làm nhân sự BVDLCN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(văn bản chỉ định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ký nộp hồ sơ DPIA và hồ sơ chuyển DLCN xuyên biên giới theo ủy quyền của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Kinh phí </w:t>
      </w:r>
      <w:r>
        <w:rPr>
          <w:rFonts w:ascii="Times New Roman" w:cs="Times New Roman" w:eastAsia="Times New Roman" w:hAnsi="Times New Roman"/>
          <w:b w:val="false"/>
          <w:bCs w:val="false"/>
          <w:i w:val="false"/>
          <w:iCs w:val="false"/>
          <w:sz w:val="26"/>
          <w:szCs w:val="26"/>
          <w:highlight w:val="yellow"/>
        </w:rPr>
        <w:t xml:space="preserve">125.000.000 đồng</w:t>
      </w:r>
      <w:r>
        <w:rPr>
          <w:rFonts w:ascii="Times New Roman" w:cs="Times New Roman" w:eastAsia="Times New Roman" w:hAnsi="Times New Roman"/>
          <w:b w:val="false"/>
          <w:bCs w:val="false"/>
          <w:i w:val="false"/>
          <w:iCs w:val="false"/>
          <w:sz w:val="26"/>
          <w:szCs w:val="26"/>
        </w:rPr>
        <w:t xml:space="preserve"> từ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Tài chính – Kế toán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PPC</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PHÁP CHẾ</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Bùi Minh Khoa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triển khai các nghĩa vụ bảo vệ dữ liệu cá nhân</dc:title>
  <dc:creator>vn-cyber-compliance</dc:creator>
  <cp:lastModifiedBy>Un-named</cp:lastModifiedBy>
  <cp:revision>1</cp:revision>
  <dcterms:created xsi:type="dcterms:W3CDTF">2026-09-25T02:31:05.411Z</dcterms:created>
  <dcterms:modified xsi:type="dcterms:W3CDTF">2026-09-25T02:31:05.411Z</dcterms:modified>
</cp:coreProperties>
</file>

<file path=docProps/custom.xml><?xml version="1.0" encoding="utf-8"?>
<Properties xmlns="http://schemas.openxmlformats.org/officeDocument/2006/custom-properties" xmlns:vt="http://schemas.openxmlformats.org/officeDocument/2006/docPropsVTypes"/>
</file>