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THUYẾT MINH PHƯƠNG ÁN BẢO ĐẢM AN NINH MẠNG</w:t>
      </w:r>
    </w:p>
    <w:p>
      <w:pPr>
        <w:keepNext/>
        <w:spacing w:after="180" w:before="0" w:line="240" w:lineRule="auto"/>
        <w:jc w:val="center"/>
      </w:pPr>
      <w:r>
        <w:rPr>
          <w:rFonts w:ascii="Times New Roman" w:cs="Times New Roman" w:eastAsia="Times New Roman" w:hAnsi="Times New Roman"/>
          <w:b/>
          <w:bCs/>
          <w:i w:val="false"/>
          <w:iCs w:val="false"/>
          <w:sz w:val="28"/>
          <w:szCs w:val="28"/>
          <w:highlight w:val="yellow"/>
        </w:rPr>
        <w:t xml:space="preserve">Hệ thống quản lý khách hàng trực tuyến (CRM Online)</w:t>
      </w:r>
      <w:r>
        <w:rPr>
          <w:rFonts w:ascii="Times New Roman" w:cs="Times New Roman" w:eastAsia="Times New Roman" w:hAnsi="Times New Roman"/>
          <w:b/>
          <w:bCs/>
          <w:i w:val="false"/>
          <w:iCs w:val="false"/>
          <w:sz w:val="28"/>
          <w:szCs w:val="28"/>
        </w:rPr>
        <w:t xml:space="preserve"> — CẤP ĐỘ </w:t>
      </w:r>
      <w:r>
        <w:rPr>
          <w:rFonts w:ascii="Times New Roman" w:cs="Times New Roman" w:eastAsia="Times New Roman" w:hAnsi="Times New Roman"/>
          <w:b/>
          <w:bCs/>
          <w:i w:val="false"/>
          <w:iCs w:val="false"/>
          <w:sz w:val="28"/>
          <w:szCs w:val="28"/>
          <w:highlight w:val="yellow"/>
        </w:rPr>
        <w:t xml:space="preserve">3</w:t>
      </w:r>
    </w:p>
    <w:p>
      <w:pPr>
        <w:keepNext/>
        <w:spacing w:after="180" w:before="120" w:line="240" w:lineRule="auto"/>
        <w:jc w:val="center"/>
      </w:pPr>
      <w:r>
        <w:rPr>
          <w:rFonts w:ascii="Times New Roman" w:cs="Times New Roman" w:eastAsia="Times New Roman" w:hAnsi="Times New Roman"/>
          <w:b w:val="false"/>
          <w:bCs w:val="false"/>
          <w:i/>
          <w:iCs/>
          <w:sz w:val="26"/>
          <w:szCs w:val="26"/>
        </w:rPr>
        <w:t xml:space="preserve">(Phiên bản </w:t>
      </w:r>
      <w:r>
        <w:rPr>
          <w:rFonts w:ascii="Times New Roman" w:cs="Times New Roman" w:eastAsia="Times New Roman" w:hAnsi="Times New Roman"/>
          <w:b w:val="false"/>
          <w:bCs w:val="false"/>
          <w:i/>
          <w:iCs/>
          <w:sz w:val="26"/>
          <w:szCs w:val="26"/>
          <w:highlight w:val="yellow"/>
        </w:rPr>
        <w:t xml:space="preserve">1.0</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w:t>
      </w:r>
      <w:r>
        <w:rPr>
          <w:rFonts w:ascii="Times New Roman" w:cs="Times New Roman" w:eastAsia="Times New Roman" w:hAnsi="Times New Roman"/>
          <w:b w:val="false"/>
          <w:bCs w:val="false"/>
          <w:i/>
          <w:iCs/>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0. Nguyên tắc và phạm vi phương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40"/>
        <w:gridCol w:w="1937"/>
        <w:gridCol w:w="1630"/>
        <w:gridCol w:w="2072"/>
        <w:gridCol w:w="915"/>
        <w:gridCol w:w="915"/>
        <w:gridCol w:w="916"/>
      </w:tblGrid>
      <w:tr>
        <w:trPr>
          <w:cantSplit/>
          <w:tblHeader/>
        </w:trPr>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19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20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NT-1</w:t>
            </w:r>
          </w:p>
        </w:tc>
        <w:tc>
          <w:tcPr>
            <w:tcW w:type="dxa" w:w="1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Phương án đáp ứng yêu cầu cơ bản của NĐ 331 và TCVN "An ninh mạng - HTTT - Yêu cầu cơ bản" theo cấp độ</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Đ29.1, Đ30.1</w:t>
            </w:r>
          </w:p>
        </w:tc>
        <w:tc>
          <w:tcPr>
            <w:tcW w:type="dxa" w:w="20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Áp dụng TCVN 14423:2026 mục {{3/4/5/6/7}} cho cấp </w:t>
            </w:r>
            <w:r>
              <w:rPr>
                <w:rFonts w:ascii="Times New Roman" w:cs="Times New Roman" w:eastAsia="Times New Roman" w:hAnsi="Times New Roman"/>
                <w:b w:val="false"/>
                <w:bCs w:val="false"/>
                <w:i/>
                <w:iCs/>
                <w:sz w:val="20"/>
                <w:szCs w:val="20"/>
                <w:highlight w:val="yellow"/>
              </w:rPr>
              <w:t xml:space="preserve">3</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NT-2</w:t>
            </w:r>
          </w:p>
        </w:tc>
        <w:tc>
          <w:tcPr>
            <w:tcW w:type="dxa" w:w="1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Yêu cầu cơ bản là tối thiểu, gồm quản lý và kỹ thuật; </w:t>
            </w:r>
            <w:r>
              <w:rPr>
                <w:rFonts w:ascii="Times New Roman" w:cs="Times New Roman" w:eastAsia="Times New Roman" w:hAnsi="Times New Roman"/>
                <w:b/>
                <w:bCs/>
                <w:i w:val="false"/>
                <w:iCs w:val="false"/>
                <w:sz w:val="20"/>
                <w:szCs w:val="20"/>
              </w:rPr>
              <w:t xml:space="preserve">không bao gồm an ninh vật lý</w:t>
            </w:r>
            <w:r>
              <w:rPr>
                <w:rFonts w:ascii="Times New Roman" w:cs="Times New Roman" w:eastAsia="Times New Roman" w:hAnsi="Times New Roman"/>
                <w:b w:val="false"/>
                <w:bCs w:val="false"/>
                <w:i w:val="false"/>
                <w:iCs w:val="false"/>
                <w:sz w:val="20"/>
                <w:szCs w:val="20"/>
              </w:rPr>
              <w:t xml:space="preserve"> (an ninh vật lý tham khảo TCVN 14423:2026 Phụ lục A)</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Đ30.2</w:t>
            </w:r>
          </w:p>
        </w:tc>
        <w:tc>
          <w:tcPr>
            <w:tcW w:type="dxa" w:w="20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NT-3</w:t>
            </w:r>
          </w:p>
        </w:tc>
        <w:tc>
          <w:tcPr>
            <w:tcW w:type="dxa" w:w="1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Cấp 1, 2, 3: xem xét dùng chung giải pháp bảo vệ, chia sẻ tài nguyên giữa các HTTT, tránh đầu tư trùng lặp</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Đ30.5.a, Đ6.2</w:t>
            </w:r>
          </w:p>
        </w:tc>
        <w:tc>
          <w:tcPr>
            <w:tcW w:type="dxa" w:w="20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Liệt kê giải pháp dùng chung (SOC, tường lửa, EDR...)</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NT-4</w:t>
            </w:r>
          </w:p>
        </w:tc>
        <w:tc>
          <w:tcPr>
            <w:tcW w:type="dxa" w:w="1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Cấp 4, 5: thiết kế bảo đảm tính sẵn sàng, phân tách, hạn chế ảnh hưởng toàn hệ thống khi một thành phần mất ANM</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Đ30.5.b</w:t>
            </w:r>
          </w:p>
        </w:tc>
        <w:tc>
          <w:tcPr>
            <w:tcW w:type="dxa" w:w="20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NT-5</w:t>
            </w:r>
          </w:p>
        </w:tc>
        <w:tc>
          <w:tcPr>
            <w:tcW w:type="dxa" w:w="1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HTTT xây mới/mở rộng/nâng cấp: triển khai đầy đủ phương án đã phê duyệt và đáp ứng Đ29, Đ30 </w:t>
            </w:r>
            <w:r>
              <w:rPr>
                <w:rFonts w:ascii="Times New Roman" w:cs="Times New Roman" w:eastAsia="Times New Roman" w:hAnsi="Times New Roman"/>
                <w:b/>
                <w:bCs/>
                <w:i w:val="false"/>
                <w:iCs w:val="false"/>
                <w:sz w:val="20"/>
                <w:szCs w:val="20"/>
              </w:rPr>
              <w:t xml:space="preserve">trước khi</w:t>
            </w:r>
            <w:r>
              <w:rPr>
                <w:rFonts w:ascii="Times New Roman" w:cs="Times New Roman" w:eastAsia="Times New Roman" w:hAnsi="Times New Roman"/>
                <w:b w:val="false"/>
                <w:bCs w:val="false"/>
                <w:i w:val="false"/>
                <w:iCs w:val="false"/>
                <w:sz w:val="20"/>
                <w:szCs w:val="20"/>
              </w:rPr>
              <w:t xml:space="preserve"> đưa vào vận hành</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Đ30.6</w:t>
            </w:r>
          </w:p>
        </w:tc>
        <w:tc>
          <w:tcPr>
            <w:tcW w:type="dxa" w:w="20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NT-6</w:t>
            </w:r>
          </w:p>
        </w:tc>
        <w:tc>
          <w:tcPr>
            <w:tcW w:type="dxa" w:w="1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Quy chế bảo đảm ANM cho hệ thống được xây dựng theo cấp độ và được phê duyệt, ban hành </w:t>
            </w:r>
            <w:r>
              <w:rPr>
                <w:rFonts w:ascii="Times New Roman" w:cs="Times New Roman" w:eastAsia="Times New Roman" w:hAnsi="Times New Roman"/>
                <w:b/>
                <w:bCs/>
                <w:i w:val="false"/>
                <w:iCs w:val="false"/>
                <w:sz w:val="20"/>
                <w:szCs w:val="20"/>
              </w:rPr>
              <w:t xml:space="preserve">trước khi</w:t>
            </w:r>
            <w:r>
              <w:rPr>
                <w:rFonts w:ascii="Times New Roman" w:cs="Times New Roman" w:eastAsia="Times New Roman" w:hAnsi="Times New Roman"/>
                <w:b w:val="false"/>
                <w:bCs w:val="false"/>
                <w:i w:val="false"/>
                <w:iCs w:val="false"/>
                <w:sz w:val="20"/>
                <w:szCs w:val="20"/>
              </w:rPr>
              <w:t xml:space="preserve"> hồ sơ đề xuất cấp độ được phê duyệt</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Đ30.7</w:t>
            </w:r>
          </w:p>
        </w:tc>
        <w:tc>
          <w:tcPr>
            <w:tcW w:type="dxa" w:w="20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Số, ngày QĐ ban hành quy chế</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A. Bảy nội dung của phương án bảo đảm ANM (NĐ 331 Đ29.2)</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A.1. Bảo đảm ANM trong thiết kế, xây dựng (Đ29.2.a)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40"/>
        <w:gridCol w:w="1573"/>
        <w:gridCol w:w="1379"/>
        <w:gridCol w:w="2687"/>
        <w:gridCol w:w="915"/>
        <w:gridCol w:w="915"/>
        <w:gridCol w:w="916"/>
      </w:tblGrid>
      <w:tr>
        <w:trPr>
          <w:cantSplit/>
          <w:tblHeader/>
        </w:trPr>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15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3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26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TK-1</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Yêu cầu ANM được đưa vào thiết kế từ đầu, xuyên suốt đến khi hủy bỏ</w:t>
            </w:r>
          </w:p>
        </w:tc>
        <w:tc>
          <w:tcPr>
            <w:tcW w:type="dxa" w:w="13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Đ6.1</w:t>
            </w:r>
          </w:p>
        </w:tc>
        <w:tc>
          <w:tcPr>
            <w:tcW w:type="dxa" w:w="26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TK-2</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Phương án kỹ thuật trong BCKTKT / thiết kế cơ sở / kế hoạch thuê dịch vụ / đề cương đáp ứng phương án ANM theo cấp độ</w:t>
            </w:r>
          </w:p>
        </w:tc>
        <w:tc>
          <w:tcPr>
            <w:tcW w:type="dxa" w:w="13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Đ22.1</w:t>
            </w:r>
          </w:p>
        </w:tc>
        <w:tc>
          <w:tcPr>
            <w:tcW w:type="dxa" w:w="26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TK-3</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Ban hành quy định về bảo đảm ANM trong thiết kế, xây dựng</w:t>
            </w:r>
          </w:p>
        </w:tc>
        <w:tc>
          <w:tcPr>
            <w:tcW w:type="dxa" w:w="13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Đ28.1; Luật 116 Đ10.2.a</w:t>
            </w:r>
          </w:p>
        </w:tc>
        <w:tc>
          <w:tcPr>
            <w:tcW w:type="dxa" w:w="26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TK-4</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Phát triển ứng dụng an toàn (cấp 3–5)</w:t>
            </w:r>
          </w:p>
        </w:tc>
        <w:tc>
          <w:tcPr>
            <w:tcW w:type="dxa" w:w="13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5.17 / 6.16 / 7.16</w:t>
            </w:r>
          </w:p>
        </w:tc>
        <w:tc>
          <w:tcPr>
            <w:tcW w:type="dxa" w:w="26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Xem ../03-yeu-cau-theo-cap-do/</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TK-5</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Thuê TTDL/cloud: yêu cầu tách biệt (xem Phần D)</w:t>
            </w:r>
          </w:p>
        </w:tc>
        <w:tc>
          <w:tcPr>
            <w:tcW w:type="dxa" w:w="13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Đ30.8, Đ30.9</w:t>
            </w:r>
          </w:p>
        </w:tc>
        <w:tc>
          <w:tcPr>
            <w:tcW w:type="dxa" w:w="26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A.2. Bảo đảm ANM trong quá trình vận hành (Đ29.2.b)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40"/>
        <w:gridCol w:w="2612"/>
        <w:gridCol w:w="1501"/>
        <w:gridCol w:w="1526"/>
        <w:gridCol w:w="915"/>
        <w:gridCol w:w="915"/>
        <w:gridCol w:w="916"/>
      </w:tblGrid>
      <w:tr>
        <w:trPr>
          <w:cantSplit/>
          <w:tblHeader/>
        </w:trPr>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6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5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5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VH-1</w:t>
            </w:r>
          </w:p>
        </w:tc>
        <w:tc>
          <w:tcPr>
            <w:tcW w:type="dxa" w:w="26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Ban hành quy định bảo đảm ANM trong quản lý, vận hành, sử dụng, nâng cấp</w:t>
            </w:r>
          </w:p>
        </w:tc>
        <w:tc>
          <w:tcPr>
            <w:tcW w:type="dxa" w:w="1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Đ28.1</w:t>
            </w:r>
          </w:p>
        </w:tc>
        <w:tc>
          <w:tcPr>
            <w:tcW w:type="dxa" w:w="1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VH-2</w:t>
            </w:r>
          </w:p>
        </w:tc>
        <w:tc>
          <w:tcPr>
            <w:tcW w:type="dxa" w:w="26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Lưu trữ, sao lưu bảo vệ an ninh thông tin mạng và các thành tố HTTT</w:t>
            </w:r>
          </w:p>
        </w:tc>
        <w:tc>
          <w:tcPr>
            <w:tcW w:type="dxa" w:w="1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Đ28.1; Luật 116 Đ10.2.đ</w:t>
            </w:r>
          </w:p>
        </w:tc>
        <w:tc>
          <w:tcPr>
            <w:tcW w:type="dxa" w:w="1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VH-3</w:t>
            </w:r>
          </w:p>
        </w:tc>
        <w:tc>
          <w:tcPr>
            <w:tcW w:type="dxa" w:w="26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Áp dụng biện pháp quản lý, kỹ thuật theo Đ29, Đ30 và TCVN</w:t>
            </w:r>
          </w:p>
        </w:tc>
        <w:tc>
          <w:tcPr>
            <w:tcW w:type="dxa" w:w="1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Đ28.4</w:t>
            </w:r>
          </w:p>
        </w:tc>
        <w:tc>
          <w:tcPr>
            <w:tcW w:type="dxa" w:w="1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Chi tiết Phần B, C</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VH-4</w:t>
            </w:r>
          </w:p>
        </w:tc>
        <w:tc>
          <w:tcPr>
            <w:tcW w:type="dxa" w:w="26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Đơn vị vận hành thực hiện biện pháp theo phương án được phê duyệt; định kỳ đánh giá hiệu quả, báo cáo chủ quản</w:t>
            </w:r>
          </w:p>
        </w:tc>
        <w:tc>
          <w:tcPr>
            <w:tcW w:type="dxa" w:w="1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Đ33.1, Đ33.3</w:t>
            </w:r>
          </w:p>
        </w:tc>
        <w:tc>
          <w:tcPr>
            <w:tcW w:type="dxa" w:w="1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VH-5</w:t>
            </w:r>
          </w:p>
        </w:tc>
        <w:tc>
          <w:tcPr>
            <w:tcW w:type="dxa" w:w="26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Phối hợp xử lý, khắc phục điểm yếu, lỗ hổng</w:t>
            </w:r>
          </w:p>
        </w:tc>
        <w:tc>
          <w:tcPr>
            <w:tcW w:type="dxa" w:w="1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Đ33.4</w:t>
            </w:r>
          </w:p>
        </w:tc>
        <w:tc>
          <w:tcPr>
            <w:tcW w:type="dxa" w:w="1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VH-6</w:t>
            </w:r>
          </w:p>
        </w:tc>
        <w:tc>
          <w:tcPr>
            <w:tcW w:type="dxa" w:w="26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Báo cáo định kỳ/đột xuất theo yêu cầu chủ quản, cơ quan quản lý</w:t>
            </w:r>
          </w:p>
        </w:tc>
        <w:tc>
          <w:tcPr>
            <w:tcW w:type="dxa" w:w="1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Đ33.6, Đ35</w:t>
            </w:r>
          </w:p>
        </w:tc>
        <w:tc>
          <w:tcPr>
            <w:tcW w:type="dxa" w:w="15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Mẫu 08</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A.3. Kiểm tra, đánh giá ANM (Đ29.2.c)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40"/>
        <w:gridCol w:w="1906"/>
        <w:gridCol w:w="1701"/>
        <w:gridCol w:w="2031"/>
        <w:gridCol w:w="915"/>
        <w:gridCol w:w="915"/>
        <w:gridCol w:w="917"/>
      </w:tblGrid>
      <w:tr>
        <w:trPr>
          <w:cantSplit/>
          <w:tblHeader/>
        </w:trPr>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19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7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20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9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KT-1</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Đánh giá điều kiện ANM trước khi đưa vào vận hành; khi thay đổi lớn; theo yêu cầu</w:t>
            </w:r>
          </w:p>
        </w:tc>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Đ28.3</w:t>
            </w:r>
          </w:p>
        </w:tc>
        <w:tc>
          <w:tcPr>
            <w:tcW w:type="dxa" w:w="20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KT-2</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Kiểm tra, giám sát tuân thủ và đánh giá hiệu quả: định kỳ theo cấp độ và rủi ro, thường xuyên qua giám sát, đột xuất, theo yêu cầu</w:t>
            </w:r>
          </w:p>
        </w:tc>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Đ28.5.a</w:t>
            </w:r>
          </w:p>
        </w:tc>
        <w:tc>
          <w:tcPr>
            <w:tcW w:type="dxa" w:w="20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Tần suất: {{...}}</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KT-3</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Nội dung kiểm tra tuân thủ (Đ27.1), đánh giá hiệu quả (Đ27.2)</w:t>
            </w:r>
          </w:p>
        </w:tc>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Đ27.1, Đ27.2</w:t>
            </w:r>
          </w:p>
        </w:tc>
        <w:tc>
          <w:tcPr>
            <w:tcW w:type="dxa" w:w="20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KT-4</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Dò quét mã độc, lỗ hổng, điểm yếu; kiểm thử xâm nhập; đánh giá an toàn mã nguồn phần mềm nội bộ; kế hoạch xử lý</w:t>
            </w:r>
          </w:p>
        </w:tc>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Đ27.3</w:t>
            </w:r>
          </w:p>
        </w:tc>
        <w:tc>
          <w:tcPr>
            <w:tcW w:type="dxa" w:w="20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Hình thức: hộp đen/xám/trắng (Đ27.4)</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KT-5</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Tự đánh giá do bộ phận độc lập với đơn vị vận hành; hoặc tổ chức chuyên môn đánh giá (thực hiện với cấp 5/ANQG và các trường hợp khác liệt kê tại Đ31.2.c)</w:t>
            </w:r>
          </w:p>
        </w:tc>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Đ31.2.c</w:t>
            </w:r>
          </w:p>
        </w:tc>
        <w:tc>
          <w:tcPr>
            <w:tcW w:type="dxa" w:w="20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KT-6</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kiểm tra ANM (cấp 3–5)</w:t>
            </w:r>
          </w:p>
        </w:tc>
        <w:tc>
          <w:tcPr>
            <w:tcW w:type="dxa" w:w="17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5.18 / 6.18 / 7.18</w:t>
            </w:r>
          </w:p>
        </w:tc>
        <w:tc>
          <w:tcPr>
            <w:tcW w:type="dxa" w:w="20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A.4. Quản lý rủi ro ANM (Đ29.2.d)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40"/>
        <w:gridCol w:w="1388"/>
        <w:gridCol w:w="1449"/>
        <w:gridCol w:w="2802"/>
        <w:gridCol w:w="915"/>
        <w:gridCol w:w="915"/>
        <w:gridCol w:w="916"/>
      </w:tblGrid>
      <w:tr>
        <w:trPr>
          <w:cantSplit/>
          <w:tblHeader/>
        </w:trPr>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13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4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28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RR-1</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Đánh giá rủi ro trong các trường hợp Đ10.2</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Đ10.2</w:t>
            </w:r>
          </w:p>
        </w:tc>
        <w:tc>
          <w:tcPr>
            <w:tcW w:type="dxa" w:w="28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RR-2</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Nội dung tối thiểu Đ10.3.a–g</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Đ10.3</w:t>
            </w:r>
          </w:p>
        </w:tc>
        <w:tc>
          <w:tcPr>
            <w:tcW w:type="dxa" w:w="28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bao-cao-danh-gia-rui-ro.md</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RR-3</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Lưu giữ hồ sơ đánh giá rủi ro, cung cấp khi thanh tra, kiểm tra</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Đ10.6</w:t>
            </w:r>
          </w:p>
        </w:tc>
        <w:tc>
          <w:tcPr>
            <w:tcW w:type="dxa" w:w="28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RR-4</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rủi ro theo TCVN</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3.1 / 4.1 / 5.1 / 6.1 / 7.1</w:t>
            </w:r>
          </w:p>
        </w:tc>
        <w:tc>
          <w:tcPr>
            <w:tcW w:type="dxa" w:w="28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A.5. Giám sát ANM (Đ29.2.đ)</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40"/>
        <w:gridCol w:w="1288"/>
        <w:gridCol w:w="1490"/>
        <w:gridCol w:w="2860"/>
        <w:gridCol w:w="915"/>
        <w:gridCol w:w="915"/>
        <w:gridCol w:w="917"/>
      </w:tblGrid>
      <w:tr>
        <w:trPr>
          <w:cantSplit/>
          <w:tblHeader/>
        </w:trPr>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12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4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28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9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GS-1</w:t>
            </w:r>
          </w:p>
        </w:tc>
        <w:tc>
          <w:tcPr>
            <w:tcW w:type="dxa" w:w="12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Thực hiện giám sát ANM</w:t>
            </w:r>
          </w:p>
        </w:tc>
        <w:tc>
          <w:tcPr>
            <w:tcW w:type="dxa" w:w="1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116 Đ10.2.g</w:t>
            </w:r>
          </w:p>
        </w:tc>
        <w:tc>
          <w:tcPr>
            <w:tcW w:type="dxa" w:w="2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GS-2</w:t>
            </w:r>
          </w:p>
        </w:tc>
        <w:tc>
          <w:tcPr>
            <w:tcW w:type="dxa" w:w="12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Kết nối hệ thống giám sát ANM, phòng chống mã độc tập trung về Trung tâm ANM quốc gia (Bộ Công an) hoặc Trung tâm ANM tỉnh, thành phố</w:t>
            </w:r>
          </w:p>
        </w:tc>
        <w:tc>
          <w:tcPr>
            <w:tcW w:type="dxa" w:w="1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116 Đ40.1.b</w:t>
            </w:r>
          </w:p>
        </w:tc>
        <w:tc>
          <w:tcPr>
            <w:tcW w:type="dxa" w:w="2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GS-3</w:t>
            </w:r>
          </w:p>
        </w:tc>
        <w:tc>
          <w:tcPr>
            <w:tcW w:type="dxa" w:w="12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Phối hợp, thiết lập kết nối, đấu nối đường truyền, truyền dữ liệu phục vụ giám sát theo hướng dẫn lực lượng chuyên trách Bộ Công an</w:t>
            </w:r>
          </w:p>
        </w:tc>
        <w:tc>
          <w:tcPr>
            <w:tcW w:type="dxa" w:w="1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Đ33.5</w:t>
            </w:r>
          </w:p>
        </w:tc>
        <w:tc>
          <w:tcPr>
            <w:tcW w:type="dxa" w:w="2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GS-4</w:t>
            </w:r>
          </w:p>
        </w:tc>
        <w:tc>
          <w:tcPr>
            <w:tcW w:type="dxa" w:w="12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Giám sát và phòng thủ ANM (cấp 3–5)</w:t>
            </w:r>
          </w:p>
        </w:tc>
        <w:tc>
          <w:tcPr>
            <w:tcW w:type="dxa" w:w="1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5.13 / 6.13 / 7.13</w:t>
            </w:r>
          </w:p>
        </w:tc>
        <w:tc>
          <w:tcPr>
            <w:tcW w:type="dxa" w:w="2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GS-5</w:t>
            </w:r>
          </w:p>
        </w:tc>
        <w:tc>
          <w:tcPr>
            <w:tcW w:type="dxa" w:w="12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nhật ký</w:t>
            </w:r>
          </w:p>
        </w:tc>
        <w:tc>
          <w:tcPr>
            <w:tcW w:type="dxa" w:w="1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3.8 / 4.8 / 5.8 / 6.8 / 7.8</w:t>
            </w:r>
          </w:p>
        </w:tc>
        <w:tc>
          <w:tcPr>
            <w:tcW w:type="dxa" w:w="28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Yêu cầu lưu log theo NĐ 333: xem ../05-nghia-vu-lien-quan/</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 định chi tiết về giám sát, ứng phó sự cố: chờ hướng dẫn của Bộ trưởng Bộ Công an (NĐ 331 Đ28.6).</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A.6. Dự phòng, ứng phó sự cố ANM, khôi phục sau thảm họa (Đ29.2.e)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40"/>
        <w:gridCol w:w="2022"/>
        <w:gridCol w:w="1992"/>
        <w:gridCol w:w="1625"/>
        <w:gridCol w:w="915"/>
        <w:gridCol w:w="915"/>
        <w:gridCol w:w="916"/>
      </w:tblGrid>
      <w:tr>
        <w:trPr>
          <w:cantSplit/>
          <w:tblHeader/>
        </w:trPr>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0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9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6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SC-1</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Phương án ứng cứu sự cố ANM, được điều chỉnh theo kết quả đánh giá rủi ro</w:t>
            </w:r>
          </w:p>
        </w:tc>
        <w:tc>
          <w:tcPr>
            <w:tcW w:type="dxa" w:w="1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Đ10.4.c</w:t>
            </w:r>
          </w:p>
        </w:tc>
        <w:tc>
          <w:tcPr>
            <w:tcW w:type="dxa" w:w="16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SC-2</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Thông báo ban đầu sự cố nghiêm trọng trong </w:t>
            </w:r>
            <w:r>
              <w:rPr>
                <w:rFonts w:ascii="Times New Roman" w:cs="Times New Roman" w:eastAsia="Times New Roman" w:hAnsi="Times New Roman"/>
                <w:b/>
                <w:bCs/>
                <w:i w:val="false"/>
                <w:iCs w:val="false"/>
                <w:sz w:val="20"/>
                <w:szCs w:val="20"/>
              </w:rPr>
              <w:t xml:space="preserve">24 giờ</w:t>
            </w:r>
            <w:r>
              <w:rPr>
                <w:rFonts w:ascii="Times New Roman" w:cs="Times New Roman" w:eastAsia="Times New Roman" w:hAnsi="Times New Roman"/>
                <w:b w:val="false"/>
                <w:bCs w:val="false"/>
                <w:i w:val="false"/>
                <w:iCs w:val="false"/>
                <w:sz w:val="20"/>
                <w:szCs w:val="20"/>
              </w:rPr>
              <w:t xml:space="preserve"> kể từ khi phát hiện</w:t>
            </w:r>
          </w:p>
        </w:tc>
        <w:tc>
          <w:tcPr>
            <w:tcW w:type="dxa" w:w="1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Đ31.2.d</w:t>
            </w:r>
          </w:p>
        </w:tc>
        <w:tc>
          <w:tcPr>
            <w:tcW w:type="dxa" w:w="16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SC-3</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Báo cáo nguyên nhân, phạm vi ảnh hưởng, biện pháp khắc phục trong </w:t>
            </w:r>
            <w:r>
              <w:rPr>
                <w:rFonts w:ascii="Times New Roman" w:cs="Times New Roman" w:eastAsia="Times New Roman" w:hAnsi="Times New Roman"/>
                <w:b/>
                <w:bCs/>
                <w:i w:val="false"/>
                <w:iCs w:val="false"/>
                <w:sz w:val="20"/>
                <w:szCs w:val="20"/>
              </w:rPr>
              <w:t xml:space="preserve">72 giờ</w:t>
            </w:r>
            <w:r>
              <w:rPr>
                <w:rFonts w:ascii="Times New Roman" w:cs="Times New Roman" w:eastAsia="Times New Roman" w:hAnsi="Times New Roman"/>
                <w:b w:val="false"/>
                <w:bCs w:val="false"/>
                <w:i w:val="false"/>
                <w:iCs w:val="false"/>
                <w:sz w:val="20"/>
                <w:szCs w:val="20"/>
              </w:rPr>
              <w:t xml:space="preserve">; sự cố phức tạp: báo cáo sơ bộ, cập nhật, kết thúc</w:t>
            </w:r>
          </w:p>
        </w:tc>
        <w:tc>
          <w:tcPr>
            <w:tcW w:type="dxa" w:w="1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Đ31.2.d</w:t>
            </w:r>
          </w:p>
        </w:tc>
        <w:tc>
          <w:tcPr>
            <w:tcW w:type="dxa" w:w="16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SC-4</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Sự cố có dấu hiệu xâm phạm ANQG, TT-ATXH hoặc gián đoạn nghiêm trọng: báo cáo </w:t>
            </w:r>
            <w:r>
              <w:rPr>
                <w:rFonts w:ascii="Times New Roman" w:cs="Times New Roman" w:eastAsia="Times New Roman" w:hAnsi="Times New Roman"/>
                <w:b/>
                <w:bCs/>
                <w:i w:val="false"/>
                <w:iCs w:val="false"/>
                <w:sz w:val="20"/>
                <w:szCs w:val="20"/>
              </w:rPr>
              <w:t xml:space="preserve">ngay</w:t>
            </w:r>
            <w:r>
              <w:rPr>
                <w:rFonts w:ascii="Times New Roman" w:cs="Times New Roman" w:eastAsia="Times New Roman" w:hAnsi="Times New Roman"/>
                <w:b w:val="false"/>
                <w:bCs w:val="false"/>
                <w:i w:val="false"/>
                <w:iCs w:val="false"/>
                <w:sz w:val="20"/>
                <w:szCs w:val="20"/>
              </w:rPr>
              <w:t xml:space="preserve"> khi phát hiện</w:t>
            </w:r>
          </w:p>
        </w:tc>
        <w:tc>
          <w:tcPr>
            <w:tcW w:type="dxa" w:w="1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Đ31.2.d</w:t>
            </w:r>
          </w:p>
        </w:tc>
        <w:tc>
          <w:tcPr>
            <w:tcW w:type="dxa" w:w="16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SC-5</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Báo cáo sự cố với cơ quan chuyên trách Bộ Công an (hoặc Bộ Quốc phòng)</w:t>
            </w:r>
          </w:p>
        </w:tc>
        <w:tc>
          <w:tcPr>
            <w:tcW w:type="dxa" w:w="1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116 Đ40.1.c</w:t>
            </w:r>
          </w:p>
        </w:tc>
        <w:tc>
          <w:tcPr>
            <w:tcW w:type="dxa" w:w="16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Đầu mối, kênh báo cáo: {{...}}</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SC-6</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Sao lưu và khôi phục dữ liệu; khôi phục sau thảm họa</w:t>
            </w:r>
          </w:p>
        </w:tc>
        <w:tc>
          <w:tcPr>
            <w:tcW w:type="dxa" w:w="1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3.11 / 4.11 / 5.11 / 6.11 / 7.11</w:t>
            </w:r>
          </w:p>
        </w:tc>
        <w:tc>
          <w:tcPr>
            <w:tcW w:type="dxa" w:w="16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RTO/RPO: {{...}}</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SC-7</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trị ứng phó sự cố ANM</w:t>
            </w:r>
          </w:p>
        </w:tc>
        <w:tc>
          <w:tcPr>
            <w:tcW w:type="dxa" w:w="1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3.15 / 4.15 / 5.16 / 6.17 / 7.17</w:t>
            </w:r>
          </w:p>
        </w:tc>
        <w:tc>
          <w:tcPr>
            <w:tcW w:type="dxa" w:w="16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SC-8</w:t>
            </w:r>
          </w:p>
        </w:tc>
        <w:tc>
          <w:tcPr>
            <w:tcW w:type="dxa" w:w="2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Diễn tập bảo đảm ANM</w:t>
            </w:r>
          </w:p>
        </w:tc>
        <w:tc>
          <w:tcPr>
            <w:tcW w:type="dxa" w:w="1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Đ31.3</w:t>
            </w:r>
          </w:p>
        </w:tc>
        <w:tc>
          <w:tcPr>
            <w:tcW w:type="dxa" w:w="16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A.7. Kết thúc vận hành, khai thác, thanh lý, hủy bỏ (Đ29.2.g)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50"/>
        <w:gridCol w:w="3501"/>
        <w:gridCol w:w="970"/>
        <w:gridCol w:w="1059"/>
        <w:gridCol w:w="915"/>
        <w:gridCol w:w="915"/>
        <w:gridCol w:w="915"/>
      </w:tblGrid>
      <w:tr>
        <w:trPr>
          <w:cantSplit/>
          <w:tblHeader/>
        </w:trPr>
        <w:tc>
          <w:tcPr>
            <w:tcW w:type="dxa" w:w="7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35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9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KT-H1</w:t>
            </w:r>
          </w:p>
        </w:tc>
        <w:tc>
          <w:tcPr>
            <w:tcW w:type="dxa" w:w="3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Quy định bảo đảm ANM khi hủy bỏ HTTT</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Đ28.1</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KT-H2</w:t>
            </w:r>
          </w:p>
        </w:tc>
        <w:tc>
          <w:tcPr>
            <w:tcW w:type="dxa" w:w="3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Phương án kết thúc vận hành, thanh lý, hủy bỏ (xóa/hủy dữ liệu an toàn, thu hồi tài khoản, thanh lý thiết bị lưu trữ)</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Đ30.3.g</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KT-H3</w:t>
            </w:r>
          </w:p>
        </w:tc>
        <w:tc>
          <w:tcPr>
            <w:tcW w:type="dxa" w:w="3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Thuê dịch vụ: điều khoản duy trì, chuyển giao dịch vụ, trả/hủy dữ liệu khi hết hợp đồng</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Đ5.3.b</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B. Yêu cầu cơ bản về quản lý (NĐ 331 Đ30.3)</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Đ30.3 yêu cầu </w:t>
      </w:r>
      <w:r>
        <w:rPr>
          <w:rFonts w:ascii="Times New Roman" w:cs="Times New Roman" w:eastAsia="Times New Roman" w:hAnsi="Times New Roman"/>
          <w:b/>
          <w:bCs/>
          <w:i w:val="false"/>
          <w:iCs w:val="false"/>
          <w:sz w:val="26"/>
          <w:szCs w:val="26"/>
        </w:rPr>
        <w:t xml:space="preserve">ban hành các quy định và triển khai các quy định</w:t>
      </w:r>
      <w:r>
        <w:rPr>
          <w:rFonts w:ascii="Times New Roman" w:cs="Times New Roman" w:eastAsia="Times New Roman" w:hAnsi="Times New Roman"/>
          <w:b w:val="false"/>
          <w:bCs w:val="false"/>
          <w:i w:val="false"/>
          <w:iCs w:val="false"/>
          <w:sz w:val="26"/>
          <w:szCs w:val="26"/>
        </w:rPr>
        <w:t xml:space="preserve"> về 7 nhóm sau. Mẫu quy chế, quy trình: ../04-chinh-sach-quy-trinh/.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96"/>
        <w:gridCol w:w="1301"/>
        <w:gridCol w:w="893"/>
        <w:gridCol w:w="2147"/>
        <w:gridCol w:w="1555"/>
        <w:gridCol w:w="844"/>
        <w:gridCol w:w="844"/>
        <w:gridCol w:w="845"/>
      </w:tblGrid>
      <w:tr>
        <w:trPr>
          <w:cantSplit/>
          <w:tblHeader/>
        </w:trPr>
        <w:tc>
          <w:tcPr>
            <w:tcW w:type="dxa" w:w="5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Mã</w:t>
            </w:r>
          </w:p>
        </w:tc>
        <w:tc>
          <w:tcPr>
            <w:tcW w:type="dxa" w:w="13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Nhóm yêu cầu quản lý</w:t>
            </w:r>
          </w:p>
        </w:tc>
        <w:tc>
          <w:tcPr>
            <w:tcW w:type="dxa" w:w="8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Căn cứ</w:t>
            </w:r>
          </w:p>
        </w:tc>
        <w:tc>
          <w:tcPr>
            <w:tcW w:type="dxa" w:w="21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Nhóm TCVN 14423:2026 liên quan (gợi ý)</w:t>
            </w:r>
          </w:p>
        </w:tc>
        <w:tc>
          <w:tcPr>
            <w:tcW w:type="dxa" w:w="15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Phương án triển khai</w:t>
            </w:r>
          </w:p>
        </w:tc>
        <w:tc>
          <w:tcPr>
            <w:tcW w:type="dxa" w:w="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Trạng thái</w:t>
            </w:r>
          </w:p>
        </w:tc>
        <w:tc>
          <w:tcPr>
            <w:tcW w:type="dxa" w:w="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Bằng chứng</w:t>
            </w:r>
          </w:p>
        </w:tc>
        <w:tc>
          <w:tcPr>
            <w:tcW w:type="dxa" w:w="8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Kế hoạch khắc phục</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QL-a</w:t>
            </w: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Thiết lập chính sách ANM</w:t>
            </w: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Đ30.3.a</w:t>
            </w:r>
          </w:p>
        </w:tc>
        <w:tc>
          <w:tcPr>
            <w:tcW w:type="dxa" w:w="21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Xuyên suốt; Quy chế ANM (Đ30.7)</w:t>
            </w:r>
          </w:p>
        </w:tc>
        <w:tc>
          <w:tcPr>
            <w:tcW w:type="dxa" w:w="15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Chính sách ANM, quy chế số {{...}}</w:t>
            </w: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QL-b</w:t>
            </w: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Tổ chức bảo đảm ANM</w:t>
            </w: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Đ30.3.b</w:t>
            </w:r>
          </w:p>
        </w:tc>
        <w:tc>
          <w:tcPr>
            <w:tcW w:type="dxa" w:w="21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Nhân sự vận hành, quản trị, bảo vệ ANM</w:t>
            </w:r>
          </w:p>
        </w:tc>
        <w:tc>
          <w:tcPr>
            <w:tcW w:type="dxa" w:w="15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Đơn vị/bộ phận chuyên trách (Đ31.1); phân công trách nhiệm</w:t>
            </w: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QL-c</w:t>
            </w: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Bảo đảm nguồn nhân lực</w:t>
            </w: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Đ30.3.c</w:t>
            </w:r>
          </w:p>
        </w:tc>
        <w:tc>
          <w:tcPr>
            <w:tcW w:type="dxa" w:w="21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Nhân sự vận hành, quản trị, bảo vệ ANM</w:t>
            </w:r>
          </w:p>
        </w:tc>
        <w:tc>
          <w:tcPr>
            <w:tcW w:type="dxa" w:w="15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Tuyển dụng, đào tạo, nâng cao nhận thức (Đ31.3), chấm dứt hợp đồng</w:t>
            </w: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QL-d</w:t>
            </w: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thiết kế, xây dựng hệ thống</w:t>
            </w: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Đ30.3.d</w:t>
            </w:r>
          </w:p>
        </w:tc>
        <w:tc>
          <w:tcPr>
            <w:tcW w:type="dxa" w:w="21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Phát triển ứng dụng an toàn (cấp 3–5); Cấu hình an toàn; Quản lý nhà cung cấp</w:t>
            </w:r>
          </w:p>
        </w:tc>
        <w:tc>
          <w:tcPr>
            <w:tcW w:type="dxa" w:w="15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QL-đ</w:t>
            </w: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vận hành hệ thống</w:t>
            </w: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Đ30.3.đ</w:t>
            </w:r>
          </w:p>
        </w:tc>
        <w:tc>
          <w:tcPr>
            <w:tcW w:type="dxa" w:w="21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tài sản (phần cứng, phần mềm, thông tin); Tài khoản và truy cập; Lỗ hổng; Nhật ký; Trình duyệt, thư điện tử; Mã độc; Sao lưu; Giám sát (cấp 3–5); Ứng phó sự cố; Kiểm tra ANM (cấp 3–5)</w:t>
            </w:r>
          </w:p>
        </w:tc>
        <w:tc>
          <w:tcPr>
            <w:tcW w:type="dxa" w:w="15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QL-e</w:t>
            </w: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Phương án quản lý rủi ro ANM</w:t>
            </w: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Đ30.3.e</w:t>
            </w:r>
          </w:p>
        </w:tc>
        <w:tc>
          <w:tcPr>
            <w:tcW w:type="dxa" w:w="21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rủi ro ANM</w:t>
            </w:r>
          </w:p>
        </w:tc>
        <w:tc>
          <w:tcPr>
            <w:tcW w:type="dxa" w:w="15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Xem A.4</w:t>
            </w: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QL-g</w:t>
            </w:r>
          </w:p>
        </w:tc>
        <w:tc>
          <w:tcPr>
            <w:tcW w:type="dxa" w:w="1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Phương án kết thúc vận hành, khai thác, thanh lý, hủy bỏ HTTT</w:t>
            </w: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Đ30.3.g</w:t>
            </w:r>
          </w:p>
        </w:tc>
        <w:tc>
          <w:tcPr>
            <w:tcW w:type="dxa" w:w="21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tài sản thông tin, tài sản phần cứng</w:t>
            </w:r>
          </w:p>
        </w:tc>
        <w:tc>
          <w:tcPr>
            <w:tcW w:type="dxa" w:w="15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Xem A.7</w:t>
            </w: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C. Yêu cầu cơ bản về kỹ thuật (NĐ 331 Đ30.4)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95"/>
        <w:gridCol w:w="1075"/>
        <w:gridCol w:w="893"/>
        <w:gridCol w:w="2216"/>
        <w:gridCol w:w="1613"/>
        <w:gridCol w:w="844"/>
        <w:gridCol w:w="844"/>
        <w:gridCol w:w="845"/>
      </w:tblGrid>
      <w:tr>
        <w:trPr>
          <w:cantSplit/>
          <w:tblHeader/>
        </w:trPr>
        <w:tc>
          <w:tcPr>
            <w:tcW w:type="dxa" w:w="6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Mã</w:t>
            </w:r>
          </w:p>
        </w:tc>
        <w:tc>
          <w:tcPr>
            <w:tcW w:type="dxa" w:w="10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Nhóm yêu cầu kỹ thuật</w:t>
            </w:r>
          </w:p>
        </w:tc>
        <w:tc>
          <w:tcPr>
            <w:tcW w:type="dxa" w:w="8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Căn cứ</w:t>
            </w:r>
          </w:p>
        </w:tc>
        <w:tc>
          <w:tcPr>
            <w:tcW w:type="dxa" w:w="22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Nhóm TCVN 14423:2026 liên quan (gợi ý)</w:t>
            </w:r>
          </w:p>
        </w:tc>
        <w:tc>
          <w:tcPr>
            <w:tcW w:type="dxa" w:w="16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Phương án triển khai</w:t>
            </w:r>
          </w:p>
        </w:tc>
        <w:tc>
          <w:tcPr>
            <w:tcW w:type="dxa" w:w="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Trạng thái</w:t>
            </w:r>
          </w:p>
        </w:tc>
        <w:tc>
          <w:tcPr>
            <w:tcW w:type="dxa" w:w="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Bằng chứng</w:t>
            </w:r>
          </w:p>
        </w:tc>
        <w:tc>
          <w:tcPr>
            <w:tcW w:type="dxa" w:w="8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Kế hoạch khắc phục</w:t>
            </w:r>
          </w:p>
        </w:tc>
      </w:tr>
      <w:tr>
        <w:trPr>
          <w:cantSplit/>
          <w:tblHeader w:val="false"/>
        </w:trPr>
        <w:tc>
          <w:tcPr>
            <w:tcW w:type="dxa" w:w="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KTH-a</w:t>
            </w:r>
          </w:p>
        </w:tc>
        <w:tc>
          <w:tcPr>
            <w:tcW w:type="dxa" w:w="1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Bảo đảm an toàn mạng</w:t>
            </w: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Đ30.4.a</w:t>
            </w:r>
          </w:p>
        </w:tc>
        <w:tc>
          <w:tcPr>
            <w:tcW w:type="dxa" w:w="2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hạ tầng mạng; Giám sát và phòng thủ (cấp 3–5)</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Phân vùng, kiểm soát truy cập giữa vùng, bảo vệ biên, truy cập từ xa</w:t>
            </w: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KTH-b</w:t>
            </w:r>
          </w:p>
        </w:tc>
        <w:tc>
          <w:tcPr>
            <w:tcW w:type="dxa" w:w="1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Bảo đảm an toàn máy chủ</w:t>
            </w: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Đ30.4.b</w:t>
            </w:r>
          </w:p>
        </w:tc>
        <w:tc>
          <w:tcPr>
            <w:tcW w:type="dxa" w:w="2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Cấu hình an toàn; Lỗ hổng; Mã độc; Nhật ký; Tài khoản và truy cập</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KTH-c</w:t>
            </w:r>
          </w:p>
        </w:tc>
        <w:tc>
          <w:tcPr>
            <w:tcW w:type="dxa" w:w="1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Bảo đảm an toàn ứng dụng</w:t>
            </w: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Đ30.4.c</w:t>
            </w:r>
          </w:p>
        </w:tc>
        <w:tc>
          <w:tcPr>
            <w:tcW w:type="dxa" w:w="2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Phát triển ứng dụng an toàn (cấp 3–5); Tài khoản và truy cập; Trình duyệt, thư điện tử</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KTH-d</w:t>
            </w:r>
          </w:p>
        </w:tc>
        <w:tc>
          <w:tcPr>
            <w:tcW w:type="dxa" w:w="1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Bảo đảm an toàn dữ liệu</w:t>
            </w: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Đ30.4.d</w:t>
            </w:r>
          </w:p>
        </w:tc>
        <w:tc>
          <w:tcPr>
            <w:tcW w:type="dxa" w:w="2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tài sản thông tin; Sao lưu và khôi phục</w:t>
            </w:r>
          </w:p>
        </w:tc>
        <w:tc>
          <w:tcPr>
            <w:tcW w:type="dxa" w:w="16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Phân loại, mã hóa, kiểm soát truy cập, sao lưu</w:t>
            </w: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Cột "Nhóm TCVN liên quan" là </w:t>
      </w:r>
      <w:r>
        <w:rPr>
          <w:rFonts w:ascii="Times New Roman" w:cs="Times New Roman" w:eastAsia="Times New Roman" w:hAnsi="Times New Roman"/>
          <w:b/>
          <w:bCs/>
          <w:i/>
          <w:iCs/>
          <w:sz w:val="24"/>
          <w:szCs w:val="24"/>
        </w:rPr>
        <w:t xml:space="preserve">gợi ý ánh xạ</w:t>
      </w:r>
      <w:r>
        <w:rPr>
          <w:rFonts w:ascii="Times New Roman" w:cs="Times New Roman" w:eastAsia="Times New Roman" w:hAnsi="Times New Roman"/>
          <w:b w:val="false"/>
          <w:bCs w:val="false"/>
          <w:i/>
          <w:iCs/>
          <w:sz w:val="24"/>
          <w:szCs w:val="24"/>
        </w:rPr>
        <w:t xml:space="preserve"> của bộ khung này; NĐ 331 và TCVN 14423:2026 không tự ánh xạ các nhóm Đ30.3/Đ30.4 vào các mục của tiêu chuẩn. Mỗi hàng nên tách thành các dòng con theo từng yêu cầu chi tiết trong ma trận tại ../03-yeu-cau-theo-cap-do/ để đáp ứng Đ22.6 ("đối với từng yêu cầu").</w:t>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D. HTTT triển khai trên TTDL thuê hoặc điện toán đám mây (NĐ 331 Đ30.8, Đ30.9)</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D.1. Cấp độ 3, 4 (Đ30.8)</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40"/>
        <w:gridCol w:w="2523"/>
        <w:gridCol w:w="970"/>
        <w:gridCol w:w="2146"/>
        <w:gridCol w:w="915"/>
        <w:gridCol w:w="915"/>
        <w:gridCol w:w="916"/>
      </w:tblGrid>
      <w:tr>
        <w:trPr>
          <w:cantSplit/>
          <w:tblHeader/>
        </w:trPr>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5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9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21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DC-a</w:t>
            </w:r>
          </w:p>
        </w:tc>
        <w:tc>
          <w:tcPr>
            <w:tcW w:type="dxa" w:w="2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Hệ thống tách riêng, độc lập với hệ thống khác </w:t>
            </w:r>
            <w:r>
              <w:rPr>
                <w:rFonts w:ascii="Times New Roman" w:cs="Times New Roman" w:eastAsia="Times New Roman" w:hAnsi="Times New Roman"/>
                <w:b/>
                <w:bCs/>
                <w:i w:val="false"/>
                <w:iCs w:val="false"/>
                <w:sz w:val="20"/>
                <w:szCs w:val="20"/>
              </w:rPr>
              <w:t xml:space="preserve">về lô-gic</w:t>
            </w:r>
            <w:r>
              <w:rPr>
                <w:rFonts w:ascii="Times New Roman" w:cs="Times New Roman" w:eastAsia="Times New Roman" w:hAnsi="Times New Roman"/>
                <w:b w:val="false"/>
                <w:bCs w:val="false"/>
                <w:i w:val="false"/>
                <w:iCs w:val="false"/>
                <w:sz w:val="20"/>
                <w:szCs w:val="20"/>
              </w:rPr>
              <w:t xml:space="preserve">; có biện pháp quản lý truy cập giữa các hệ thống</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Đ30.8.a</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VPC/tenant riêng, security group...</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DC-b</w:t>
            </w:r>
          </w:p>
        </w:tc>
        <w:tc>
          <w:tcPr>
            <w:tcW w:type="dxa" w:w="2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Các vùng mạng trong hệ thống tách riêng, độc lập </w:t>
            </w:r>
            <w:r>
              <w:rPr>
                <w:rFonts w:ascii="Times New Roman" w:cs="Times New Roman" w:eastAsia="Times New Roman" w:hAnsi="Times New Roman"/>
                <w:b/>
                <w:bCs/>
                <w:i w:val="false"/>
                <w:iCs w:val="false"/>
                <w:sz w:val="20"/>
                <w:szCs w:val="20"/>
              </w:rPr>
              <w:t xml:space="preserve">về lô-gic</w:t>
            </w:r>
            <w:r>
              <w:rPr>
                <w:rFonts w:ascii="Times New Roman" w:cs="Times New Roman" w:eastAsia="Times New Roman" w:hAnsi="Times New Roman"/>
                <w:b w:val="false"/>
                <w:bCs w:val="false"/>
                <w:i w:val="false"/>
                <w:iCs w:val="false"/>
                <w:sz w:val="20"/>
                <w:szCs w:val="20"/>
              </w:rPr>
              <w:t xml:space="preserve">; quản lý truy cập giữa các vùng</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Đ30.8.b</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DC-c</w:t>
            </w:r>
          </w:p>
        </w:tc>
        <w:tc>
          <w:tcPr>
            <w:tcW w:type="dxa" w:w="2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Phân vùng lưu trữ phân tách độc lập </w:t>
            </w:r>
            <w:r>
              <w:rPr>
                <w:rFonts w:ascii="Times New Roman" w:cs="Times New Roman" w:eastAsia="Times New Roman" w:hAnsi="Times New Roman"/>
                <w:b/>
                <w:bCs/>
                <w:i w:val="false"/>
                <w:iCs w:val="false"/>
                <w:sz w:val="20"/>
                <w:szCs w:val="20"/>
              </w:rPr>
              <w:t xml:space="preserve">về lô-gic</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Đ30.8.c</w:t>
            </w:r>
          </w:p>
        </w:tc>
        <w:tc>
          <w:tcPr>
            <w:tcW w:type="dxa" w:w="21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D.2. Cấp độ 5 hoặc HTTT quan trọng về ANQG (Đ30.9)</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50"/>
        <w:gridCol w:w="3501"/>
        <w:gridCol w:w="970"/>
        <w:gridCol w:w="1059"/>
        <w:gridCol w:w="915"/>
        <w:gridCol w:w="915"/>
        <w:gridCol w:w="915"/>
      </w:tblGrid>
      <w:tr>
        <w:trPr>
          <w:cantSplit/>
          <w:tblHeader/>
        </w:trPr>
        <w:tc>
          <w:tcPr>
            <w:tcW w:type="dxa" w:w="7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35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9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DC5-a</w:t>
            </w:r>
          </w:p>
        </w:tc>
        <w:tc>
          <w:tcPr>
            <w:tcW w:type="dxa" w:w="3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Tách riêng, độc lập với hệ thống khác </w:t>
            </w:r>
            <w:r>
              <w:rPr>
                <w:rFonts w:ascii="Times New Roman" w:cs="Times New Roman" w:eastAsia="Times New Roman" w:hAnsi="Times New Roman"/>
                <w:b/>
                <w:bCs/>
                <w:i w:val="false"/>
                <w:iCs w:val="false"/>
                <w:sz w:val="20"/>
                <w:szCs w:val="20"/>
              </w:rPr>
              <w:t xml:space="preserve">về vật lý</w:t>
            </w:r>
            <w:r>
              <w:rPr>
                <w:rFonts w:ascii="Times New Roman" w:cs="Times New Roman" w:eastAsia="Times New Roman" w:hAnsi="Times New Roman"/>
                <w:b w:val="false"/>
                <w:bCs w:val="false"/>
                <w:i w:val="false"/>
                <w:iCs w:val="false"/>
                <w:sz w:val="20"/>
                <w:szCs w:val="20"/>
              </w:rPr>
              <w:t xml:space="preserve">; quản lý truy cập giữa các hệ thống</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Đ30.9.a</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DC5-b</w:t>
            </w:r>
          </w:p>
        </w:tc>
        <w:tc>
          <w:tcPr>
            <w:tcW w:type="dxa" w:w="3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Các vùng mạng tách riêng </w:t>
            </w:r>
            <w:r>
              <w:rPr>
                <w:rFonts w:ascii="Times New Roman" w:cs="Times New Roman" w:eastAsia="Times New Roman" w:hAnsi="Times New Roman"/>
                <w:b/>
                <w:bCs/>
                <w:i w:val="false"/>
                <w:iCs w:val="false"/>
                <w:sz w:val="20"/>
                <w:szCs w:val="20"/>
              </w:rPr>
              <w:t xml:space="preserve">về lô-gic</w:t>
            </w:r>
            <w:r>
              <w:rPr>
                <w:rFonts w:ascii="Times New Roman" w:cs="Times New Roman" w:eastAsia="Times New Roman" w:hAnsi="Times New Roman"/>
                <w:b w:val="false"/>
                <w:bCs w:val="false"/>
                <w:i w:val="false"/>
                <w:iCs w:val="false"/>
                <w:sz w:val="20"/>
                <w:szCs w:val="20"/>
              </w:rPr>
              <w:t xml:space="preserve">; quản lý truy cập giữa các vùng</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Đ30.9.b</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DC5-c</w:t>
            </w:r>
          </w:p>
        </w:tc>
        <w:tc>
          <w:tcPr>
            <w:tcW w:type="dxa" w:w="3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Phân vùng lưu trữ phân tách </w:t>
            </w:r>
            <w:r>
              <w:rPr>
                <w:rFonts w:ascii="Times New Roman" w:cs="Times New Roman" w:eastAsia="Times New Roman" w:hAnsi="Times New Roman"/>
                <w:b/>
                <w:bCs/>
                <w:i w:val="false"/>
                <w:iCs w:val="false"/>
                <w:sz w:val="20"/>
                <w:szCs w:val="20"/>
              </w:rPr>
              <w:t xml:space="preserve">về vật lý</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Đ30.9.c</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DC5-d</w:t>
            </w:r>
          </w:p>
        </w:tc>
        <w:tc>
          <w:tcPr>
            <w:tcW w:type="dxa" w:w="3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Thiết bị mạng chính phân tách </w:t>
            </w:r>
            <w:r>
              <w:rPr>
                <w:rFonts w:ascii="Times New Roman" w:cs="Times New Roman" w:eastAsia="Times New Roman" w:hAnsi="Times New Roman"/>
                <w:b/>
                <w:bCs/>
                <w:i w:val="false"/>
                <w:iCs w:val="false"/>
                <w:sz w:val="20"/>
                <w:szCs w:val="20"/>
              </w:rPr>
              <w:t xml:space="preserve">về vật lý</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Đ30.9.d</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DC5-đ</w:t>
            </w:r>
          </w:p>
        </w:tc>
        <w:tc>
          <w:tcPr>
            <w:tcW w:type="dxa" w:w="35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Giải pháp ANM dùng chung chỉ được triển khai nếu chỉ giám sát, phát hiện, cảnh báo hoặc bảo vệ lớp biên, không tạo khả năng truy cập, điều khiển, can thiệp trực tiếp vào dữ liệu, tài nguyên, hoạt động nội bộ</w:t>
            </w:r>
          </w:p>
        </w:tc>
        <w:tc>
          <w:tcPr>
            <w:tcW w:type="dxa" w:w="9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Đ30.9.đ</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Hợp đồng thuê phải quy định trách nhiệm, thẩm quyền các bên về quản trị dữ liệu, kiểm soát truy cập, bảo đảm ANM (Đ5.3.a); nhà cung cấp phối hợp cập nhật hồ sơ theo hiện trạng hạ tầng (Đ19.2.b).</w:t>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E. Bảng tra nhóm yêu cầu TCVN 14423:2026 theo cấp độ</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Số mục theo cấu trúc tiêu chuẩn (tên nhóm diễn đạt ngắn). Nội dung yêu cầu: xem ../03-yeu-cau-theo-cap-do/ và bản chính thức.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275"/>
        <w:gridCol w:w="1190"/>
        <w:gridCol w:w="640"/>
        <w:gridCol w:w="640"/>
        <w:gridCol w:w="640"/>
        <w:gridCol w:w="640"/>
      </w:tblGrid>
      <w:tr>
        <w:trPr>
          <w:cantSplit/>
          <w:tblHeader/>
        </w:trPr>
        <w:tc>
          <w:tcPr>
            <w:tcW w:type="dxa" w:w="52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Nhóm</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1</w:t>
            </w:r>
          </w:p>
        </w:tc>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2</w:t>
            </w:r>
          </w:p>
        </w:tc>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3</w:t>
            </w:r>
          </w:p>
        </w:tc>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4</w:t>
            </w:r>
          </w:p>
        </w:tc>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5</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rủi ro ANM</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tài sản phần cứng</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3.2</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4.2</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5.2</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6.2</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7.2</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tài sản phần mềm</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3.3</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4.3</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5.3</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6.3</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7.3</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tài sản thông tin</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3.4</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4.4</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5.4</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6.4</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7.4</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Cấu hình an toàn phần cứng, phần mềm</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3.5</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4.5</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5.5</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6.5</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7.5</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tài khoản và quyền truy cập</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3.6</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4.6</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5.6</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6.6</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7.6</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lỗ hổng bảo mật</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3.7</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4.7</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5.7</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6.7</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7.7</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nhật ký ANM</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3.8</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4.8</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5.8</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6.8</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7.8</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Bảo vệ trình duyệt web, thư điện tử</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3.9</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4.9</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5.9</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6.9</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7.9</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Phòng chống phần mềm độc hại</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3.10</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4.10</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5.10</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6.10</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7.10</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Sao lưu và khôi phục dữ liệu</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3.11</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4.11</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5.11</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6.11</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7.11</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hạ tầng mạng</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3.12</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4.12</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5.12</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6.12</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7.12</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Giám sát và phòng thủ ANM</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5.13</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6.13</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7.13</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Nhân sự vận hành, quản trị, bảo vệ ANM</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3.13</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4.13</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5.14</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6.14</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7.14</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nhà cung cấp sản phẩm, dịch vụ</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3.14</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4.14</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5.15</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6.15</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7.15</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Phát triển ứng dụng an toàn</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5.17</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6.16</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7.16</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trị ứng phó sự cố ANM</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3.15</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4.15</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5.16</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6.17</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7.17</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kiểm tra ANM</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5.18</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6.18</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7.18</w:t>
            </w:r>
          </w:p>
        </w:tc>
      </w:tr>
      <w:tr>
        <w:trPr>
          <w:cantSplit/>
          <w:tblHeader w:val="false"/>
        </w:trPr>
        <w:tc>
          <w:tcPr>
            <w:tcW w:type="dxa" w:w="52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An ninh vật lý (tham khảo; ngoài yêu cầu cơ bản theo Đ30.2)</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Phụ lục A</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Lưu ý: thứ tự mục "Phát triển ứng dụng an toàn" và "Quản trị ứng phó sự cố" ở cấp 3 (5.17, 5.16) khác cấp 4–5 (6.16/7.16, 6.17/7.17) — kiểm tra kỹ khi dẫn số mục.</w:t>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F. Tổng hợp kế hoạch khắc phục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87"/>
        <w:gridCol w:w="695"/>
        <w:gridCol w:w="1190"/>
        <w:gridCol w:w="1190"/>
        <w:gridCol w:w="2139"/>
        <w:gridCol w:w="844"/>
        <w:gridCol w:w="1190"/>
        <w:gridCol w:w="1190"/>
      </w:tblGrid>
      <w:tr>
        <w:trPr>
          <w:cantSplit/>
          <w:tblHeader/>
        </w:trPr>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STT</w:t>
            </w:r>
          </w:p>
        </w:tc>
        <w:tc>
          <w:tcPr>
            <w:tcW w:type="dxa" w:w="6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Mã yêu cầu</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Nội dung chưa đáp ứng</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Biện pháp</w:t>
            </w:r>
          </w:p>
        </w:tc>
        <w:tc>
          <w:tcPr>
            <w:tcW w:type="dxa" w:w="21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Người/đơn vị phụ trách</w:t>
            </w:r>
          </w:p>
        </w:tc>
        <w:tc>
          <w:tcPr>
            <w:tcW w:type="dxa" w:w="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Hạn hoàn thành</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Nguồn lực</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Trạng thái</w:t>
            </w:r>
          </w:p>
        </w:tc>
      </w:tr>
      <w:tr>
        <w:trPr>
          <w:cantSplit/>
          <w:tblHeader w:val="false"/>
        </w:trPr>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RR-01</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1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15</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Mốc chuyển tiếp cần đáp ứng: 12 tháng kể từ 01/7/2026 với HTTT đã có cấp độ theo Luật ATTTM (Luật 116 Đ45.1) hoặc đang đầu tư trước 01/7/2026 (NĐ 331 Đ39.1) — xem ../01-xac-dinh-cap-do/tham-quyen-trinh-tu.md.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069"/>
        <w:gridCol w:w="4069"/>
        <w:gridCol w:w="887"/>
      </w:tblGrid>
      <w:tr>
        <w:trPr>
          <w:cantSplit/>
          <w:tblHeader/>
        </w:trPr>
        <w:tc>
          <w:tcPr>
            <w:tcW w:type="dxa" w:w="40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Người lập</w:t>
            </w:r>
          </w:p>
        </w:tc>
        <w:tc>
          <w:tcPr>
            <w:tcW w:type="dxa" w:w="40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Đơn vị chuyên trách ANM soát xét</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Ngày</w:t>
            </w:r>
          </w:p>
        </w:tc>
      </w:tr>
      <w:tr>
        <w:trPr>
          <w:cantSplit/>
          <w:tblHeader w:val="false"/>
        </w:trPr>
        <w:tc>
          <w:tcPr>
            <w:tcW w:type="dxa" w:w="4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Lê Minh Cường</w:t>
            </w:r>
          </w:p>
        </w:tc>
        <w:tc>
          <w:tcPr>
            <w:tcW w:type="dxa" w:w="4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Trần Thị Bình</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15</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phương án bảo đảm an ninh mạng — khung</dc:title>
  <dc:creator>vn-cyber-compliance</dc:creator>
  <cp:lastModifiedBy>Un-named</cp:lastModifiedBy>
  <cp:revision>1</cp:revision>
  <dcterms:created xsi:type="dcterms:W3CDTF">2026-09-24T11:07:27.276Z</dcterms:created>
  <dcterms:modified xsi:type="dcterms:W3CDTF">2026-09-24T11:07:27.276Z</dcterms:modified>
</cp:coreProperties>
</file>

<file path=docProps/custom.xml><?xml version="1.0" encoding="utf-8"?>
<Properties xmlns="http://schemas.openxmlformats.org/officeDocument/2006/custom-properties" xmlns:vt="http://schemas.openxmlformats.org/officeDocument/2006/docPropsVTypes"/>
</file>