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/>
          <w:sz w:val="28"/>
          <w:szCs w:val="28"/>
        </w:rPr>
        <w:t xml:space="preserve">Quy trình tiếp nhận, xử lý yêu cầu của cơ quan chức năng về an ninh mạng</w:t>
      </w: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Căn cứ: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Luật 116/2025/QH15 Đ12, Đ25.2, Đ41.5–41.6, Đ42.3–42.4; NĐ 333/2026/NĐ-CP Đ4, Đ7.5–7.6, Đ10.3, Đ11, Đ12, Đ13, Đ14.2, Đ16.3–16.5, Đ18, Đ23; NĐ 331/2026/NĐ-CP Đ26, Đ33.5; NĐ 330/2026/NĐ-CP Đ27.1, Đ29.2, Đ30.1 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Đối chiếu văn bản gốc: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24/09/2026 ·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Trạng thái: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Bản khung v0.1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Mã quy trình: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QT-YC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· Ban hành kèm Quy chế bảo đảm ANM (Điều 14, 36) · Đầu mối tiếp nhận: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An ninh mạng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(thường trực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028 1234 5699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yeucau-anm@example.vn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) · Phối hợp: pháp chế,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Chuyên viên bảo vệ DLCN (bà Phạm Thu Dung)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Phòng Vận hành hệ thống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1. Phạm vi áp dụng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446"/>
        <w:gridCol w:w="4579"/>
      </w:tblGrid>
      <w:tr>
        <w:trPr>
          <w:cantSplit/>
          <w:tblHeader/>
        </w:trPr>
        <w:tc>
          <w:tcPr>
            <w:tcW w:type="dxa" w:w="4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Nhóm đối tượng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Áp dụng các mục</w:t>
            </w:r>
          </w:p>
        </w:tc>
      </w:tr>
      <w:tr>
        <w:trPr>
          <w:cantSplit/>
          <w:tblHeader w:val="false"/>
        </w:trPr>
        <w:tc>
          <w:tcPr>
            <w:tcW w:type="dxa" w:w="4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Mọi chủ quản HTTT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Kiểm tra ANM (mục 2.8), giám sát (2.9), khắc phục lỗ hổng (2.11), mã hóa (2.10), đình chỉ hệ thống (2.7)</w:t>
            </w:r>
          </w:p>
        </w:tc>
      </w:tr>
      <w:tr>
        <w:trPr>
          <w:cantSplit/>
          <w:tblHeader w:val="false"/>
        </w:trPr>
        <w:tc>
          <w:tcPr>
            <w:tcW w:type="dxa" w:w="4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Doanh nghiệp (trong nước, nước ngoài) cung cấp dịch vụ trên mạng viễn thông, Internet, dịch vụ gia tăng trên không gian mạng tại Việt Nam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Thêm: cung cấp thông tin người dùng (2.1), ngăn chặn/gỡ bỏ (2.2–2.4), ngừng dịch vụ (2.5), xóa thông tin (2.6)</w:t>
            </w:r>
          </w:p>
        </w:tc>
      </w:tr>
      <w:tr>
        <w:trPr>
          <w:cantSplit/>
          <w:tblHeader w:val="false"/>
        </w:trPr>
        <w:tc>
          <w:tcPr>
            <w:tcW w:type="dxa" w:w="4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Doanh nghiệp viễn thông, Internet, hosting, trung tâm dữ liệu, ứng dụng viễn thông</w:t>
            </w:r>
          </w:p>
        </w:tc>
        <w:tc>
          <w:tcPr>
            <w:tcW w:type="dxa" w:w="457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Thêm: NĐ 333 Đ18.2; định danh IP (2.12)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2. Danh mục loại yêu cầu và thời hạn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40"/>
        <w:gridCol w:w="1647"/>
        <w:gridCol w:w="1143"/>
        <w:gridCol w:w="1207"/>
        <w:gridCol w:w="1207"/>
        <w:gridCol w:w="1531"/>
        <w:gridCol w:w="1650"/>
      </w:tblGrid>
      <w:tr>
        <w:trPr>
          <w:cantSplit/>
          <w:tblHeader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Loại yêu cầu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Chủ thể yêu cầu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Thời hạn thực hiện (tính từ khi nhận yêu cầu)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Hình thức yêu cầu hợp lệ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Căn cứ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Chế tài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Cung cấp thông tin người sử dụng dịch vụ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bảo vệ ANM thuộc BCA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24 giờ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khẩn cấp đe dọa xâm hại ANQG, tính mạng con người: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03 giờ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Văn bản, thư điện tử, điện thoại hoặc hình thức trao đổi khác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đã được xác nhận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(Luật); văn bản, phương tiện điện tử hoặc hình thức khác bảo đảm xác thực chủ thể yêu cầu (NĐ 333)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Luật 116 Đ25.2.a; NĐ 333 Đ16.3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Đ30.1.a: tổ chức 50–100 triệu đồng (khung cá nhân 25–50 — NĐ 330 Đ7.1) (không cung cấp/quá 24 giờ không lý do chính đáng)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2.2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Ngăn chặn chia sẻ, xóa bỏ thông tin, gỡ bỏ dịch vụ, ứng dụng vi phạm;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lưu nhật ký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phục vụ điều tra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24 giờ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khẩn cấp đe dọa xâm hại ANQG: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06 giờ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Yêu cầu của lực lượng chuyên trách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Luật 116 Đ25.2.b; NĐ 333 Đ16.4.a–b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Đ29.2.a: tổ chức 100–140 triệu đồng (khung cá nhân 50–70); buộc ngừng dịch vụ/xóa khỏi kho ứng dụng (Đ29.3.b–c)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2.3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Ngăn chặn, gỡ bỏ nội dung, dịch vụ, ứng dụng (DN viễn thông, Internet, hosting, data center, ứng dụng viễn thông)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24 giờ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Văn bản, điện thoại hoặc thư điện tử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Đ18.2.a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2.4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Hạn chế hiển thị/khóa tạm thời hoặc vô thời hạn tài khoản, trang, nhóm, kênh vi phạm lặp lại; xem xét khôi phục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yêu cầu cơ quan có thẩm quyền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yêu cầu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Đ16.4.c–e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2.5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Không cung cấp/tạm ngừng/ngừng dịch vụ cho tổ chức, cá nhân đăng tải thông tin vi phạm Luật 116 Đ13.1–13.3, Đ14.2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yêu cầu; bảo đảm đúng phạm vi, đối tượng, thời hạn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Luật 116 Đ25.2.c; NĐ 333 Đ16.5, Đ18.2.b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Đ29.2.b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2.6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Xóa bỏ thông tin trái pháp luật, sai sự thật, tin giả xâm phạm ANQG, TTATXH, quyền và lợi ích hợp pháp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 (HTTT quân sự: BQP)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văn bản yêu cầu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[CẦN ĐỐI CHIẾU: Đ11 không nêu thời hạn riêng; khi là DN dịch vụ áp mốc 24h/06h của mục 2.2]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Văn bản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Đ11.2.b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Đ32.1.a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2.7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Đình chỉ, tạm đình chỉ, yêu cầu ngừng hoạt động HTTT; tạm ngừng, thu hồi tên miền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Bộ trưởng BCA quyết định; lực lượng chuyên trách thực hiện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quyết định;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cấp bách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: có thể yêu cầu trực tiếp, qua fax, thư điện tử — BCA phải gửi văn bản trong ≤ 24 giờ, quá hạn không có văn bản thì hệ thống được tiếp tục hoạt động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Quyết định + văn bản; lập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biên bản 02 bản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Đ13.2–13.4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2.8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Kiểm tra ANM (HTTT không thuộc danh mục ANQG)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kế hoạch được thông báo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Thông báo kế hoạch; quyết định thành lập Đoàn kiểm tra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Luật 116 Đ12; NĐ 331 Đ26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Đ27.1.a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2.9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Giám sát ANM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Thông báo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trước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bằng văn bản; khẩn cấp: triển khai ngay, văn bản thông báo trong ≤ 24 giờ kể từ khi triển khai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Văn bản thông báo (lý do, phạm vi, nội dung, thời gian)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Đ7.5.a–b, Đ7.6; NĐ 331 Đ33.5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Đ23.2.b, d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2.10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Mã hóa thông tin (không thuộc bí mật nhà nước) trước khi lưu trữ, truyền đưa trên Internet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văn bản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Văn bản nêu lý do, phạm vi, nội dung, biện pháp mã hóa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Đ10.3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2.11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Khắc phục điểm yếu, lỗ hổng bảo mật, hành vi vi phạm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yêu cầu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Đ27.1.c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tổ chức 50–100 triệu đồng (khung cá nhân 25–50)</w:t>
            </w: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2.12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Cung cấp thông tin định danh địa chỉ IP (DN viễn thông, Internet)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24 giờ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; khẩn cấp (ANQG, khủng bố mạng, tấn công mạng, tội phạm đặc biệt nghiêm trọng):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≤ 03 giờ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Văn bản hoặc yêu cầu điện tử hợp lệ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Luật 116 Đ41.5; NĐ 333 Đ23.2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2.13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Thu thập dữ liệu điện tử phục vụ điều tra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Lực lượng chuyên trách thuộc BCA/BQP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Theo quyết định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Phê duyệt của người có thẩm quyền; biên bản, hình ảnh</w:t>
            </w: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333 Đ12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2.14</w:t>
            </w:r>
          </w:p>
        </w:tc>
        <w:tc>
          <w:tcPr>
            <w:tcW w:type="dxa" w:w="16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Cung cấp thông tin, phối hợp điều tra, xử lý hành vi vi phạm; tạo điều kiện cho biện pháp bảo vệ ANM</w:t>
            </w:r>
          </w:p>
        </w:tc>
        <w:tc>
          <w:tcPr>
            <w:tcW w:type="dxa" w:w="11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Cơ quan có thẩm quyền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Kịp thời</w:t>
            </w:r>
          </w:p>
        </w:tc>
        <w:tc>
          <w:tcPr>
            <w:tcW w:type="dxa" w:w="12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5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Luật 116 Đ41.6, Đ42.3–42.4; NĐ 333 Đ14.2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NĐ 330 Đ30</w:t>
            </w:r>
          </w:p>
        </w:tc>
      </w:tr>
    </w:tbl>
    <w:p>
      <w:pPr>
        <w:spacing w:after="60" w:before="0" w:line="276" w:lineRule="auto"/>
        <w:jc w:val="both"/>
      </w:pPr>
    </w:p>
    <w:p>
      <w:pPr>
        <w:pBdr>
          <w:left w:val="single" w:color="999999" w:sz="12" w:space="8"/>
        </w:pBdr>
        <w:spacing w:after="120" w:before="0" w:line="276" w:lineRule="auto"/>
        <w:ind w:left="283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Nguyên tắc cân bằng: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Biện pháp bảo vệ ANM chỉ được áp dụng đúng thẩm quyền, trình tự và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sau khi có quyết định phê duyệt bằng văn bản của người có thẩm quyền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(NĐ 333 Đ4.2). Do đó phải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xác thực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yêu cầu — nhưng đồng hồ 24h/06h/03h </w:t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chạy từ khi nhận yêu cầu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, nên việc xác thực phải nhanh (gợi ý ≤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  <w:highlight w:val="yellow"/>
        </w:rPr>
        <w:t xml:space="preserve">30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 phút với yêu cầu khẩn cấp). Không dùng việc xác thực để trì hoãn.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3. Luồng xử lý</w:t>
      </w:r>
    </w:p>
    <w:p>
      <w:pPr>
        <w:spacing w:after="120" w:before="0" w:line="276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[Sơ đồ — xem bản trực tuyến: docs/04-chinh-sach-quy-trinh/quy-trinh-tiep-nhan-yeu-cau-co-quan-chuc-nang.md]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830"/>
        <w:gridCol w:w="4368"/>
        <w:gridCol w:w="1916"/>
        <w:gridCol w:w="1911"/>
      </w:tblGrid>
      <w:tr>
        <w:trPr>
          <w:cantSplit/>
          <w:tblHeader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Bước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Nội dung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Ai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Bằng chứng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B1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Mọi nhân viên nhận được yêu cầu (kể cả qua điện thoại cá nhân) phải chuyển ngay cho đầu mối; đầu mối ghi sổ: số/ký hiệu, cơ quan, người yêu cầu, kênh,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thời điểm nhận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Đầu mối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Sổ theo dõi (mục 5)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B2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Xác thực: đối chiếu danh bạ cơ quan chức năng đã xác minh (xem danh bạ); gọi lại số chính thức; kiểm tra văn bản, chữ ký số, email tên miền cơ quan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Đầu mối + pháp chế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Ghi chú xác minh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B3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Xác định loại, hạn chót; khẩn cấp → kích hoạt trực 24/7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Đầu mối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Sổ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B4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Xác định đúng phạm vi dữ liệu/nội dung; tối thiểu hóa; nếu yêu cầu vượt phạm vi pháp luật, trao đổi lại với cơ quan yêu cầu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song song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với việc chuẩn bị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Pháp chế,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Chuyên viên bảo vệ DLCN (bà Phạm Thu Dung)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Ý kiến pháp chế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B5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Thực hiện bởi người được phân quyền;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không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thông báo cho người dùng bị yêu cầu nếu cơ quan yêu cầu bảo mật; lưu nhật ký hệ thống liên quan (Luật 116 Đ25.2.b)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Phòng Vận hành hệ thống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Log thao tác, ảnh chụp trước/sau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B6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Gửi phản hồi/xác nhận; dữ liệu cung cấp được bảo vệ (mã hóa, kênh an toàn) — bảo đảm bảo mật thông tin được cung cấp (NĐ 333 Đ16.3.b)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Đầu mối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Bản phản hồi, xác nhận nhận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B7</w:t>
            </w:r>
          </w:p>
        </w:tc>
        <w:tc>
          <w:tcPr>
            <w:tcW w:type="dxa" w:w="43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Lưu hồ sơ; hạn chế người tiếp cận; tổng hợp số liệu định kỳ cho lãnh đạo</w:t>
            </w:r>
          </w:p>
        </w:tc>
        <w:tc>
          <w:tcPr>
            <w:tcW w:type="dxa" w:w="19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Đầu mối</w:t>
            </w:r>
          </w:p>
        </w:tc>
        <w:tc>
          <w:tcPr>
            <w:tcW w:type="dxa" w:w="191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Hồ sơ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4. Quy trình riêng khi có đoàn kiểm tra ANM (NĐ 331 Đ26)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1. Nhận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thông báo kế hoạch kiểm tra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→ xác thực, báo lãnh đạo, chỉ định đầu mối phối hợp (Đ26.1.a).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2. Nhận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quyết định thành lập Đoàn kiểm tra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 chuẩn bị hồ sơ: QĐ phê duyệt cấp độ, Quy chế, báo cáo tự đánh giá, sổ sự cố, sổ rủi ro, kết quả rà quét, danh mục tài sản (Đ26.1.b; nội dung kiểm tra Đ27).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Phối hợp chặt chẽ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trong quá trình kiểm tra; bố trí quyền truy cập có giám sát; ghi nhật ký hoạt động của đoàn (Đ26.1.c).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4. Ký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biên bản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quá trình, kết quả kiểm tra; ghi ý kiến (nếu có) (Đ26.1.d). Kết quả kiểm tra được bảo mật (Luật 116 Đ12.4).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5. Nhận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thông báo kết quả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 lập kế hoạch khắc phục, báo cáo kết quả khắc phục (Đ26.1.đ).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6. Trường hợp lực lượng chuyên trách đề nghị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giữ nguyên hiện trạng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/tạm ngừng kiểm tra: văn bản phải ghi rõ lý do, mục đích, thời gian; chủ quản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lập phương án dự phòng bảo đảm tính liên tục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trước khi cách ly hiện trạng, trừ trường hợp khẩn cấp ngăn chặn xâm phạm ANQG (Đ26.2).</w:t>
      </w:r>
    </w:p>
    <w:p>
      <w:pPr>
        <w:spacing w:after="60" w:before="0" w:line="276" w:lineRule="auto"/>
        <w:ind w:left="453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7. Chủ quản có thể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chủ động đề nghị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kiểm tra ANM (Luật 116 Đ12.1.b).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5. Sổ theo dõi yêu cầu của cơ quan chức năng</w:t>
      </w:r>
    </w:p>
    <w:p>
      <w:pPr>
        <w:sectPr>
          <w:pgSz w:w="11905" w:h="16837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289"/>
        <w:gridCol w:w="839"/>
        <w:gridCol w:w="839"/>
        <w:gridCol w:w="968"/>
        <w:gridCol w:w="839"/>
        <w:gridCol w:w="839"/>
        <w:gridCol w:w="715"/>
        <w:gridCol w:w="839"/>
        <w:gridCol w:w="1097"/>
        <w:gridCol w:w="839"/>
        <w:gridCol w:w="968"/>
        <w:gridCol w:w="968"/>
        <w:gridCol w:w="715"/>
        <w:gridCol w:w="968"/>
        <w:gridCol w:w="1235"/>
      </w:tblGrid>
      <w:tr>
        <w:trPr>
          <w:cantSplit/>
          <w:tblHeader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Mã YC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Thời điểm nhận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Kênh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Cơ quan / người yêu cầu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Số, ký hiệu văn bản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Loại (mục 2)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Khẩn cấp?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Hạn chót</w:t>
            </w:r>
          </w:p>
        </w:tc>
        <w:tc>
          <w:tcPr>
            <w:tcW w:type="dxa" w:w="1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Xác thực (cách, người, thời điểm)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Phạm vi được yêu cầu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Người thực hiện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Thời điểm hoàn thành</w:t>
            </w: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Đúng hạn?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Phản hồi (số, ngày)</w:t>
            </w: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Ghi chú/pháp chế</w:t>
            </w:r>
          </w:p>
        </w:tc>
      </w:tr>
      <w:tr>
        <w:trPr>
          <w:cantSplit/>
          <w:tblHeader w:val="false"/>
        </w:trPr>
        <w:tc>
          <w:tcPr>
            <w:tcW w:type="dxa" w:w="12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YC-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  <w:highlight w:val="yellow"/>
              </w:rPr>
              <w:t xml:space="preserve">2026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-001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0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☐</w:t>
            </w:r>
          </w:p>
        </w:tc>
        <w:tc>
          <w:tcPr>
            <w:tcW w:type="dxa" w:w="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2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ectPr>
          <w:pgSz w:w="16837" w:h="11905" w:orient="landscape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Quy định quản lý sổ: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Sổ điện tử có kiểm soát truy cập (chỉ đầu mối, pháp chế, lãnh đạo); nhật ký truy cập sổ.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Lưu tối thiểu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05 năm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(gợi ý ≥ 5 năm hoặc theo quy định lưu trữ nội bộ).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Rà soát tỷ lệ đúng hạn hằng quý; phân tích nguyên nhân trễ hạn.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8"/>
          <w:szCs w:val="28"/>
        </w:rPr>
        <w:t xml:space="preserve">6. Chuẩn bị sẵn (điều kiện tiên quyết để đáp ứng 03h/06h)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Thường trực 24/7 và danh sách người được quyền thực hiện ngoài giờ.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Công cụ/runbook trích xuất nhanh thông tin người dùng (tài khoản, thời gian đăng nhập/đăng xuất, IP, cổng nguồn — NĐ 333 Đ16.6.b) và gỡ/chặn nội dung theo định danh.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Nhật ký hệ thống truy xuất được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≥ 12 tháng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(NĐ 333 Đ16.6.c, Đ20.3).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Mẫu văn bản phản hồi; kênh truyền an toàn đã thống nhất với cơ quan chức năng.</w:t>
      </w:r>
    </w:p>
    <w:p>
      <w:pPr>
        <w:spacing w:after="60" w:before="0" w:line="276" w:lineRule="auto"/>
        <w:ind w:left="453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Diễn tập tình huống "yêu cầu khẩn cấp 03 giờ lúc 2 giờ sáng" ít nhất 01 lần/năm (đưa vào kế hoạch diễn tập).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tiếp nhận, xử lý yêu cầu của cơ quan chức năng về an ninh mạng</dc:title>
  <dc:creator>vn-cyber-compliance</dc:creator>
  <cp:lastModifiedBy>Un-named</cp:lastModifiedBy>
  <cp:revision>1</cp:revision>
  <dcterms:created xsi:type="dcterms:W3CDTF">2026-09-24T11:07:27.843Z</dcterms:created>
  <dcterms:modified xsi:type="dcterms:W3CDTF">2026-09-24T11:07:27.843Z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