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HỎI ĐÁP</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Bảo vệ dữ liệu cá nhân khi dùng camera, nhận diện khuôn mặt, nhận diện biển số</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Tài liệu hỗ trợ khách hàng của </w:t>
      </w: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 · Cập nhật ngày </w:t>
      </w:r>
      <w:r>
        <w:rPr>
          <w:rFonts w:ascii="Times New Roman" w:cs="Times New Roman" w:eastAsia="Times New Roman" w:hAnsi="Times New Roman"/>
          <w:b w:val="false"/>
          <w:bCs w:val="false"/>
          <w:i/>
          <w:iCs/>
          <w:sz w:val="26"/>
          <w:szCs w:val="26"/>
          <w:highlight w:val="yellow"/>
        </w:rPr>
        <w:t xml:space="preserve">01/10/2026</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Viết tắt:</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Luật BVDLCN</w:t>
      </w:r>
      <w:r>
        <w:rPr>
          <w:rFonts w:ascii="Times New Roman" w:cs="Times New Roman" w:eastAsia="Times New Roman" w:hAnsi="Times New Roman"/>
          <w:b w:val="false"/>
          <w:bCs w:val="false"/>
          <w:i w:val="false"/>
          <w:iCs w:val="false"/>
          <w:sz w:val="26"/>
          <w:szCs w:val="26"/>
        </w:rPr>
        <w:t xml:space="preserve"> — Luật Bảo vệ dữ liệu cá nhân số 91/2025/QH15; </w:t>
      </w:r>
      <w:r>
        <w:rPr>
          <w:rFonts w:ascii="Times New Roman" w:cs="Times New Roman" w:eastAsia="Times New Roman" w:hAnsi="Times New Roman"/>
          <w:b/>
          <w:bCs/>
          <w:i w:val="false"/>
          <w:iCs w:val="false"/>
          <w:sz w:val="26"/>
          <w:szCs w:val="26"/>
        </w:rPr>
        <w:t xml:space="preserve">Nghị định 356</w:t>
      </w:r>
      <w:r>
        <w:rPr>
          <w:rFonts w:ascii="Times New Roman" w:cs="Times New Roman" w:eastAsia="Times New Roman" w:hAnsi="Times New Roman"/>
          <w:b w:val="false"/>
          <w:bCs w:val="false"/>
          <w:i w:val="false"/>
          <w:iCs w:val="false"/>
          <w:sz w:val="26"/>
          <w:szCs w:val="26"/>
        </w:rPr>
        <w:t xml:space="preserve"> — Nghị định số 356/2025/NĐ-CP quy định chi tiết Luật Bảo vệ dữ liệu cá nhân; </w:t>
      </w:r>
      <w:r>
        <w:rPr>
          <w:rFonts w:ascii="Times New Roman" w:cs="Times New Roman" w:eastAsia="Times New Roman" w:hAnsi="Times New Roman"/>
          <w:b/>
          <w:bCs/>
          <w:i w:val="false"/>
          <w:iCs w:val="false"/>
          <w:sz w:val="26"/>
          <w:szCs w:val="26"/>
        </w:rPr>
        <w:t xml:space="preserve">Nghị định 330</w:t>
      </w:r>
      <w:r>
        <w:rPr>
          <w:rFonts w:ascii="Times New Roman" w:cs="Times New Roman" w:eastAsia="Times New Roman" w:hAnsi="Times New Roman"/>
          <w:b w:val="false"/>
          <w:bCs w:val="false"/>
          <w:i w:val="false"/>
          <w:iCs w:val="false"/>
          <w:sz w:val="26"/>
          <w:szCs w:val="26"/>
        </w:rPr>
        <w:t xml:space="preserve"> — Nghị định số 330/2026/NĐ-CP quy định xử phạt vi phạm hành chính trong lĩnh vực an ninh mạng và bảo vệ dữ liệu cá nhân. Mức phạt nêu dưới đây là mức cho </w:t>
      </w:r>
      <w:r>
        <w:rPr>
          <w:rFonts w:ascii="Times New Roman" w:cs="Times New Roman" w:eastAsia="Times New Roman" w:hAnsi="Times New Roman"/>
          <w:b/>
          <w:bCs/>
          <w:i w:val="false"/>
          <w:iCs w:val="false"/>
          <w:sz w:val="26"/>
          <w:szCs w:val="26"/>
        </w:rPr>
        <w:t xml:space="preserve">tổ chức</w:t>
      </w:r>
      <w:r>
        <w:rPr>
          <w:rFonts w:ascii="Times New Roman" w:cs="Times New Roman" w:eastAsia="Times New Roman" w:hAnsi="Times New Roman"/>
          <w:b w:val="false"/>
          <w:bCs w:val="false"/>
          <w:i w:val="false"/>
          <w:iCs w:val="false"/>
          <w:sz w:val="26"/>
          <w:szCs w:val="26"/>
        </w:rPr>
        <w:t xml:space="preserve">; cá nhân bị phạt bằng một nửa (khoản 1 Điều 7 Nghị định 330).</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Tài liệu này là thông tin chung, không thay thế tư vấn pháp lý cho trường hợp cụ thể.</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A. Có phải làm hồ sơ không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1. Doanh nghiệp nhỏ có phải lập hồ sơ đánh giá tác động (DPIA) khi dùng nhận diện khuôn mặt không?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Có.</w:t>
      </w:r>
      <w:r>
        <w:rPr>
          <w:rFonts w:ascii="Times New Roman" w:cs="Times New Roman" w:eastAsia="Times New Roman" w:hAnsi="Times New Roman"/>
          <w:b w:val="false"/>
          <w:bCs w:val="false"/>
          <w:i w:val="false"/>
          <w:iCs w:val="false"/>
          <w:sz w:val="26"/>
          <w:szCs w:val="26"/>
        </w:rPr>
        <w:t xml:space="preserve"> Luật cho doanh nghiệp nhỏ, khởi nghiệp được lựa chọn không lập DPIA, không chỉ định nhân sự bảo vệ dữ liệu cá nhân trong 05 năm; hộ kinh doanh, doanh nghiệp siêu nhỏ không phải làm. Nhưng miễn trừ </w:t>
      </w:r>
      <w:r>
        <w:rPr>
          <w:rFonts w:ascii="Times New Roman" w:cs="Times New Roman" w:eastAsia="Times New Roman" w:hAnsi="Times New Roman"/>
          <w:b/>
          <w:bCs/>
          <w:i w:val="false"/>
          <w:iCs w:val="false"/>
          <w:sz w:val="26"/>
          <w:szCs w:val="26"/>
        </w:rPr>
        <w:t xml:space="preserve">không áp dụng</w:t>
      </w:r>
      <w:r>
        <w:rPr>
          <w:rFonts w:ascii="Times New Roman" w:cs="Times New Roman" w:eastAsia="Times New Roman" w:hAnsi="Times New Roman"/>
          <w:b w:val="false"/>
          <w:bCs w:val="false"/>
          <w:i w:val="false"/>
          <w:iCs w:val="false"/>
          <w:sz w:val="26"/>
          <w:szCs w:val="26"/>
        </w:rPr>
        <w:t xml:space="preserve"> khi doanh nghiệp </w:t>
      </w:r>
      <w:r>
        <w:rPr>
          <w:rFonts w:ascii="Times New Roman" w:cs="Times New Roman" w:eastAsia="Times New Roman" w:hAnsi="Times New Roman"/>
          <w:b/>
          <w:bCs/>
          <w:i w:val="false"/>
          <w:iCs w:val="false"/>
          <w:sz w:val="26"/>
          <w:szCs w:val="26"/>
        </w:rPr>
        <w:t xml:space="preserve">trực tiếp xử lý dữ liệu cá nhân nhạy cảm</w:t>
      </w:r>
      <w:r>
        <w:rPr>
          <w:rFonts w:ascii="Times New Roman" w:cs="Times New Roman" w:eastAsia="Times New Roman" w:hAnsi="Times New Roman"/>
          <w:b w:val="false"/>
          <w:bCs w:val="false"/>
          <w:i w:val="false"/>
          <w:iCs w:val="false"/>
          <w:sz w:val="26"/>
          <w:szCs w:val="26"/>
        </w:rPr>
        <w:t xml:space="preserve">. Đặc điểm khuôn mặt dùng để xác định danh tính là dữ liệu sinh trắc học — dữ liệu nhạy cảm. Vì vậy khi bật nhận diện khuôn mặt, doanh nghiệp ở mọi quy mô phải lập DPIA, gửi 01 bản chính cho cơ quan chuyên trách trong 60 ngày kể từ ngày bắt đầu xử lý, và chỉ định nhân sự bảo vệ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Nếu chỉ dùng camera </w:t>
      </w:r>
      <w:r>
        <w:rPr>
          <w:rFonts w:ascii="Times New Roman" w:cs="Times New Roman" w:eastAsia="Times New Roman" w:hAnsi="Times New Roman"/>
          <w:b/>
          <w:bCs/>
          <w:i w:val="false"/>
          <w:iCs w:val="false"/>
          <w:sz w:val="26"/>
          <w:szCs w:val="26"/>
        </w:rPr>
        <w:t xml:space="preserve">không nhận diện</w:t>
      </w:r>
      <w:r>
        <w:rPr>
          <w:rFonts w:ascii="Times New Roman" w:cs="Times New Roman" w:eastAsia="Times New Roman" w:hAnsi="Times New Roman"/>
          <w:b w:val="false"/>
          <w:bCs w:val="false"/>
          <w:i w:val="false"/>
          <w:iCs w:val="false"/>
          <w:sz w:val="26"/>
          <w:szCs w:val="26"/>
        </w:rPr>
        <w:t xml:space="preserve">: doanh nghiệp nhỏ, khởi nghiệp được lựa chọn trong 05 năm (từ 01/01/2026), trừ khi xử lý dữ liệu của từ 100.000 chủ thể trở lên tính tích lũy.</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Không lập DPIA: phạt 20–30 triệu đồng và có thể bị </w:t>
      </w:r>
      <w:r>
        <w:rPr>
          <w:rFonts w:ascii="Times New Roman" w:cs="Times New Roman" w:eastAsia="Times New Roman" w:hAnsi="Times New Roman"/>
          <w:b/>
          <w:bCs/>
          <w:i w:val="false"/>
          <w:iCs w:val="false"/>
          <w:sz w:val="26"/>
          <w:szCs w:val="26"/>
        </w:rPr>
        <w:t xml:space="preserve">buộc dừng xử lý</w:t>
      </w:r>
      <w:r>
        <w:rPr>
          <w:rFonts w:ascii="Times New Roman" w:cs="Times New Roman" w:eastAsia="Times New Roman" w:hAnsi="Times New Roman"/>
          <w:b w:val="false"/>
          <w:bCs w:val="false"/>
          <w:i w:val="false"/>
          <w:iCs w:val="false"/>
          <w:sz w:val="26"/>
          <w:szCs w:val="26"/>
        </w:rPr>
        <w:t xml:space="preserve"> đến khi hoàn thành hồ sơ.</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khoản 2, khoản 3 Điều 38, khoản 2 Điều 31, khoản 1 Điều 21 Luật BVDLCN; điểm đ khoản 1 Điều 4, Điều 41 Nghị định 356; khoản 1, điểm b khoản 3 Điều 55 Nghị định 330. Tiêu chí doanh nghiệp nhỏ, siêu nhỏ: Điều 4 Luật Hỗ trợ doanh nghiệp nhỏ và vừa số 04/2017/QH14 và Điều 5 Nghị định số 80/2021/NĐ-CP (số lao động tham gia bảo hiểm xã hội bình quân năm và doanh thu hoặc tổng nguồn vốn). "Doanh nghiệp khởi nghiệp" chưa được Luật BVDLCN định nghĩa — </w:t>
      </w:r>
      <w:r>
        <w:rPr>
          <w:rFonts w:ascii="Times New Roman" w:cs="Times New Roman" w:eastAsia="Times New Roman" w:hAnsi="Times New Roman"/>
          <w:b/>
          <w:bCs/>
          <w:i w:val="false"/>
          <w:iCs w:val="false"/>
          <w:sz w:val="26"/>
          <w:szCs w:val="26"/>
        </w:rPr>
        <w:t xml:space="preserve">[CẦN ĐỐI CHIẾU]</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2. Nhân sự bảo vệ dữ liệu cá nhân phải đáp ứng điều kiện gì? Có thuê ngoài được không?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Nhân sự do doanh nghiệp chỉ định phải: có trình độ cao đẳng trở lên; ít nhất 02 năm kinh nghiệm về pháp chế, công nghệ thông tin, an ninh mạng, an ninh dữ liệu, quản trị rủi ro, kiểm soát tuân thủ, quản lý nhân sự hoặc tổ chức cán bộ; đã được đào tạo về bảo vệ dữ liệu cá nhân. Việc chỉ định phải bằng văn bản chính thức và ký thỏa thuận bảo mật. Doanh nghiệp có thể thuê cá nhân, tổ chức cung cấp dịch vụ bảo vệ dữ liệu cá nhân đủ điều kiện thay cho việc tự chỉ định.</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khoản 2 Điều 33 Luật BVDLCN; Điều 13, Điều 15, Điều 16 Nghị định 356; Điều 57 Nghị định 330 (không chỉ định: 20–30 triệu đồng).</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 Camera an ninh và nơi làm việc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3. Lắp camera an ninh ở cửa hàng, sảnh, nhà xưởng có phải xin đồng ý của từng người không?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nếu ghi hình tại nơi công cộng, khu vực khách hàng để bảo đảm an ninh, bảo vệ quyền, lợi ích hợp pháp. Đổi lại, doanh nghiệp phải: đặt biển báo hoặc thông báo điện tử ở vị trí dễ nhận biết; công khai đầu mối để người dân yêu cầu xem hình ảnh của mình; chỉ dùng đúng mục đích; chỉ lưu trong thời gian cần thiết; không trích xuất, chia sẻ, trừ khi cơ quan có thẩm quyền yêu cầu bằng văn bản.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Với camera tại </w:t>
      </w:r>
      <w:r>
        <w:rPr>
          <w:rFonts w:ascii="Times New Roman" w:cs="Times New Roman" w:eastAsia="Times New Roman" w:hAnsi="Times New Roman"/>
          <w:b/>
          <w:bCs/>
          <w:i w:val="false"/>
          <w:iCs w:val="false"/>
          <w:sz w:val="26"/>
          <w:szCs w:val="26"/>
        </w:rPr>
        <w:t xml:space="preserve">nơi làm việc</w:t>
      </w:r>
      <w:r>
        <w:rPr>
          <w:rFonts w:ascii="Times New Roman" w:cs="Times New Roman" w:eastAsia="Times New Roman" w:hAnsi="Times New Roman"/>
          <w:b w:val="false"/>
          <w:bCs w:val="false"/>
          <w:i w:val="false"/>
          <w:iCs w:val="false"/>
          <w:sz w:val="26"/>
          <w:szCs w:val="26"/>
        </w:rPr>
        <w:t xml:space="preserve">, người lao động phải </w:t>
      </w:r>
      <w:r>
        <w:rPr>
          <w:rFonts w:ascii="Times New Roman" w:cs="Times New Roman" w:eastAsia="Times New Roman" w:hAnsi="Times New Roman"/>
          <w:b/>
          <w:bCs/>
          <w:i w:val="false"/>
          <w:iCs w:val="false"/>
          <w:sz w:val="26"/>
          <w:szCs w:val="26"/>
        </w:rPr>
        <w:t xml:space="preserve">biết rõ</w:t>
      </w:r>
      <w:r>
        <w:rPr>
          <w:rFonts w:ascii="Times New Roman" w:cs="Times New Roman" w:eastAsia="Times New Roman" w:hAnsi="Times New Roman"/>
          <w:b w:val="false"/>
          <w:bCs w:val="false"/>
          <w:i w:val="false"/>
          <w:iCs w:val="false"/>
          <w:sz w:val="26"/>
          <w:szCs w:val="26"/>
        </w:rPr>
        <w:t xml:space="preserve"> biện pháp — ghi vào nội quy lao động hoặc thông báo bằng văn bản, người lao động ký xác nhận. Đây là thông báo, không phải xin đồng 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Mức phạt: không biển báo 10–20 triệu đồng; không cung cấp đầu mối 10–20 triệu đồng; lắp camera nơi làm việc không thông báo 50–70 triệu đồng.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khoản 1–4 Điều 32, điểm a khoản 3 Điều 25 Luật BVDLCN; khoản 1 Điều 71, điểm c khoản 2 Điều 61 Nghị định 330. Mẫu: K1, K3.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4. Camera có được ghi âm không? Có được lắp trong phòng thay đồ, nhà vệ sinh không?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Luật cho phép ghi âm, ghi hình tại nơi công cộng theo cùng điều kiện với ghi hình, nhưng ghi âm thu được nội dung trò chuyện — dễ chạm vào đời sống riêng tư, là dữ liệu nhạy cảm. Khuyến nghị </w:t>
      </w:r>
      <w:r>
        <w:rPr>
          <w:rFonts w:ascii="Times New Roman" w:cs="Times New Roman" w:eastAsia="Times New Roman" w:hAnsi="Times New Roman"/>
          <w:b/>
          <w:bCs/>
          <w:i w:val="false"/>
          <w:iCs w:val="false"/>
          <w:sz w:val="26"/>
          <w:szCs w:val="26"/>
        </w:rPr>
        <w:t xml:space="preserve">tắt ghi âm</w:t>
      </w:r>
      <w:r>
        <w:rPr>
          <w:rFonts w:ascii="Times New Roman" w:cs="Times New Roman" w:eastAsia="Times New Roman" w:hAnsi="Times New Roman"/>
          <w:b w:val="false"/>
          <w:bCs w:val="false"/>
          <w:i w:val="false"/>
          <w:iCs w:val="false"/>
          <w:sz w:val="26"/>
          <w:szCs w:val="26"/>
        </w:rPr>
        <w:t xml:space="preserve"> trừ khi có mục đích rõ ràng (quầy giao dịch, tổng đài) và đã thông báo.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lắp camera tại nhà vệ sinh, phòng tắm, phòng thay đồ, phòng nghỉ: biện pháp công nghệ không bảo đảm quyền, lợi ích hợp pháp của người lao động bị phạt 50–70 triệu đồng.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khoản 1 Điều 32, điểm a khoản 3 Điều 25 Luật BVDLCN; điểm c khoản 1 Điều 4 Nghị định 356; điểm d khoản 2 Điều 61 Nghị định 330.</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5. Lưu video camera bao lâu là đúng luật?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Luật </w:t>
      </w:r>
      <w:r>
        <w:rPr>
          <w:rFonts w:ascii="Times New Roman" w:cs="Times New Roman" w:eastAsia="Times New Roman" w:hAnsi="Times New Roman"/>
          <w:b/>
          <w:bCs/>
          <w:i w:val="false"/>
          <w:iCs w:val="false"/>
          <w:sz w:val="26"/>
          <w:szCs w:val="26"/>
        </w:rPr>
        <w:t xml:space="preserve">không đặt con số chung</w:t>
      </w:r>
      <w:r>
        <w:rPr>
          <w:rFonts w:ascii="Times New Roman" w:cs="Times New Roman" w:eastAsia="Times New Roman" w:hAnsi="Times New Roman"/>
          <w:b w:val="false"/>
          <w:bCs w:val="false"/>
          <w:i w:val="false"/>
          <w:iCs w:val="false"/>
          <w:sz w:val="26"/>
          <w:szCs w:val="26"/>
        </w:rPr>
        <w:t xml:space="preserve">. Không có văn bản nào quy định thời hạn lưu video chung cho doanh nghiệp, văn phòng, nhà máy, tòa nhà, cửa hàng. Video ghi tại nơi công cộng chỉ được lưu trong thời gian </w:t>
      </w:r>
      <w:r>
        <w:rPr>
          <w:rFonts w:ascii="Times New Roman" w:cs="Times New Roman" w:eastAsia="Times New Roman" w:hAnsi="Times New Roman"/>
          <w:b/>
          <w:bCs/>
          <w:i w:val="false"/>
          <w:iCs w:val="false"/>
          <w:sz w:val="26"/>
          <w:szCs w:val="26"/>
        </w:rPr>
        <w:t xml:space="preserve">cần thiết cho mục đích</w:t>
      </w:r>
      <w:r>
        <w:rPr>
          <w:rFonts w:ascii="Times New Roman" w:cs="Times New Roman" w:eastAsia="Times New Roman" w:hAnsi="Times New Roman"/>
          <w:b w:val="false"/>
          <w:bCs w:val="false"/>
          <w:i w:val="false"/>
          <w:iCs w:val="false"/>
          <w:sz w:val="26"/>
          <w:szCs w:val="26"/>
        </w:rPr>
        <w:t xml:space="preserve"> thu thập, trừ khi luật khác quy định, rồi phải xóa. Doanh nghiệp tự quyết định và ghi lý do trong Chính sách lưu trữ, xóa. Nhà cung cấp gợi ý mặc định 30 ngày cho video an ninh — đây là gợi ý vận hành, không phải quy định. Lưu quá thời gian cần thiết: phạt 20–40 triệu đồng và buộc xóa.</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Ngoại lệ:</w:t>
      </w:r>
      <w:r>
        <w:rPr>
          <w:rFonts w:ascii="Times New Roman" w:cs="Times New Roman" w:eastAsia="Times New Roman" w:hAnsi="Times New Roman"/>
          <w:b w:val="false"/>
          <w:bCs w:val="false"/>
          <w:i w:val="false"/>
          <w:iCs w:val="false"/>
          <w:sz w:val="26"/>
          <w:szCs w:val="26"/>
        </w:rPr>
        <w:t xml:space="preserve"> một số ngành có quy định riêng buộc lưu lâu hơn hoặc kết nối camera với cơ quan quản lý (ví dụ hải quan, ngân hàng, casino, trạm thu phí, vận tải). Nếu thuộc các ngành này, doanh nghiệp tra văn bản chuyên ngành và cấu hình theo đó — </w:t>
      </w:r>
      <w:r>
        <w:rPr>
          <w:rFonts w:ascii="Times New Roman" w:cs="Times New Roman" w:eastAsia="Times New Roman" w:hAnsi="Times New Roman"/>
          <w:b/>
          <w:bCs/>
          <w:i w:val="false"/>
          <w:iCs w:val="false"/>
          <w:sz w:val="26"/>
          <w:szCs w:val="26"/>
        </w:rPr>
        <w:t xml:space="preserve">[CẦN ĐỐI CHIẾU pháp luật chuyên ngành]</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khoản 3 Điều 3, khoản 4 Điều 32 Luật BVDLCN; điểm c khoản 1 Điều 39 Nghị định 330.</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C. Nhận diện khuôn mặt cho nhân viên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6. Nhân viên từ chối chấm công bằng khuôn mặt thì sao?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Nhân viên </w:t>
      </w:r>
      <w:r>
        <w:rPr>
          <w:rFonts w:ascii="Times New Roman" w:cs="Times New Roman" w:eastAsia="Times New Roman" w:hAnsi="Times New Roman"/>
          <w:b/>
          <w:bCs/>
          <w:i w:val="false"/>
          <w:iCs w:val="false"/>
          <w:sz w:val="26"/>
          <w:szCs w:val="26"/>
        </w:rPr>
        <w:t xml:space="preserve">có quyền từ chối</w:t>
      </w:r>
      <w:r>
        <w:rPr>
          <w:rFonts w:ascii="Times New Roman" w:cs="Times New Roman" w:eastAsia="Times New Roman" w:hAnsi="Times New Roman"/>
          <w:b w:val="false"/>
          <w:bCs w:val="false"/>
          <w:i w:val="false"/>
          <w:iCs w:val="false"/>
          <w:sz w:val="26"/>
          <w:szCs w:val="26"/>
        </w:rPr>
        <w:t xml:space="preserve">. Dữ liệu khuôn mặt là dữ liệu nhạy cảm; sự đồng ý chỉ có hiệu lực khi tự nguyện, và doanh nghiệp phải cho lựa chọn không tham gia xử lý tự động. Doanh nghiệp phải có </w:t>
      </w:r>
      <w:r>
        <w:rPr>
          <w:rFonts w:ascii="Times New Roman" w:cs="Times New Roman" w:eastAsia="Times New Roman" w:hAnsi="Times New Roman"/>
          <w:b/>
          <w:bCs/>
          <w:i w:val="false"/>
          <w:iCs w:val="false"/>
          <w:sz w:val="26"/>
          <w:szCs w:val="26"/>
        </w:rPr>
        <w:t xml:space="preserve">phương thức thay thế</w:t>
      </w:r>
      <w:r>
        <w:rPr>
          <w:rFonts w:ascii="Times New Roman" w:cs="Times New Roman" w:eastAsia="Times New Roman" w:hAnsi="Times New Roman"/>
          <w:b w:val="false"/>
          <w:bCs w:val="false"/>
          <w:i w:val="false"/>
          <w:iCs w:val="false"/>
          <w:sz w:val="26"/>
          <w:szCs w:val="26"/>
        </w:rPr>
        <w:t xml:space="preserve"> (thẻ, mã PIN, mã QR) và không được gây bất lợi cho người từ chối. Không có phương thức từ chối xử lý tự động: phạt 50–70 triệu đồng; xử lý khi chưa có đồng ý: 30–50 triệu đồng.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Có ý kiến cho rằng chấm công là thực hiện hợp đồng lao động nên không cần đồng ý. Bộ khung chọn cách thận trọng: </w:t>
      </w:r>
      <w:r>
        <w:rPr>
          <w:rFonts w:ascii="Times New Roman" w:cs="Times New Roman" w:eastAsia="Times New Roman" w:hAnsi="Times New Roman"/>
          <w:b/>
          <w:bCs/>
          <w:i w:val="false"/>
          <w:iCs w:val="false"/>
          <w:sz w:val="26"/>
          <w:szCs w:val="26"/>
        </w:rPr>
        <w:t xml:space="preserve">xin đồng ý riêng và có phương thức thay thế</w:t>
      </w:r>
      <w:r>
        <w:rPr>
          <w:rFonts w:ascii="Times New Roman" w:cs="Times New Roman" w:eastAsia="Times New Roman" w:hAnsi="Times New Roman"/>
          <w:b w:val="false"/>
          <w:bCs w:val="false"/>
          <w:i w:val="false"/>
          <w:iCs w:val="false"/>
          <w:sz w:val="26"/>
          <w:szCs w:val="26"/>
        </w:rPr>
        <w:t xml:space="preserve">, vì phương thức sinh trắc học không phải cách duy nhất để chấm công (vùng xám V3 — </w:t>
      </w:r>
      <w:r>
        <w:rPr>
          <w:rFonts w:ascii="Times New Roman" w:cs="Times New Roman" w:eastAsia="Times New Roman" w:hAnsi="Times New Roman"/>
          <w:b/>
          <w:bCs/>
          <w:i w:val="false"/>
          <w:iCs w:val="false"/>
          <w:sz w:val="26"/>
          <w:szCs w:val="26"/>
        </w:rPr>
        <w:t xml:space="preserve">[CẦN ĐỐI CHIẾU]</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khoản 2, khoản 4 Điều 9, điểm d khoản 1 Điều 19 Luật BVDLCN; khoản 4 Điều 6, khoản 3 Điều 10 Nghị định 356; điểm a khoản 1 Điều 43, điểm b khoản 2 Điều 67 Nghị định 330. Mẫu: K2, K3.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7. Máy chấm công ghi nhận sai, nhân viên bị trừ công. Doanh nghiệp phải làm gì?</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Kết quả tự động bất lợi (đi muộn, vắng mặt, bị từ chối ra vào) phải có </w:t>
      </w:r>
      <w:r>
        <w:rPr>
          <w:rFonts w:ascii="Times New Roman" w:cs="Times New Roman" w:eastAsia="Times New Roman" w:hAnsi="Times New Roman"/>
          <w:b/>
          <w:bCs/>
          <w:i w:val="false"/>
          <w:iCs w:val="false"/>
          <w:sz w:val="26"/>
          <w:szCs w:val="26"/>
        </w:rPr>
        <w:t xml:space="preserve">người xem xét lại</w:t>
      </w:r>
      <w:r>
        <w:rPr>
          <w:rFonts w:ascii="Times New Roman" w:cs="Times New Roman" w:eastAsia="Times New Roman" w:hAnsi="Times New Roman"/>
          <w:b w:val="false"/>
          <w:bCs w:val="false"/>
          <w:i w:val="false"/>
          <w:iCs w:val="false"/>
          <w:sz w:val="26"/>
          <w:szCs w:val="26"/>
        </w:rPr>
        <w:t xml:space="preserve"> khi nhân viên yêu cầu. Không để hệ thống tự động trừ lương, kỷ luật. Quyết định tự động ảnh hưởng quyền lợi mà không cho yêu cầu con người đánh giá lại: phạt 70–100 triệu đồng, có thể bị đình chỉ hệ thống 03–06 tháng.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điểm b khoản 3, điểm b khoản 4 Điều 67 Nghị định 330; khoản 3 Điều 10 Nghị định 356. Mẫu: K3 Điều 7, K5.</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8. Nhân viên nghỉ việc thì phải xóa những gì?</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578"/>
        <w:gridCol w:w="4447"/>
      </w:tblGrid>
      <w:tr>
        <w:trPr>
          <w:cantSplit/>
          <w:tblHeader/>
        </w:trPr>
        <w:tc>
          <w:tcPr>
            <w:tcW w:type="dxa" w:w="45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Dữ liệu</w:t>
            </w:r>
          </w:p>
        </w:tc>
        <w:tc>
          <w:tcPr>
            <w:tcW w:type="dxa" w:w="44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Xử lý</w:t>
            </w:r>
          </w:p>
        </w:tc>
      </w:tr>
      <w:tr>
        <w:trPr>
          <w:cantSplit/>
          <w:tblHeader w:val="false"/>
        </w:trPr>
        <w:tc>
          <w:tcPr>
            <w:tcW w:type="dxa" w:w="4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khuôn mặt (template, ảnh đăng ký) trên máy chủ, mọi đầu đọc, cloud, bản sao lưu</w:t>
            </w:r>
          </w:p>
        </w:tc>
        <w:tc>
          <w:tcPr>
            <w:tcW w:type="dxa" w:w="4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Xóa</w:t>
            </w:r>
            <w:r>
              <w:rPr>
                <w:rFonts w:ascii="Times New Roman" w:cs="Times New Roman" w:eastAsia="Times New Roman" w:hAnsi="Times New Roman"/>
                <w:b w:val="false"/>
                <w:bCs w:val="false"/>
                <w:i w:val="false"/>
                <w:iCs w:val="false"/>
                <w:sz w:val="24"/>
                <w:szCs w:val="24"/>
              </w:rPr>
              <w:t xml:space="preserve"> — luật buộc xóa dữ liệu người lao động khi chấm dứt hợp đồng</w:t>
            </w:r>
          </w:p>
        </w:tc>
      </w:tr>
      <w:tr>
        <w:trPr>
          <w:cantSplit/>
          <w:tblHeader w:val="false"/>
        </w:trPr>
        <w:tc>
          <w:tcPr>
            <w:tcW w:type="dxa" w:w="4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Bảng chấm công tổng hợp tháng (không chứa ảnh, dữ liệu khuôn mặt)</w:t>
            </w:r>
          </w:p>
        </w:tc>
        <w:tc>
          <w:tcPr>
            <w:tcW w:type="dxa" w:w="4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Giữ</w:t>
            </w:r>
            <w:r>
              <w:rPr>
                <w:rFonts w:ascii="Times New Roman" w:cs="Times New Roman" w:eastAsia="Times New Roman" w:hAnsi="Times New Roman"/>
                <w:b w:val="false"/>
                <w:bCs w:val="false"/>
                <w:i w:val="false"/>
                <w:iCs w:val="false"/>
                <w:sz w:val="24"/>
                <w:szCs w:val="24"/>
              </w:rPr>
              <w:t xml:space="preserve"> — là tài liệu kế toán: tối thiểu 05 năm, khuyến nghị 10 năm, kể từ ngày kết thúc kỳ kế toán năm; hết hạn thì hủy </w:t>
            </w:r>
            <w:r>
              <w:rPr>
                <w:rFonts w:ascii="Times New Roman" w:cs="Times New Roman" w:eastAsia="Times New Roman" w:hAnsi="Times New Roman"/>
                <w:b/>
                <w:bCs/>
                <w:i w:val="false"/>
                <w:iCs w:val="false"/>
                <w:sz w:val="24"/>
                <w:szCs w:val="24"/>
              </w:rPr>
              <w:t xml:space="preserve">[CẦN ĐỐI CHIẾU — chưa có toàn văn trong sources/]</w:t>
            </w:r>
          </w:p>
        </w:tc>
      </w:tr>
      <w:tr>
        <w:trPr>
          <w:cantSplit/>
          <w:tblHeader w:val="false"/>
        </w:trPr>
        <w:tc>
          <w:tcPr>
            <w:tcW w:type="dxa" w:w="4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Nhật ký chấm công thô (từng lượt vào, ra)</w:t>
            </w:r>
          </w:p>
        </w:tc>
        <w:tc>
          <w:tcPr>
            <w:tcW w:type="dxa" w:w="4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Giữ theo thời hạn doanh nghiệp đã </w:t>
            </w:r>
            <w:r>
              <w:rPr>
                <w:rFonts w:ascii="Times New Roman" w:cs="Times New Roman" w:eastAsia="Times New Roman" w:hAnsi="Times New Roman"/>
                <w:b/>
                <w:bCs/>
                <w:i w:val="false"/>
                <w:iCs w:val="false"/>
                <w:sz w:val="24"/>
                <w:szCs w:val="24"/>
              </w:rPr>
              <w:t xml:space="preserve">thỏa thuận</w:t>
            </w:r>
            <w:r>
              <w:rPr>
                <w:rFonts w:ascii="Times New Roman" w:cs="Times New Roman" w:eastAsia="Times New Roman" w:hAnsi="Times New Roman"/>
                <w:b w:val="false"/>
                <w:bCs w:val="false"/>
                <w:i w:val="false"/>
                <w:iCs w:val="false"/>
                <w:sz w:val="24"/>
                <w:szCs w:val="24"/>
              </w:rPr>
              <w:t xml:space="preserve"> với người lao động trong nội quy, phụ lục hợp đồng lao động (nhà cung cấp gợi ý 24 tháng kể từ kỳ trả lương); pháp luật không đặt con số; hết hạn thì xóa. Không có thỏa thuận thì phải xóa khi chấm dứt hợp đồng</w:t>
            </w:r>
          </w:p>
        </w:tc>
      </w:tr>
      <w:tr>
        <w:trPr>
          <w:cantSplit/>
          <w:tblHeader w:val="false"/>
        </w:trPr>
        <w:tc>
          <w:tcPr>
            <w:tcW w:type="dxa" w:w="4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Video camera có hình nhân viên</w:t>
            </w:r>
          </w:p>
        </w:tc>
        <w:tc>
          <w:tcPr>
            <w:tcW w:type="dxa" w:w="4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Xóa theo vòng lưu thông thường</w:t>
            </w:r>
          </w:p>
        </w:tc>
      </w:tr>
      <w:tr>
        <w:trPr>
          <w:cantSplit/>
          <w:tblHeader w:val="false"/>
        </w:trPr>
        <w:tc>
          <w:tcPr>
            <w:tcW w:type="dxa" w:w="4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khoản, quyền truy cập hệ thống camera</w:t>
            </w:r>
          </w:p>
        </w:tc>
        <w:tc>
          <w:tcPr>
            <w:tcW w:type="dxa" w:w="4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Thu hồi ngay</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Không xóa dữ liệu người lao động khi chấm dứt hợp đồng: phạt 50–70 triệu đồng.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điểm b, c khoản 2 Điều 25 Luật BVDLCN; điểm a, b khoản 2 Điều 61 Nghị định 330; khoản 5 Điều 41 Luật Kế toán số 88/2015/QH13; Điều 190 Bộ luật Lao động số 45/2019/QH14 (thời hiệu tranh chấp lao động — lý do của mức 24 tháng). Mẫu: K3, K4.</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D. Nhận diện khách, danh sách đen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9. Có được lập "danh sách đen" khuôn mặt để phát hiện người từng trộm cắp không?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i w:val="false"/>
          <w:iCs w:val="false"/>
          <w:sz w:val="26"/>
          <w:szCs w:val="26"/>
        </w:rPr>
        <w:t xml:space="preserve">vùng rủi ro cao</w:t>
      </w:r>
      <w:r>
        <w:rPr>
          <w:rFonts w:ascii="Times New Roman" w:cs="Times New Roman" w:eastAsia="Times New Roman" w:hAnsi="Times New Roman"/>
          <w:b w:val="false"/>
          <w:bCs w:val="false"/>
          <w:i w:val="false"/>
          <w:iCs w:val="false"/>
          <w:sz w:val="26"/>
          <w:szCs w:val="26"/>
        </w:rPr>
        <w:t xml:space="preserve">. Dùng camera công cộng để nhận diện khuôn mặt tự động, lập hồ sơ cá nhân mà không có đồng ý bị phạt 30–50 triệu đồng. Doanh nghiệp chỉ có thể viện dẫn trường hợp không cần đồng ý để </w:t>
      </w:r>
      <w:r>
        <w:rPr>
          <w:rFonts w:ascii="Times New Roman" w:cs="Times New Roman" w:eastAsia="Times New Roman" w:hAnsi="Times New Roman"/>
          <w:b/>
          <w:bCs/>
          <w:i w:val="false"/>
          <w:iCs w:val="false"/>
          <w:sz w:val="26"/>
          <w:szCs w:val="26"/>
        </w:rPr>
        <w:t xml:space="preserve">bảo vệ quyền, lợi ích chính đáng của mình một cách cần thiết trước hành vi xâm phạm</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bCs/>
          <w:i w:val="false"/>
          <w:iCs w:val="false"/>
          <w:sz w:val="26"/>
          <w:szCs w:val="26"/>
        </w:rPr>
        <w:t xml:space="preserve">phải tự chứng minh</w:t>
      </w:r>
      <w:r>
        <w:rPr>
          <w:rFonts w:ascii="Times New Roman" w:cs="Times New Roman" w:eastAsia="Times New Roman" w:hAnsi="Times New Roman"/>
          <w:b w:val="false"/>
          <w:bCs w:val="false"/>
          <w:i w:val="false"/>
          <w:iCs w:val="false"/>
          <w:sz w:val="26"/>
          <w:szCs w:val="26"/>
        </w:rPr>
        <w:t xml:space="preserve">. Nếu vẫn triển khai, tối thiểu phải: chỉ đưa vào danh sách khi có căn cứ cụ thể (biên bản sự việc, trình báo cơ quan công an); có quy chế lập, gỡ, thời hạn tồn tại trong danh sách; người kiểm tra lại trước khi hành động; không chia sẻ danh sách giữa các doanh nghiệp; có cơ chế giám sát và tiếp nhận phản ánh; ghi vào DPIA. Lạm dụng trường hợp không cần đồng ý vượt phạm vi cần thiết: phạt 30–50 triệu đồng. Vùng xám V7 — </w:t>
      </w:r>
      <w:r>
        <w:rPr>
          <w:rFonts w:ascii="Times New Roman" w:cs="Times New Roman" w:eastAsia="Times New Roman" w:hAnsi="Times New Roman"/>
          <w:b/>
          <w:bCs/>
          <w:i w:val="false"/>
          <w:iCs w:val="false"/>
          <w:sz w:val="26"/>
          <w:szCs w:val="26"/>
        </w:rPr>
        <w:t xml:space="preserve">[CẦN ĐỐI CHIẾU]</w:t>
      </w:r>
      <w:r>
        <w:rPr>
          <w:rFonts w:ascii="Times New Roman" w:cs="Times New Roman" w:eastAsia="Times New Roman" w:hAnsi="Times New Roman"/>
          <w:b w:val="false"/>
          <w:bCs w:val="false"/>
          <w:i w:val="false"/>
          <w:iCs w:val="false"/>
          <w:sz w:val="26"/>
          <w:szCs w:val="26"/>
        </w:rPr>
        <w:t xml:space="preserve">; nên xin ý kiến tư vấn pháp lý trước khi triển khai.</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điểm a khoản 1, khoản 2 Điều 19 Luật BVDLCN; điểm a khoản 2 Điều 71, khoản 3 Điều 47 Nghị định 330.</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10. Có được dùng camera để nhận diện khách VIP, khách quay lại không?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Chỉ khi </w:t>
      </w:r>
      <w:r>
        <w:rPr>
          <w:rFonts w:ascii="Times New Roman" w:cs="Times New Roman" w:eastAsia="Times New Roman" w:hAnsi="Times New Roman"/>
          <w:b/>
          <w:bCs/>
          <w:i w:val="false"/>
          <w:iCs w:val="false"/>
          <w:sz w:val="26"/>
          <w:szCs w:val="26"/>
        </w:rPr>
        <w:t xml:space="preserve">từng khách đã đồng ý</w:t>
      </w:r>
      <w:r>
        <w:rPr>
          <w:rFonts w:ascii="Times New Roman" w:cs="Times New Roman" w:eastAsia="Times New Roman" w:hAnsi="Times New Roman"/>
          <w:b w:val="false"/>
          <w:bCs w:val="false"/>
          <w:i w:val="false"/>
          <w:iCs w:val="false"/>
          <w:sz w:val="26"/>
          <w:szCs w:val="26"/>
        </w:rPr>
        <w:t xml:space="preserve"> — mục đích thương mại, phân tích hành vi không có căn cứ miễn đồng ý. Cách làm đúng: khách chủ động đăng ký (ứng dụng, quầy), được thông báo rõ dữ liệu khuôn mặt là dữ liệu nhạy cảm, đồng ý riêng cho mục đích này, có thể rút lại; hệ thống chỉ so khớp với người đã đăng ký.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tạo hồ sơ khuôn mặt từ video camera an ninh. Vi phạm: 30–50 triệu đồng; dùng dữ liệu sinh trắc học vượt mục đích ban đầu: 70–150 triệu đồng, có thể bị tịch thu máy chủ lưu sinh trắc học.</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khoản 3 Điều 32 Luật BVDLCN; khoản 4 Điều 6 Nghị định 356; điểm a khoản 2 Điều 71, điểm b khoản 2, điểm a khoản 3 Điều 70 Nghị định 330.</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E. Yêu cầu xem, trích xuất video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11. Khách, người đi đường yêu cầu xem video có mình thì sao?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Họ có quyền xem và được cung cấp dữ liệu của mình. Doanh nghiệp phải phản hồi trong </w:t>
      </w:r>
      <w:r>
        <w:rPr>
          <w:rFonts w:ascii="Times New Roman" w:cs="Times New Roman" w:eastAsia="Times New Roman" w:hAnsi="Times New Roman"/>
          <w:b/>
          <w:bCs/>
          <w:i w:val="false"/>
          <w:iCs w:val="false"/>
          <w:sz w:val="26"/>
          <w:szCs w:val="26"/>
        </w:rPr>
        <w:t xml:space="preserve">02 ngày làm việc</w:t>
      </w:r>
      <w:r>
        <w:rPr>
          <w:rFonts w:ascii="Times New Roman" w:cs="Times New Roman" w:eastAsia="Times New Roman" w:hAnsi="Times New Roman"/>
          <w:b w:val="false"/>
          <w:bCs w:val="false"/>
          <w:i w:val="false"/>
          <w:iCs w:val="false"/>
          <w:sz w:val="26"/>
          <w:szCs w:val="26"/>
        </w:rPr>
        <w:t xml:space="preserve">, thực hiện trong </w:t>
      </w:r>
      <w:r>
        <w:rPr>
          <w:rFonts w:ascii="Times New Roman" w:cs="Times New Roman" w:eastAsia="Times New Roman" w:hAnsi="Times New Roman"/>
          <w:b/>
          <w:bCs/>
          <w:i w:val="false"/>
          <w:iCs w:val="false"/>
          <w:sz w:val="26"/>
          <w:szCs w:val="26"/>
        </w:rPr>
        <w:t xml:space="preserve">10 ngày</w:t>
      </w:r>
      <w:r>
        <w:rPr>
          <w:rFonts w:ascii="Times New Roman" w:cs="Times New Roman" w:eastAsia="Times New Roman" w:hAnsi="Times New Roman"/>
          <w:b w:val="false"/>
          <w:bCs w:val="false"/>
          <w:i w:val="false"/>
          <w:iCs w:val="false"/>
          <w:sz w:val="26"/>
          <w:szCs w:val="26"/>
        </w:rPr>
        <w:t xml:space="preserve"> (15 ngày nếu phải nhờ nhà cung cấp dịch vụ cloud trích xuất), gia hạn tối đa 01 lần không quá 10 ngày và phải báo lý do. Xác minh người yêu cầu; </w:t>
      </w:r>
      <w:r>
        <w:rPr>
          <w:rFonts w:ascii="Times New Roman" w:cs="Times New Roman" w:eastAsia="Times New Roman" w:hAnsi="Times New Roman"/>
          <w:b/>
          <w:bCs/>
          <w:i w:val="false"/>
          <w:iCs w:val="false"/>
          <w:sz w:val="26"/>
          <w:szCs w:val="26"/>
        </w:rPr>
        <w:t xml:space="preserve">làm mờ</w:t>
      </w:r>
      <w:r>
        <w:rPr>
          <w:rFonts w:ascii="Times New Roman" w:cs="Times New Roman" w:eastAsia="Times New Roman" w:hAnsi="Times New Roman"/>
          <w:b w:val="false"/>
          <w:bCs w:val="false"/>
          <w:i w:val="false"/>
          <w:iCs w:val="false"/>
          <w:sz w:val="26"/>
          <w:szCs w:val="26"/>
        </w:rPr>
        <w:t xml:space="preserve"> người khác trong khung hình; nếu không làm mờ được và việc cung cấp có thể xâm phạm người khác thì cho xem tại chỗ. Người yêu cầu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có trong video (người bị mất đồ, công ty bảo hiểm): xem câu 12. Không cung cấp đầu mối liên hệ: 10–20 triệu đồng; từ chối cung cấp cho chính chủ thể: 10–20 triệu đồng; trễ hạn: 30–40 triệu đồng.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điểm c, d khoản 1 Điều 4, điểm a khoản 2 Điều 15 Luật BVDLCN; khoản 3 Điều 5 Nghị định 356; điểm b khoản 1 Điều 71, khoản 1 Điều 49, điểm b khoản 3 Điều 44 Nghị định 330. Mẫu: K5.</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12. Công an yêu cầu trích xuất video; công ty bảo hiểm, đối tác xin video — xử lý thế nào?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Cơ quan nhà nước có thẩm quyền:</w:t>
      </w:r>
      <w:r>
        <w:rPr>
          <w:rFonts w:ascii="Times New Roman" w:cs="Times New Roman" w:eastAsia="Times New Roman" w:hAnsi="Times New Roman"/>
          <w:b w:val="false"/>
          <w:bCs w:val="false"/>
          <w:i w:val="false"/>
          <w:iCs w:val="false"/>
          <w:sz w:val="26"/>
          <w:szCs w:val="26"/>
        </w:rPr>
        <w:t xml:space="preserve"> cung cấp khi có </w:t>
      </w:r>
      <w:r>
        <w:rPr>
          <w:rFonts w:ascii="Times New Roman" w:cs="Times New Roman" w:eastAsia="Times New Roman" w:hAnsi="Times New Roman"/>
          <w:b/>
          <w:bCs/>
          <w:i w:val="false"/>
          <w:iCs w:val="false"/>
          <w:sz w:val="26"/>
          <w:szCs w:val="26"/>
        </w:rPr>
        <w:t xml:space="preserve">yêu cầu bằng văn bản</w:t>
      </w:r>
      <w:r>
        <w:rPr>
          <w:rFonts w:ascii="Times New Roman" w:cs="Times New Roman" w:eastAsia="Times New Roman" w:hAnsi="Times New Roman"/>
          <w:b w:val="false"/>
          <w:bCs w:val="false"/>
          <w:i w:val="false"/>
          <w:iCs w:val="false"/>
          <w:sz w:val="26"/>
          <w:szCs w:val="26"/>
        </w:rPr>
        <w:t xml:space="preserve">; giữ nguyên dữ liệu ngay khi nhận đề nghị; chỉ giao đúng phạm vi; lập biên bản giao nhận có giá trị băm của tệp. Trích xuất, chia sẻ khi không có văn bản: 30–50 triệu đồng.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Công ty bảo hiểm, đối tác, luật sư, người không có trong video:</w:t>
      </w:r>
      <w:r>
        <w:rPr>
          <w:rFonts w:ascii="Times New Roman" w:cs="Times New Roman" w:eastAsia="Times New Roman" w:hAnsi="Times New Roman"/>
          <w:b w:val="false"/>
          <w:bCs w:val="false"/>
          <w:i w:val="false"/>
          <w:iCs w:val="false"/>
          <w:sz w:val="26"/>
          <w:szCs w:val="26"/>
        </w:rPr>
        <w:t xml:space="preserve"> không có căn cứ mặc định. Cần đồng ý của người trong video, hoặc làm mờ, hoặc đề nghị họ yêu cầu qua cơ quan có thẩm quyền. Cung cấp cho bên khác khi chưa có đồng ý: 20–30 triệu đồng; gấp đôi với dữ liệu nhạy cảm.</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điểm đ khoản 1 Điều 17, điểm b, c khoản 1 Điều 19, điểm b khoản 2 Điều 15 Luật BVDLCN; điểm b khoản 2 Điều 71, khoản 2, khoản 3 Điều 49 Nghị định 330. Mẫu: K9.</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F. Biển số, cloud, nhà cung cấp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13. Biển số xe có phải dữ liệu cá nhân không?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Có</w:t>
      </w:r>
      <w:r>
        <w:rPr>
          <w:rFonts w:ascii="Times New Roman" w:cs="Times New Roman" w:eastAsia="Times New Roman" w:hAnsi="Times New Roman"/>
          <w:b w:val="false"/>
          <w:bCs w:val="false"/>
          <w:i w:val="false"/>
          <w:iCs w:val="false"/>
          <w:sz w:val="26"/>
          <w:szCs w:val="26"/>
        </w:rPr>
        <w:t xml:space="preserve"> — số biển số xe là dữ liệu cá nhân cơ bản. Hình ảnh người điều khiển xe cũng là dữ liệu cá nhân. Xe vãng lai: ghi hình vì an ninh, cần biển báo tại lối vào, thời hạn lưu ngắn. Xe đăng ký (vé tháng, cư dân): xử lý để thực hiện hợp đồng gửi xe. Nếu hệ thống </w:t>
      </w:r>
      <w:r>
        <w:rPr>
          <w:rFonts w:ascii="Times New Roman" w:cs="Times New Roman" w:eastAsia="Times New Roman" w:hAnsi="Times New Roman"/>
          <w:b/>
          <w:bCs/>
          <w:i w:val="false"/>
          <w:iCs w:val="false"/>
          <w:sz w:val="26"/>
          <w:szCs w:val="26"/>
        </w:rPr>
        <w:t xml:space="preserve">dựng hành trình</w:t>
      </w:r>
      <w:r>
        <w:rPr>
          <w:rFonts w:ascii="Times New Roman" w:cs="Times New Roman" w:eastAsia="Times New Roman" w:hAnsi="Times New Roman"/>
          <w:b w:val="false"/>
          <w:bCs w:val="false"/>
          <w:i w:val="false"/>
          <w:iCs w:val="false"/>
          <w:sz w:val="26"/>
          <w:szCs w:val="26"/>
        </w:rPr>
        <w:t xml:space="preserve"> của một xe qua nhiều điểm, bộ khung khuyến nghị coi là dữ liệu vị trí — dữ liệu nhạy cảm (vùng xám V4 — </w:t>
      </w:r>
      <w:r>
        <w:rPr>
          <w:rFonts w:ascii="Times New Roman" w:cs="Times New Roman" w:eastAsia="Times New Roman" w:hAnsi="Times New Roman"/>
          <w:b/>
          <w:bCs/>
          <w:i w:val="false"/>
          <w:iCs w:val="false"/>
          <w:sz w:val="26"/>
          <w:szCs w:val="26"/>
        </w:rPr>
        <w:t xml:space="preserve">[CẦN ĐỐI CHIẾU]</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khoản 6, khoản 7 Điều 3, điểm h khoản 1 Điều 4 Nghị định 356; khoản 1 Điều 31, khoản 1 Điều 32, điểm d khoản 1 Điều 19 Luật BVDLCN. Mẫu: K1 biển (d), K4.</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14. Dữ liệu camera, khuôn mặt lưu trên cloud ở nước ngoài có được không?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Được, nhưng đó là </w:t>
      </w:r>
      <w:r>
        <w:rPr>
          <w:rFonts w:ascii="Times New Roman" w:cs="Times New Roman" w:eastAsia="Times New Roman" w:hAnsi="Times New Roman"/>
          <w:b/>
          <w:bCs/>
          <w:i w:val="false"/>
          <w:iCs w:val="false"/>
          <w:sz w:val="26"/>
          <w:szCs w:val="26"/>
        </w:rPr>
        <w:t xml:space="preserve">chuyển dữ liệu cá nhân xuyên biên giới</w:t>
      </w:r>
      <w:r>
        <w:rPr>
          <w:rFonts w:ascii="Times New Roman" w:cs="Times New Roman" w:eastAsia="Times New Roman" w:hAnsi="Times New Roman"/>
          <w:b w:val="false"/>
          <w:bCs w:val="false"/>
          <w:i w:val="false"/>
          <w:iCs w:val="false"/>
          <w:sz w:val="26"/>
          <w:szCs w:val="26"/>
        </w:rPr>
        <w:t xml:space="preserve">: phải lập hồ sơ đánh giá tác động chuyển dữ liệu xuyên biên giới, gửi cơ quan chuyên trách trong 60 ngày kể từ ngày đầu chuyển. Áp dụng cả khi dùng nền tảng, API nhận diện đặt ở nước ngoài. Luật có miễn trừ cho việc tổ chức lưu dữ liệu của người lao động của mình trên cloud, nhưng bộ khung </w:t>
      </w:r>
      <w:r>
        <w:rPr>
          <w:rFonts w:ascii="Times New Roman" w:cs="Times New Roman" w:eastAsia="Times New Roman" w:hAnsi="Times New Roman"/>
          <w:b/>
          <w:bCs/>
          <w:i w:val="false"/>
          <w:iCs w:val="false"/>
          <w:sz w:val="26"/>
          <w:szCs w:val="26"/>
        </w:rPr>
        <w:t xml:space="preserve">không khuyến nghị</w:t>
      </w:r>
      <w:r>
        <w:rPr>
          <w:rFonts w:ascii="Times New Roman" w:cs="Times New Roman" w:eastAsia="Times New Roman" w:hAnsi="Times New Roman"/>
          <w:b w:val="false"/>
          <w:bCs w:val="false"/>
          <w:i w:val="false"/>
          <w:iCs w:val="false"/>
          <w:sz w:val="26"/>
          <w:szCs w:val="26"/>
        </w:rPr>
        <w:t xml:space="preserve"> dựa vào miễn trừ này cho hệ thống chấm công khuôn mặt có xử lý AI (vùng xám V6 — </w:t>
      </w:r>
      <w:r>
        <w:rPr>
          <w:rFonts w:ascii="Times New Roman" w:cs="Times New Roman" w:eastAsia="Times New Roman" w:hAnsi="Times New Roman"/>
          <w:b/>
          <w:bCs/>
          <w:i w:val="false"/>
          <w:iCs w:val="false"/>
          <w:sz w:val="26"/>
          <w:szCs w:val="26"/>
        </w:rPr>
        <w:t xml:space="preserve">[CẦN ĐỐI CHIẾU]</w:t>
      </w:r>
      <w:r>
        <w:rPr>
          <w:rFonts w:ascii="Times New Roman" w:cs="Times New Roman" w:eastAsia="Times New Roman" w:hAnsi="Times New Roman"/>
          <w:b w:val="false"/>
          <w:bCs w:val="false"/>
          <w:i w:val="false"/>
          <w:iCs w:val="false"/>
          <w:sz w:val="26"/>
          <w:szCs w:val="26"/>
        </w:rPr>
        <w:t xml:space="preserve">). Vi phạm quy định chuyển xuyên biên giới: mức phạt tối đa tới 5% doanh thu năm trước. Cách đơn giản nhất: chọn lưu trữ tại Việt Nam.</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khoản 1, khoản 2, điểm b khoản 6 Điều 20, khoản 4 Điều 8 Luật BVDLCN; khoản 3 Điều 17 Nghị định 356; Điều 56 Nghị định 330.</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15. Nhà cung cấp có xem được dữ liệu của chúng tôi không?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Tùy mô hình triển khai: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412"/>
        <w:gridCol w:w="3600"/>
        <w:gridCol w:w="3013"/>
      </w:tblGrid>
      <w:tr>
        <w:trPr>
          <w:cantSplit/>
          <w:tblHeader/>
        </w:trPr>
        <w:tc>
          <w:tcPr>
            <w:tcW w:type="dxa" w:w="24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Mô hình</w:t>
            </w:r>
          </w:p>
        </w:tc>
        <w:tc>
          <w:tcPr>
            <w:tcW w:type="dxa" w:w="36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Nhà cung cấp tiếp cận dữ liệu</w:t>
            </w:r>
          </w:p>
        </w:tc>
        <w:tc>
          <w:tcPr>
            <w:tcW w:type="dxa" w:w="30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Điều kiện</w:t>
            </w:r>
          </w:p>
        </w:tc>
      </w:tr>
      <w:tr>
        <w:trPr>
          <w:cantSplit/>
          <w:tblHeader w:val="false"/>
        </w:trPr>
        <w:tc>
          <w:tcPr>
            <w:tcW w:type="dxa" w:w="24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Bán thiết bị, phần mềm cài tại chỗ, khách tự vận hành</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Không</w:t>
            </w:r>
          </w:p>
        </w:tc>
        <w:tc>
          <w:tcPr>
            <w:tcW w:type="dxa" w:w="3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4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Tại chỗ, nhà cung cấp lắp đặt, bảo hành, hỗ trợ từ xa</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Chỉ khi khách yêu cầu, có phê duyệt phiên, ghi nhật ký</w:t>
            </w:r>
          </w:p>
        </w:tc>
        <w:tc>
          <w:tcPr>
            <w:tcW w:type="dxa" w:w="3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Hợp đồng, phụ lục xử lý dữ liệu ký </w:t>
            </w:r>
            <w:r>
              <w:rPr>
                <w:rFonts w:ascii="Times New Roman" w:cs="Times New Roman" w:eastAsia="Times New Roman" w:hAnsi="Times New Roman"/>
                <w:b/>
                <w:bCs/>
                <w:i w:val="false"/>
                <w:iCs w:val="false"/>
                <w:sz w:val="24"/>
                <w:szCs w:val="24"/>
              </w:rPr>
              <w:t xml:space="preserve">trước</w:t>
            </w:r>
            <w:r>
              <w:rPr>
                <w:rFonts w:ascii="Times New Roman" w:cs="Times New Roman" w:eastAsia="Times New Roman" w:hAnsi="Times New Roman"/>
                <w:b w:val="false"/>
                <w:bCs w:val="false"/>
                <w:i w:val="false"/>
                <w:iCs w:val="false"/>
                <w:sz w:val="24"/>
                <w:szCs w:val="24"/>
              </w:rPr>
              <w:t xml:space="preserve"> khi nhà cung cấp tiếp nhận dữ liệu</w:t>
            </w:r>
          </w:p>
        </w:tc>
      </w:tr>
      <w:tr>
        <w:trPr>
          <w:cantSplit/>
          <w:tblHeader w:val="false"/>
        </w:trPr>
        <w:tc>
          <w:tcPr>
            <w:tcW w:type="dxa" w:w="24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Cloud, dịch vụ vận hành hộ</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Nhà cung cấp là </w:t>
            </w:r>
            <w:r>
              <w:rPr>
                <w:rFonts w:ascii="Times New Roman" w:cs="Times New Roman" w:eastAsia="Times New Roman" w:hAnsi="Times New Roman"/>
                <w:b/>
                <w:bCs/>
                <w:i w:val="false"/>
                <w:iCs w:val="false"/>
                <w:sz w:val="24"/>
                <w:szCs w:val="24"/>
              </w:rPr>
              <w:t xml:space="preserve">bên xử lý</w:t>
            </w:r>
            <w:r>
              <w:rPr>
                <w:rFonts w:ascii="Times New Roman" w:cs="Times New Roman" w:eastAsia="Times New Roman" w:hAnsi="Times New Roman"/>
                <w:b w:val="false"/>
                <w:bCs w:val="false"/>
                <w:i w:val="false"/>
                <w:iCs w:val="false"/>
                <w:sz w:val="24"/>
                <w:szCs w:val="24"/>
              </w:rPr>
              <w:t xml:space="preserve">, chỉ xử lý theo hợp đồng</w:t>
            </w:r>
          </w:p>
        </w:tc>
        <w:tc>
          <w:tcPr>
            <w:tcW w:type="dxa" w:w="3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Phụ lục xử lý dữ liệu; tên nhà cung cấp phải được thông báo cho người bị xử lý dữ liệu; nhà cung cấp phải có Giấy chứng nhận đủ điều kiện kinh doanh dịch vụ xử lý dữ liệu cá nhân</w:t>
            </w:r>
          </w:p>
        </w:tc>
      </w:tr>
      <w:tr>
        <w:trPr>
          <w:cantSplit/>
          <w:tblHeader w:val="false"/>
        </w:trPr>
        <w:tc>
          <w:tcPr>
            <w:tcW w:type="dxa" w:w="24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Dùng dữ liệu khách hàng để huấn luyện mô hình AI</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{{không dùng/chỉ dùng khi có thỏa thuận riêng và dữ liệu đã khử nhận dạng}}</w:t>
            </w:r>
          </w:p>
        </w:tc>
        <w:tc>
          <w:tcPr>
            <w:tcW w:type="dxa" w:w="3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Xem Tuyên bố về dữ liệu huấn luyện (B7)</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khoản 2 Điều 37 Luật BVDLCN; khoản 1, khoản 8 Điều 21, Điều 22, khoản 7 Điều 23, khoản 1 Điều 10 Nghị định 356.</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G. Sự cố, trường học, hệ thống cũ, mức phạt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16. Lộ dữ liệu khuôn mặt thì làm gì?</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Trong </w:t>
      </w:r>
      <w:r>
        <w:rPr>
          <w:rFonts w:ascii="Times New Roman" w:cs="Times New Roman" w:eastAsia="Times New Roman" w:hAnsi="Times New Roman"/>
          <w:b/>
          <w:bCs/>
          <w:i w:val="false"/>
          <w:iCs w:val="false"/>
          <w:sz w:val="26"/>
          <w:szCs w:val="26"/>
        </w:rPr>
        <w:t xml:space="preserve">72 giờ</w:t>
      </w:r>
      <w:r>
        <w:rPr>
          <w:rFonts w:ascii="Times New Roman" w:cs="Times New Roman" w:eastAsia="Times New Roman" w:hAnsi="Times New Roman"/>
          <w:b w:val="false"/>
          <w:bCs w:val="false"/>
          <w:i w:val="false"/>
          <w:iCs w:val="false"/>
          <w:sz w:val="26"/>
          <w:szCs w:val="26"/>
        </w:rPr>
        <w:t xml:space="preserve"> kể từ khi phát hiện: thông báo </w:t>
      </w:r>
      <w:r>
        <w:rPr>
          <w:rFonts w:ascii="Times New Roman" w:cs="Times New Roman" w:eastAsia="Times New Roman" w:hAnsi="Times New Roman"/>
          <w:b/>
          <w:bCs/>
          <w:i w:val="false"/>
          <w:iCs w:val="false"/>
          <w:sz w:val="26"/>
          <w:szCs w:val="26"/>
        </w:rPr>
        <w:t xml:space="preserve">cơ quan chuyên trách bảo vệ dữ liệu cá nhân (Bộ Công an)</w:t>
      </w:r>
      <w:r>
        <w:rPr>
          <w:rFonts w:ascii="Times New Roman" w:cs="Times New Roman" w:eastAsia="Times New Roman" w:hAnsi="Times New Roman"/>
          <w:b w:val="false"/>
          <w:bCs w:val="false"/>
          <w:i w:val="false"/>
          <w:iCs w:val="false"/>
          <w:sz w:val="26"/>
          <w:szCs w:val="26"/>
        </w:rPr>
        <w:t xml:space="preserve"> theo Mẫu số 08 </w:t>
      </w:r>
      <w:r>
        <w:rPr>
          <w:rFonts w:ascii="Times New Roman" w:cs="Times New Roman" w:eastAsia="Times New Roman" w:hAnsi="Times New Roman"/>
          <w:b/>
          <w:bCs/>
          <w:i w:val="false"/>
          <w:iCs w:val="false"/>
          <w:sz w:val="26"/>
          <w:szCs w:val="26"/>
        </w:rPr>
        <w:t xml:space="preserve">và</w:t>
      </w:r>
      <w:r>
        <w:rPr>
          <w:rFonts w:ascii="Times New Roman" w:cs="Times New Roman" w:eastAsia="Times New Roman" w:hAnsi="Times New Roman"/>
          <w:b w:val="false"/>
          <w:bCs w:val="false"/>
          <w:i w:val="false"/>
          <w:iCs w:val="false"/>
          <w:sz w:val="26"/>
          <w:szCs w:val="26"/>
        </w:rPr>
        <w:t xml:space="preserve"> thông báo </w:t>
      </w:r>
      <w:r>
        <w:rPr>
          <w:rFonts w:ascii="Times New Roman" w:cs="Times New Roman" w:eastAsia="Times New Roman" w:hAnsi="Times New Roman"/>
          <w:b/>
          <w:bCs/>
          <w:i w:val="false"/>
          <w:iCs w:val="false"/>
          <w:sz w:val="26"/>
          <w:szCs w:val="26"/>
        </w:rPr>
        <w:t xml:space="preserve">từng người bị ảnh hưởng</w:t>
      </w:r>
      <w:r>
        <w:rPr>
          <w:rFonts w:ascii="Times New Roman" w:cs="Times New Roman" w:eastAsia="Times New Roman" w:hAnsi="Times New Roman"/>
          <w:b w:val="false"/>
          <w:bCs w:val="false"/>
          <w:i w:val="false"/>
          <w:iCs w:val="false"/>
          <w:sz w:val="26"/>
          <w:szCs w:val="26"/>
        </w:rPr>
        <w:t xml:space="preserve"> với đủ 6 nội dung tối thiểu. Không liên hệ được hết: thông báo công khai trên website, ứng dụng. Lập biên bản xác nhận vi phạm. Lưu hồ sơ vi phạm tối thiểu </w:t>
      </w:r>
      <w:r>
        <w:rPr>
          <w:rFonts w:ascii="Times New Roman" w:cs="Times New Roman" w:eastAsia="Times New Roman" w:hAnsi="Times New Roman"/>
          <w:b/>
          <w:bCs/>
          <w:i w:val="false"/>
          <w:iCs w:val="false"/>
          <w:sz w:val="26"/>
          <w:szCs w:val="26"/>
        </w:rPr>
        <w:t xml:space="preserve">05 năm</w:t>
      </w:r>
      <w:r>
        <w:rPr>
          <w:rFonts w:ascii="Times New Roman" w:cs="Times New Roman" w:eastAsia="Times New Roman" w:hAnsi="Times New Roman"/>
          <w:b w:val="false"/>
          <w:bCs w:val="false"/>
          <w:i w:val="false"/>
          <w:iCs w:val="false"/>
          <w:sz w:val="26"/>
          <w:szCs w:val="26"/>
        </w:rPr>
        <w:t xml:space="preserve"> kể từ ngày khắc phục xong. Nhà cung cấp là bên xử lý phải báo ngay cho khách hàng. Mức phạt: chậm quá 72 giờ 40–60 triệu đồng; không thông báo chủ thể, thiếu nội dung, không lưu hồ sơ: 50–70 triệu đồng mỗi hành vi.</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Điều 23 Luật BVDLCN; Điều 28, Điều 29 Nghị định 356; Điều 54, điểm đ–h khoản 1 Điều 70 Nghị định 330. Mẫu: K7.</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17. Trường học dùng nhận diện khuôn mặt điểm danh học sinh cần gì?</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Đồng ý của </w:t>
      </w:r>
      <w:r>
        <w:rPr>
          <w:rFonts w:ascii="Times New Roman" w:cs="Times New Roman" w:eastAsia="Times New Roman" w:hAnsi="Times New Roman"/>
          <w:b/>
          <w:bCs/>
          <w:i w:val="false"/>
          <w:iCs w:val="false"/>
          <w:sz w:val="26"/>
          <w:szCs w:val="26"/>
        </w:rPr>
        <w:t xml:space="preserve">cha, mẹ hoặc người giám hộ</w:t>
      </w:r>
      <w:r>
        <w:rPr>
          <w:rFonts w:ascii="Times New Roman" w:cs="Times New Roman" w:eastAsia="Times New Roman" w:hAnsi="Times New Roman"/>
          <w:b w:val="false"/>
          <w:bCs w:val="false"/>
          <w:i w:val="false"/>
          <w:iCs w:val="false"/>
          <w:sz w:val="26"/>
          <w:szCs w:val="26"/>
        </w:rPr>
        <w:t xml:space="preserve">. Nghị định 330 còn phạt việc xử lý dữ liệu của trẻ từ đủ 07 tuổi mà không có </w:t>
      </w:r>
      <w:r>
        <w:rPr>
          <w:rFonts w:ascii="Times New Roman" w:cs="Times New Roman" w:eastAsia="Times New Roman" w:hAnsi="Times New Roman"/>
          <w:b/>
          <w:bCs/>
          <w:i w:val="false"/>
          <w:iCs w:val="false"/>
          <w:sz w:val="26"/>
          <w:szCs w:val="26"/>
        </w:rPr>
        <w:t xml:space="preserve">đồng thời</w:t>
      </w:r>
      <w:r>
        <w:rPr>
          <w:rFonts w:ascii="Times New Roman" w:cs="Times New Roman" w:eastAsia="Times New Roman" w:hAnsi="Times New Roman"/>
          <w:b w:val="false"/>
          <w:bCs w:val="false"/>
          <w:i w:val="false"/>
          <w:iCs w:val="false"/>
          <w:sz w:val="26"/>
          <w:szCs w:val="26"/>
        </w:rPr>
        <w:t xml:space="preserve"> sự đồng ý của trẻ và người đại diện — rộng hơn câu chữ của Luật (Luật chỉ yêu cầu đồng ý của trẻ khi công bố, tiết lộ đời sống riêng tư). </w:t>
      </w:r>
      <w:r>
        <w:rPr>
          <w:rFonts w:ascii="Times New Roman" w:cs="Times New Roman" w:eastAsia="Times New Roman" w:hAnsi="Times New Roman"/>
          <w:b/>
          <w:bCs/>
          <w:i w:val="false"/>
          <w:iCs w:val="false"/>
          <w:sz w:val="26"/>
          <w:szCs w:val="26"/>
        </w:rPr>
        <w:t xml:space="preserve">[CẦN ĐỐI CHIẾU]</w:t>
      </w:r>
      <w:r>
        <w:rPr>
          <w:rFonts w:ascii="Times New Roman" w:cs="Times New Roman" w:eastAsia="Times New Roman" w:hAnsi="Times New Roman"/>
          <w:b w:val="false"/>
          <w:bCs w:val="false"/>
          <w:i w:val="false"/>
          <w:iCs w:val="false"/>
          <w:sz w:val="26"/>
          <w:szCs w:val="26"/>
        </w:rPr>
        <w:t xml:space="preserve">; cách thận trọng: xin cả hai với trẻ từ đủ 07 tuổi.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Phương thức thay thế (thẻ, điểm danh thủ công); không dùng nhận diện cảm xúc, chấm điểm hành vi.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DPIA, nhân sự bảo vệ dữ liệu cá nhân (dữ liệu nhạy cảm, không được miễn).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Nhà cung cấp vận hành phần mềm giáo dục có điểm danh, ghi hình (cloud) là kinh doanh dịch vụ xử lý dữ liệu cá nhân — cần Giấy chứng nhận.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Không có đồng ý hợp lệ: 30–50 triệu đồng; không xóa dữ liệu trẻ em khi phải xóa: 100–200 triệu đồng.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khoản 2 Điều 24 Luật BVDLCN; khoản 5 Điều 21 Nghị định 356; khoản 1, khoản 3 Điều 60 Nghị định 330.</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18. Hệ thống cũ đã xin đồng ý theo Nghị định 13/2023 có phải xin lại không?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Không phải xin lại</w:t>
      </w:r>
      <w:r>
        <w:rPr>
          <w:rFonts w:ascii="Times New Roman" w:cs="Times New Roman" w:eastAsia="Times New Roman" w:hAnsi="Times New Roman"/>
          <w:b w:val="false"/>
          <w:bCs w:val="false"/>
          <w:i w:val="false"/>
          <w:iCs w:val="false"/>
          <w:sz w:val="26"/>
          <w:szCs w:val="26"/>
        </w:rPr>
        <w:t xml:space="preserve"> nếu hoạt động xử lý đang thực hiện đã có đồng ý hoặc thỏa thuận theo Nghị định số 13/2023/NĐ-CP trước ngày 01/01/2026. Hồ sơ DPIA đã được cơ quan chuyên trách tiếp nhận trước ngày đó tiếp tục được dùng; cập nhật theo luật mới. Cần rà soát: đồng ý cũ có nêu rõ dữ liệu khuôn mặt, mục đích hiện tại không; mục đích </w:t>
      </w:r>
      <w:r>
        <w:rPr>
          <w:rFonts w:ascii="Times New Roman" w:cs="Times New Roman" w:eastAsia="Times New Roman" w:hAnsi="Times New Roman"/>
          <w:b/>
          <w:bCs/>
          <w:i w:val="false"/>
          <w:iCs w:val="false"/>
          <w:sz w:val="26"/>
          <w:szCs w:val="26"/>
        </w:rPr>
        <w:t xml:space="preserve">mới</w:t>
      </w:r>
      <w:r>
        <w:rPr>
          <w:rFonts w:ascii="Times New Roman" w:cs="Times New Roman" w:eastAsia="Times New Roman" w:hAnsi="Times New Roman"/>
          <w:b w:val="false"/>
          <w:bCs w:val="false"/>
          <w:i w:val="false"/>
          <w:iCs w:val="false"/>
          <w:sz w:val="26"/>
          <w:szCs w:val="26"/>
        </w:rPr>
        <w:t xml:space="preserve"> (ví dụ thêm chấm công vào hệ thống vốn chỉ để ra vào) phải xin đồng ý mới.</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khoản 1, khoản 2 Điều 39 Luật BVDLCN; điểm a khoản 4 Điều 9 Luật BVDLCN.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19. Mức phạt tối đa là bao nhiêu?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471"/>
        <w:gridCol w:w="5554"/>
      </w:tblGrid>
      <w:tr>
        <w:trPr>
          <w:cantSplit/>
          <w:tblHeader/>
        </w:trPr>
        <w:tc>
          <w:tcPr>
            <w:tcW w:type="dxa" w:w="34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Loại vi phạm</w:t>
            </w:r>
          </w:p>
        </w:tc>
        <w:tc>
          <w:tcPr>
            <w:tcW w:type="dxa" w:w="555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Mức phạt tối đa cho tổ chức</w:t>
            </w:r>
          </w:p>
        </w:tc>
      </w:tr>
      <w:tr>
        <w:trPr>
          <w:cantSplit/>
          <w:tblHeader w:val="false"/>
        </w:trPr>
        <w:tc>
          <w:tcPr>
            <w:tcW w:type="dxa" w:w="34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Vi phạm chung về bảo vệ dữ liệu cá nhân</w:t>
            </w:r>
          </w:p>
        </w:tc>
        <w:tc>
          <w:tcPr>
            <w:tcW w:type="dxa" w:w="55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03 tỷ đồng</w:t>
            </w:r>
          </w:p>
        </w:tc>
      </w:tr>
      <w:tr>
        <w:trPr>
          <w:cantSplit/>
          <w:tblHeader w:val="false"/>
        </w:trPr>
        <w:tc>
          <w:tcPr>
            <w:tcW w:type="dxa" w:w="34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Vi phạm quy định chuyển dữ liệu xuyên biên giới</w:t>
            </w:r>
          </w:p>
        </w:tc>
        <w:tc>
          <w:tcPr>
            <w:tcW w:type="dxa" w:w="55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5% doanh thu năm trước liền kề; nếu không có doanh thu hoặc 5% doanh thu thấp hơn 03 tỷ đồng thì mức tối đa là 03 tỷ đồng</w:t>
            </w:r>
          </w:p>
        </w:tc>
      </w:tr>
      <w:tr>
        <w:trPr>
          <w:cantSplit/>
          <w:tblHeader w:val="false"/>
        </w:trPr>
        <w:tc>
          <w:tcPr>
            <w:tcW w:type="dxa" w:w="34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Mua, bán dữ liệu cá nhân</w:t>
            </w:r>
          </w:p>
        </w:tc>
        <w:tc>
          <w:tcPr>
            <w:tcW w:type="dxa" w:w="55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10 lần khoản thu có được; nếu không có khoản thu hoặc tính ra thấp hơn 03 tỷ đồng thì mức tối đa là 03 tỷ đồng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Mức phạt cụ thể cho từng hành vi phổ biến với camera, nhận diện thường từ 10 đến 150 triệu đồng mỗi hành vi (xem các câu trên), kèm biện pháp buộc xóa dữ liệu, tịch thu thiết bị, đình chỉ hệ thống. Cá nhân bị phạt bằng một nửa. Vi phạm nghiêm trọng có thể bị truy cứu trách nhiệm hình sự và phải bồi thường thiệt hại.</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Điều 8 Luật BVDLCN; khoản 1, khoản 4 Điều 7 Nghị định 330.</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20. Đếm người, bản đồ nhiệt có phải xin đồng ý không?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Nếu thiết bị xử lý </w:t>
      </w:r>
      <w:r>
        <w:rPr>
          <w:rFonts w:ascii="Times New Roman" w:cs="Times New Roman" w:eastAsia="Times New Roman" w:hAnsi="Times New Roman"/>
          <w:b/>
          <w:bCs/>
          <w:i w:val="false"/>
          <w:iCs w:val="false"/>
          <w:sz w:val="26"/>
          <w:szCs w:val="26"/>
        </w:rPr>
        <w:t xml:space="preserve">ẩn danh tại chỗ</w:t>
      </w:r>
      <w:r>
        <w:rPr>
          <w:rFonts w:ascii="Times New Roman" w:cs="Times New Roman" w:eastAsia="Times New Roman" w:hAnsi="Times New Roman"/>
          <w:b w:val="false"/>
          <w:bCs w:val="false"/>
          <w:i w:val="false"/>
          <w:iCs w:val="false"/>
          <w:sz w:val="26"/>
          <w:szCs w:val="26"/>
        </w:rPr>
        <w:t xml:space="preserve"> — không nhận dạng, không lưu ảnh, chỉ xuất số đếm tổng hợp — số liệu xuất ra không còn xác định được ai, rủi ro thấp; vẫn cần biển báo camera và ghi cấu hình vào DPIA. Nếu hệ thống </w:t>
      </w:r>
      <w:r>
        <w:rPr>
          <w:rFonts w:ascii="Times New Roman" w:cs="Times New Roman" w:eastAsia="Times New Roman" w:hAnsi="Times New Roman"/>
          <w:b/>
          <w:bCs/>
          <w:i w:val="false"/>
          <w:iCs w:val="false"/>
          <w:sz w:val="26"/>
          <w:szCs w:val="26"/>
        </w:rPr>
        <w:t xml:space="preserve">theo dấu từng người</w:t>
      </w:r>
      <w:r>
        <w:rPr>
          <w:rFonts w:ascii="Times New Roman" w:cs="Times New Roman" w:eastAsia="Times New Roman" w:hAnsi="Times New Roman"/>
          <w:b w:val="false"/>
          <w:bCs w:val="false"/>
          <w:i w:val="false"/>
          <w:iCs w:val="false"/>
          <w:sz w:val="26"/>
          <w:szCs w:val="26"/>
        </w:rPr>
        <w:t xml:space="preserve"> (gán mã, nhận lại người qua nhiều camera) thì xử lý như nhận diện khách (câu 10).</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khoản 1 Điều 2 Luật BVDLCN (dữ liệu đã khử nhận dạng không còn là dữ liệu cá nhân); điểm a khoản 2 Điều 71 Nghị định 330.</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H. Thiết bị</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Câu 21. Camera nhập khẩu có phải hợp quy không?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Có, theo thông tin tra cứu — chưa xác minh đầy đủ.</w:t>
      </w:r>
      <w:r>
        <w:rPr>
          <w:rFonts w:ascii="Times New Roman" w:cs="Times New Roman" w:eastAsia="Times New Roman" w:hAnsi="Times New Roman"/>
          <w:b w:val="false"/>
          <w:bCs w:val="false"/>
          <w:i w:val="false"/>
          <w:iCs w:val="false"/>
          <w:sz w:val="26"/>
          <w:szCs w:val="26"/>
        </w:rPr>
        <w:t xml:space="preserve"> Từ 01/07/2026, thiết bị camera giám sát sử dụng giao thức Internet phải đáp ứng QCVN 11:2026/BCA (ban hành kèm Thông tư số 48/2026/TT-BCA ngày 12/5/2026, thay QCVN 135:2024/BTTTT). Theo nguồn thứ cấp, Thông tư số 125/2026/TT-BCA xếp camera giám sát, camera nhận dạng vào danh mục sản phẩm, hàng hóa có mức độ rủi ro trung bình. Khi đó nhà sản xuất, nhà nhập khẩu phải </w:t>
      </w:r>
      <w:r>
        <w:rPr>
          <w:rFonts w:ascii="Times New Roman" w:cs="Times New Roman" w:eastAsia="Times New Roman" w:hAnsi="Times New Roman"/>
          <w:b/>
          <w:bCs/>
          <w:i w:val="false"/>
          <w:iCs w:val="false"/>
          <w:sz w:val="26"/>
          <w:szCs w:val="26"/>
        </w:rPr>
        <w:t xml:space="preserve">công bố hợp quy</w:t>
      </w:r>
      <w:r>
        <w:rPr>
          <w:rFonts w:ascii="Times New Roman" w:cs="Times New Roman" w:eastAsia="Times New Roman" w:hAnsi="Times New Roman"/>
          <w:b w:val="false"/>
          <w:bCs w:val="false"/>
          <w:i w:val="false"/>
          <w:iCs w:val="false"/>
          <w:sz w:val="26"/>
          <w:szCs w:val="26"/>
        </w:rPr>
        <w:t xml:space="preserve"> và gắn </w:t>
      </w:r>
      <w:r>
        <w:rPr>
          <w:rFonts w:ascii="Times New Roman" w:cs="Times New Roman" w:eastAsia="Times New Roman" w:hAnsi="Times New Roman"/>
          <w:b/>
          <w:bCs/>
          <w:i w:val="false"/>
          <w:iCs w:val="false"/>
          <w:sz w:val="26"/>
          <w:szCs w:val="26"/>
        </w:rPr>
        <w:t xml:space="preserve">dấu hợp quy CR</w:t>
      </w:r>
      <w:r>
        <w:rPr>
          <w:rFonts w:ascii="Times New Roman" w:cs="Times New Roman" w:eastAsia="Times New Roman" w:hAnsi="Times New Roman"/>
          <w:b w:val="false"/>
          <w:bCs w:val="false"/>
          <w:i w:val="false"/>
          <w:iCs w:val="false"/>
          <w:sz w:val="26"/>
          <w:szCs w:val="26"/>
        </w:rPr>
        <w:t xml:space="preserve"> trước khi đưa thiết bị ra thị trường. Thiết bị lắp trên xe kinh doanh vận tải theo quy chuẩn riêng QCVN 06:2024/BCA.</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Chưa xác minh: đầu đọc khuôn mặt, camera biển số, đầu ghi có thuộc danh mục không; tự công bố hay phải có chứng nhận của tổ chức được chỉ định; hàng đã nhập trước 01/07/2026 xử lý thế nào. Nghĩa vụ hợp quy thuộc nhà sản xuất, nhà nhập khẩu. Doanh nghiệp mua, lắp camera nên yêu cầu nhà cung cấp giao bản công bố hợp quy, giấy chứng nhận hoặc kết quả thử nghiệm của từng model.</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w:t>
      </w:r>
      <w:r>
        <w:rPr>
          <w:rFonts w:ascii="Times New Roman" w:cs="Times New Roman" w:eastAsia="Times New Roman" w:hAnsi="Times New Roman"/>
          <w:b w:val="false"/>
          <w:bCs w:val="false"/>
          <w:i w:val="false"/>
          <w:iCs w:val="false"/>
          <w:sz w:val="26"/>
          <w:szCs w:val="26"/>
        </w:rPr>
        <w:t xml:space="preserve"> Thông tư số 48/2026/TT-BCA; Thông tư số 125/2026/TT-BCA — </w:t>
      </w:r>
      <w:r>
        <w:rPr>
          <w:rFonts w:ascii="Times New Roman" w:cs="Times New Roman" w:eastAsia="Times New Roman" w:hAnsi="Times New Roman"/>
          <w:b/>
          <w:bCs/>
          <w:i w:val="false"/>
          <w:iCs w:val="false"/>
          <w:sz w:val="26"/>
          <w:szCs w:val="26"/>
        </w:rPr>
        <w:t xml:space="preserve">[CẦN ĐỐI CHIẾU — chưa có toàn văn trong sources/]</w:t>
      </w:r>
      <w:r>
        <w:rPr>
          <w:rFonts w:ascii="Times New Roman" w:cs="Times New Roman" w:eastAsia="Times New Roman" w:hAnsi="Times New Roman"/>
          <w:b w:val="false"/>
          <w:bCs w:val="false"/>
          <w:i w:val="false"/>
          <w:iCs w:val="false"/>
          <w:sz w:val="26"/>
          <w:szCs w:val="26"/>
        </w:rPr>
        <w:t xml:space="preserve">. Mẫu: K8 mục B21; B4.</w:t>
      </w:r>
    </w:p>
    <w:p>
      <w:pPr>
        <w:keepNext/>
        <w:spacing w:after="180" w:before="120" w:line="240" w:lineRule="auto"/>
        <w:jc w:val="center"/>
      </w:pPr>
      <w:r>
        <w:rPr>
          <w:rFonts w:ascii="Times New Roman" w:cs="Times New Roman" w:eastAsia="Times New Roman" w:hAnsi="Times New Roman"/>
          <w:b w:val="false"/>
          <w:bCs w:val="false"/>
          <w:i/>
          <w:iCs/>
          <w:sz w:val="26"/>
          <w:szCs w:val="26"/>
        </w:rPr>
        <w:t xml:space="preserve">Liên hệ hỗ trợ tuân thủ của </w:t>
      </w: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 </w:t>
      </w:r>
      <w:r>
        <w:rPr>
          <w:rFonts w:ascii="Times New Roman" w:cs="Times New Roman" w:eastAsia="Times New Roman" w:hAnsi="Times New Roman"/>
          <w:b w:val="false"/>
          <w:bCs w:val="false"/>
          <w:i/>
          <w:iCs/>
          <w:sz w:val="26"/>
          <w:szCs w:val="26"/>
          <w:highlight w:val="yellow"/>
        </w:rPr>
        <w:t xml:space="preserve">Phạm Thu Dung, Chuyên viên bảo vệ DLCN</w:t>
      </w:r>
      <w:r>
        <w:rPr>
          <w:rFonts w:ascii="Times New Roman" w:cs="Times New Roman" w:eastAsia="Times New Roman" w:hAnsi="Times New Roman"/>
          <w:b w:val="false"/>
          <w:bCs w:val="false"/>
          <w:i/>
          <w:iCs/>
          <w:sz w:val="26"/>
          <w:szCs w:val="26"/>
        </w:rPr>
        <w:t xml:space="preserve"> — </w:t>
      </w:r>
      <w:r>
        <w:rPr>
          <w:rFonts w:ascii="Times New Roman" w:cs="Times New Roman" w:eastAsia="Times New Roman" w:hAnsi="Times New Roman"/>
          <w:b w:val="false"/>
          <w:bCs w:val="false"/>
          <w:i/>
          <w:iCs/>
          <w:sz w:val="26"/>
          <w:szCs w:val="26"/>
          <w:highlight w:val="yellow"/>
        </w:rPr>
        <w:t xml:space="preserve">dpo@example.vn</w:t>
      </w:r>
      <w:r>
        <w:rPr>
          <w:rFonts w:ascii="Times New Roman" w:cs="Times New Roman" w:eastAsia="Times New Roman" w:hAnsi="Times New Roman"/>
          <w:b w:val="false"/>
          <w:bCs w:val="false"/>
          <w:i/>
          <w:iCs/>
          <w:sz w:val="26"/>
          <w:szCs w:val="26"/>
        </w:rPr>
        <w:t xml:space="preserve"> — </w:t>
      </w:r>
      <w:r>
        <w:rPr>
          <w:rFonts w:ascii="Times New Roman" w:cs="Times New Roman" w:eastAsia="Times New Roman" w:hAnsi="Times New Roman"/>
          <w:b w:val="false"/>
          <w:bCs w:val="false"/>
          <w:i/>
          <w:iCs/>
          <w:sz w:val="26"/>
          <w:szCs w:val="26"/>
          <w:highlight w:val="yellow"/>
        </w:rPr>
        <w:t xml:space="preserve">028 1234 5679</w:t>
      </w:r>
      <w:r>
        <w:rPr>
          <w:rFonts w:ascii="Times New Roman" w:cs="Times New Roman" w:eastAsia="Times New Roman" w:hAnsi="Times New Roman"/>
          <w:b w:val="false"/>
          <w:bCs w:val="false"/>
          <w:i/>
          <w:iCs/>
          <w:sz w:val="26"/>
          <w:szCs w:val="26"/>
        </w:rPr>
        <w:t xml:space="preserve"> — </w:t>
      </w:r>
      <w:r>
        <w:rPr>
          <w:rFonts w:ascii="Times New Roman" w:cs="Times New Roman" w:eastAsia="Times New Roman" w:hAnsi="Times New Roman"/>
          <w:b w:val="false"/>
          <w:bCs w:val="false"/>
          <w:i/>
          <w:iCs/>
          <w:sz w:val="26"/>
          <w:szCs w:val="26"/>
          <w:highlight w:val="yellow"/>
        </w:rPr>
        <w:t xml:space="preserve">www.example.vn</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Hỏi đáp cho khách hàng về bảo vệ dữ liệu cá nhân khi dùng camera và nhận diện (K10)</dc:title>
  <dc:creator>vn-cyber-compliance</dc:creator>
  <cp:lastModifiedBy>Un-named</cp:lastModifiedBy>
  <cp:revision>1</cp:revision>
  <dcterms:created xsi:type="dcterms:W3CDTF">2026-09-29T05:50:30.677Z</dcterms:created>
  <dcterms:modified xsi:type="dcterms:W3CDTF">2026-09-29T05:50:30.677Z</dcterms:modified>
</cp:coreProperties>
</file>

<file path=docProps/custom.xml><?xml version="1.0" encoding="utf-8"?>
<Properties xmlns="http://schemas.openxmlformats.org/officeDocument/2006/custom-properties" xmlns:vt="http://schemas.openxmlformats.org/officeDocument/2006/docPropsVTypes"/>
</file>