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180" w:before="120" w:line="240" w:lineRule="auto"/>
        <w:jc w:val="center"/>
      </w:pPr>
      <w:r>
        <w:rPr>
          <w:rFonts w:ascii="Times New Roman" w:cs="Times New Roman" w:eastAsia="Times New Roman" w:hAnsi="Times New Roman"/>
          <w:b/>
          <w:bCs/>
          <w:i w:val="false"/>
          <w:iCs w:val="false"/>
          <w:sz w:val="28"/>
          <w:szCs w:val="28"/>
          <w:highlight w:val="yellow"/>
        </w:rPr>
        <w:t xml:space="preserve">Công ty cổ phần Giải pháp Công nghệ TURBO</w:t>
      </w:r>
    </w:p>
    <w:p>
      <w:pPr>
        <w:keepNext/>
        <w:spacing w:after="180" w:before="120" w:line="240" w:lineRule="auto"/>
        <w:jc w:val="center"/>
      </w:pPr>
      <w:r>
        <w:rPr>
          <w:rFonts w:ascii="Times New Roman" w:cs="Times New Roman" w:eastAsia="Times New Roman" w:hAnsi="Times New Roman"/>
          <w:b/>
          <w:bCs/>
          <w:i w:val="false"/>
          <w:iCs w:val="false"/>
          <w:sz w:val="28"/>
          <w:szCs w:val="28"/>
        </w:rPr>
        <w:t xml:space="preserve">THUYẾT MINH ĐỀ XUẤT CẤP ĐỘ HỆ THỐNG THÔNG TIN</w:t>
      </w:r>
    </w:p>
    <w:p>
      <w:pPr>
        <w:keepNext/>
        <w:spacing w:after="180" w:before="120" w:line="240" w:lineRule="auto"/>
        <w:jc w:val="center"/>
      </w:pPr>
      <w:r>
        <w:rPr>
          <w:rFonts w:ascii="Times New Roman" w:cs="Times New Roman" w:eastAsia="Times New Roman" w:hAnsi="Times New Roman"/>
          <w:b w:val="false"/>
          <w:bCs w:val="false"/>
          <w:i/>
          <w:iCs/>
          <w:sz w:val="26"/>
          <w:szCs w:val="26"/>
        </w:rPr>
        <w:t xml:space="preserve">(Phiên bản </w:t>
      </w:r>
      <w:r>
        <w:rPr>
          <w:rFonts w:ascii="Times New Roman" w:cs="Times New Roman" w:eastAsia="Times New Roman" w:hAnsi="Times New Roman"/>
          <w:b w:val="false"/>
          <w:bCs w:val="false"/>
          <w:i/>
          <w:iCs/>
          <w:sz w:val="26"/>
          <w:szCs w:val="26"/>
          <w:highlight w:val="yellow"/>
        </w:rPr>
        <w:t xml:space="preserve">1.0</w:t>
      </w:r>
      <w:r>
        <w:rPr>
          <w:rFonts w:ascii="Times New Roman" w:cs="Times New Roman" w:eastAsia="Times New Roman" w:hAnsi="Times New Roman"/>
          <w:b w:val="false"/>
          <w:bCs w:val="false"/>
          <w:i/>
          <w:iCs/>
          <w:sz w:val="26"/>
          <w:szCs w:val="26"/>
        </w:rPr>
        <w:t xml:space="preserve">, ngày </w:t>
      </w:r>
      <w:r>
        <w:rPr>
          <w:rFonts w:ascii="Times New Roman" w:cs="Times New Roman" w:eastAsia="Times New Roman" w:hAnsi="Times New Roman"/>
          <w:b w:val="false"/>
          <w:bCs w:val="false"/>
          <w:i/>
          <w:iCs/>
          <w:sz w:val="26"/>
          <w:szCs w:val="26"/>
          <w:highlight w:val="yellow"/>
        </w:rPr>
        <w:t xml:space="preserve">15</w:t>
      </w:r>
      <w:r>
        <w:rPr>
          <w:rFonts w:ascii="Times New Roman" w:cs="Times New Roman" w:eastAsia="Times New Roman" w:hAnsi="Times New Roman"/>
          <w:b w:val="false"/>
          <w:bCs w:val="false"/>
          <w:i/>
          <w:iCs/>
          <w:sz w:val="26"/>
          <w:szCs w:val="26"/>
        </w:rPr>
        <w:t xml:space="preserve">)</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1. Danh mục hệ thống thông tin và cấp độ đề xuất (Đ22.4.a)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30"/>
        <w:gridCol w:w="1740"/>
        <w:gridCol w:w="1396"/>
        <w:gridCol w:w="1134"/>
        <w:gridCol w:w="1821"/>
        <w:gridCol w:w="772"/>
        <w:gridCol w:w="1532"/>
      </w:tblGrid>
      <w:tr>
        <w:trPr>
          <w:cantSplit/>
          <w:tblHeader/>
        </w:trPr>
        <w:tc>
          <w:tcPr>
            <w:tcW w:type="dxa" w:w="6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STT</w:t>
            </w:r>
          </w:p>
        </w:tc>
        <w:tc>
          <w:tcPr>
            <w:tcW w:type="dxa" w:w="174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Tên hệ thống thông tin</w:t>
            </w:r>
          </w:p>
        </w:tc>
        <w:tc>
          <w:tcPr>
            <w:tcW w:type="dxa" w:w="139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Chủ quản</w:t>
            </w:r>
          </w:p>
        </w:tc>
        <w:tc>
          <w:tcPr>
            <w:tcW w:type="dxa" w:w="113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Đơn vị vận hành</w:t>
            </w:r>
          </w:p>
        </w:tc>
        <w:tc>
          <w:tcPr>
            <w:tcW w:type="dxa" w:w="182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Loại hình (Đ9.2)</w:t>
            </w:r>
          </w:p>
        </w:tc>
        <w:tc>
          <w:tcPr>
            <w:tcW w:type="dxa" w:w="7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Cấp độ đề xuất</w:t>
            </w:r>
          </w:p>
        </w:tc>
        <w:tc>
          <w:tcPr>
            <w:tcW w:type="dxa" w:w="153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Căn cứ đề xuất (điều, khoản, điểm)</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1</w:t>
            </w:r>
          </w:p>
        </w:tc>
        <w:tc>
          <w:tcPr>
            <w:tcW w:type="dxa" w:w="17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Hệ thống quản lý khách hàng trực tuyến (CRM Online)</w:t>
            </w:r>
          </w:p>
        </w:tc>
        <w:tc>
          <w:tcPr>
            <w:tcW w:type="dxa" w:w="13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Công ty cổ phần Giải pháp Công nghệ TURBO</w:t>
            </w:r>
          </w:p>
        </w:tc>
        <w:tc>
          <w:tcPr>
            <w:tcW w:type="dxa" w:w="11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Phòng Vận hành hệ thống</w:t>
            </w:r>
          </w:p>
        </w:tc>
        <w:tc>
          <w:tcPr>
            <w:tcW w:type="dxa" w:w="18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Loại b – phục vụ người dân, doanh nghiệp (Đ9.2.b)</w:t>
            </w: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3</w:t>
            </w:r>
          </w:p>
        </w:tc>
        <w:tc>
          <w:tcPr>
            <w:tcW w:type="dxa" w:w="1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iCs/>
                <w:sz w:val="20"/>
                <w:szCs w:val="20"/>
              </w:rPr>
              <w:t xml:space="preserve">Ví dụ: NĐ 331 Đ13.2.c; Đ8.2</w:t>
            </w: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2. Thuyết minh chi tiết từng hệ thống (Đ22.4.b)</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Lặp lại mục này cho mỗi hệ thống.</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2.1. </w:t>
      </w:r>
      <w:r>
        <w:rPr>
          <w:rFonts w:ascii="Times New Roman" w:cs="Times New Roman" w:eastAsia="Times New Roman" w:hAnsi="Times New Roman"/>
          <w:b/>
          <w:bCs/>
          <w:i w:val="false"/>
          <w:iCs w:val="false"/>
          <w:caps w:val="false"/>
          <w:sz w:val="26"/>
          <w:szCs w:val="26"/>
          <w:highlight w:val="yellow"/>
        </w:rPr>
        <w:t xml:space="preserve">Hệ thống quản lý khách hàng trực tuyến (CRM Online)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a) Loại thông tin được xử lý (Đ9.1)</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4842"/>
        <w:gridCol w:w="1459"/>
        <w:gridCol w:w="830"/>
        <w:gridCol w:w="1894"/>
      </w:tblGrid>
      <w:tr>
        <w:trPr>
          <w:cantSplit/>
          <w:tblHeader/>
        </w:trPr>
        <w:tc>
          <w:tcPr>
            <w:tcW w:type="dxa" w:w="484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Loại thông tin</w:t>
            </w:r>
          </w:p>
        </w:tc>
        <w:tc>
          <w:tcPr>
            <w:tcW w:type="dxa" w:w="145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Có/Không</w:t>
            </w:r>
          </w:p>
        </w:tc>
        <w:tc>
          <w:tcPr>
            <w:tcW w:type="dxa" w:w="8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Mô tả dữ liệu cụ thể</w:t>
            </w:r>
          </w:p>
        </w:tc>
        <w:tc>
          <w:tcPr>
            <w:tcW w:type="dxa" w:w="189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Số lượng chủ thể (nếu là TTCN)</w:t>
            </w:r>
          </w:p>
        </w:tc>
      </w:tr>
      <w:tr>
        <w:trPr>
          <w:cantSplit/>
          <w:tblHeader w:val="false"/>
        </w:trPr>
        <w:tc>
          <w:tcPr>
            <w:tcW w:type="dxa" w:w="48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Thông tin công cộng</w:t>
            </w:r>
          </w:p>
        </w:tc>
        <w:tc>
          <w:tcPr>
            <w:tcW w:type="dxa" w:w="14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8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r>
      <w:tr>
        <w:trPr>
          <w:cantSplit/>
          <w:tblHeader w:val="false"/>
        </w:trPr>
        <w:tc>
          <w:tcPr>
            <w:tcW w:type="dxa" w:w="48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Thông tin riêng</w:t>
            </w:r>
          </w:p>
        </w:tc>
        <w:tc>
          <w:tcPr>
            <w:tcW w:type="dxa" w:w="14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8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r>
      <w:tr>
        <w:trPr>
          <w:cantSplit/>
          <w:tblHeader w:val="false"/>
        </w:trPr>
        <w:tc>
          <w:tcPr>
            <w:tcW w:type="dxa" w:w="48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Thông tin cá nhân — DLCN cơ bản (NĐ 356 Đ3)</w:t>
            </w:r>
          </w:p>
        </w:tc>
        <w:tc>
          <w:tcPr>
            <w:tcW w:type="dxa" w:w="14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8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khoảng 150.000</w:t>
            </w:r>
          </w:p>
        </w:tc>
      </w:tr>
      <w:tr>
        <w:trPr>
          <w:cantSplit/>
          <w:tblHeader w:val="false"/>
        </w:trPr>
        <w:tc>
          <w:tcPr>
            <w:tcW w:type="dxa" w:w="48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Thông tin cá nhân — DLCN nhạy cảm (NĐ 356 Đ4)</w:t>
            </w:r>
          </w:p>
        </w:tc>
        <w:tc>
          <w:tcPr>
            <w:tcW w:type="dxa" w:w="14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8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0</w:t>
            </w:r>
          </w:p>
        </w:tc>
      </w:tr>
      <w:tr>
        <w:trPr>
          <w:cantSplit/>
          <w:tblHeader w:val="false"/>
        </w:trPr>
        <w:tc>
          <w:tcPr>
            <w:tcW w:type="dxa" w:w="48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Thông tin bí mật nhà nước</w:t>
            </w:r>
          </w:p>
        </w:tc>
        <w:tc>
          <w:tcPr>
            <w:tcW w:type="dxa" w:w="14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8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Phương pháp đếm chủ thể: </w:t>
      </w:r>
      <w:r>
        <w:rPr>
          <w:rFonts w:ascii="Times New Roman" w:cs="Times New Roman" w:eastAsia="Times New Roman" w:hAnsi="Times New Roman"/>
          <w:b w:val="false"/>
          <w:bCs w:val="false"/>
          <w:i w:val="false"/>
          <w:iCs w:val="false"/>
          <w:sz w:val="26"/>
          <w:szCs w:val="26"/>
          <w:highlight w:val="yellow"/>
        </w:rPr>
        <w:t xml:space="preserve">Truy vấn CSDL ngày 31/8/2026, đếm tích lũy, loại trùng theo email/số điện thoại</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(thời điểm chốt, nguồn truy vấn, cách loại trùng; vai trò kiểm soát/xử lý — xem vùng xám 6.3 tại tieu-chi-cap-do.md).</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b) Loại hệ thống thông tin (Đ9.2)</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Loại hình: </w:t>
      </w:r>
      <w:r>
        <w:rPr>
          <w:rFonts w:ascii="Times New Roman" w:cs="Times New Roman" w:eastAsia="Times New Roman" w:hAnsi="Times New Roman"/>
          <w:b w:val="false"/>
          <w:bCs w:val="false"/>
          <w:i w:val="false"/>
          <w:iCs w:val="false"/>
          <w:sz w:val="26"/>
          <w:szCs w:val="26"/>
          <w:highlight w:val="yellow"/>
        </w:rPr>
        <w:t xml:space="preserve">Loại b – phục vụ người dân, doanh nghiệp (Đ9.2.b)</w:t>
      </w:r>
      <w:r>
        <w:rPr>
          <w:rFonts w:ascii="Times New Roman" w:cs="Times New Roman" w:eastAsia="Times New Roman" w:hAnsi="Times New Roman"/>
          <w:b w:val="false"/>
          <w:bCs w:val="false"/>
          <w:i w:val="false"/>
          <w:iCs w:val="false"/>
          <w:sz w:val="26"/>
          <w:szCs w:val="26"/>
        </w:rPr>
        <w:t xml:space="preserve">. Lý do: </w:t>
      </w:r>
      <w:r>
        <w:rPr>
          <w:rFonts w:ascii="Times New Roman" w:cs="Times New Roman" w:eastAsia="Times New Roman" w:hAnsi="Times New Roman"/>
          <w:b w:val="false"/>
          <w:bCs w:val="false"/>
          <w:i w:val="false"/>
          <w:iCs w:val="false"/>
          <w:sz w:val="26"/>
          <w:szCs w:val="26"/>
          <w:highlight w:val="yellow"/>
        </w:rPr>
        <w:t xml:space="preserve">Cung cấp dịch vụ trực tuyến cho khách hàng qua Internet, hoạt động 24/7</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(Nếu loại b: nêu dịch vụ trực tuyến cung cấp, lĩnh vực; kết quả tra danh mục ngành, nghề đầu tư kinh doanh có điều kiện — Phụ lục IV Luật Đầu tư, số thứ tự hoặc "không thuộc" </w:t>
      </w:r>
      <w:r>
        <w:rPr>
          <w:rFonts w:ascii="Times New Roman" w:cs="Times New Roman" w:eastAsia="Times New Roman" w:hAnsi="Times New Roman"/>
          <w:b/>
          <w:bCs/>
          <w:i/>
          <w:iCs/>
          <w:sz w:val="26"/>
          <w:szCs w:val="26"/>
        </w:rPr>
        <w:t xml:space="preserve">[CẦN ĐỐI CHIẾU văn bản đang có hiệu lực]</w:t>
      </w:r>
      <w:r>
        <w:rPr>
          <w:rFonts w:ascii="Times New Roman" w:cs="Times New Roman" w:eastAsia="Times New Roman" w:hAnsi="Times New Roman"/>
          <w:b w:val="false"/>
          <w:bCs w:val="false"/>
          <w:i/>
          <w:iCs/>
          <w:sz w:val="26"/>
          <w:szCs w:val="26"/>
        </w:rPr>
        <w:t xml:space="preserve">; có giải quyết thủ tục hành chính không.)</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c) Căn cứ đề xuất cấp độ</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751"/>
        <w:gridCol w:w="1652"/>
        <w:gridCol w:w="2634"/>
        <w:gridCol w:w="988"/>
      </w:tblGrid>
      <w:tr>
        <w:trPr>
          <w:cantSplit/>
          <w:tblHeader/>
        </w:trPr>
        <w:tc>
          <w:tcPr>
            <w:tcW w:type="dxa" w:w="375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Tiêu chí đối chiếu</w:t>
            </w:r>
          </w:p>
        </w:tc>
        <w:tc>
          <w:tcPr>
            <w:tcW w:type="dxa" w:w="165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Kết quả</w:t>
            </w:r>
          </w:p>
        </w:tc>
        <w:tc>
          <w:tcPr>
            <w:tcW w:type="dxa" w:w="263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Điều khoản</w:t>
            </w:r>
          </w:p>
        </w:tc>
        <w:tc>
          <w:tcPr>
            <w:tcW w:type="dxa" w:w="98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Cấp tương ứng</w:t>
            </w:r>
          </w:p>
        </w:tc>
      </w:tr>
      <w:tr>
        <w:trPr>
          <w:cantSplit/>
          <w:tblHeader w:val="false"/>
        </w:trPr>
        <w:tc>
          <w:tcPr>
            <w:tcW w:type="dxa" w:w="37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Xử lý BMNN / phục vụ QP–AN</w:t>
            </w:r>
          </w:p>
        </w:tc>
        <w:tc>
          <w:tcPr>
            <w:tcW w:type="dxa" w:w="1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Có ☐ Không</w:t>
            </w:r>
          </w:p>
        </w:tc>
        <w:tc>
          <w:tcPr>
            <w:tcW w:type="dxa" w:w="26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Đ13.1–Đ15.1</w:t>
            </w:r>
          </w:p>
        </w:tc>
        <w:tc>
          <w:tcPr>
            <w:tcW w:type="dxa" w:w="9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37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Loại hình + thông tin (nội bộ)</w:t>
            </w:r>
          </w:p>
        </w:tc>
        <w:tc>
          <w:tcPr>
            <w:tcW w:type="dxa" w:w="1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26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Đ11.1 / Đ12.1</w:t>
            </w:r>
          </w:p>
        </w:tc>
        <w:tc>
          <w:tcPr>
            <w:tcW w:type="dxa" w:w="9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37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Dịch vụ trực tuyến thuộc/không thuộc ngành nghề có điều kiện</w:t>
            </w:r>
          </w:p>
        </w:tc>
        <w:tc>
          <w:tcPr>
            <w:tcW w:type="dxa" w:w="1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26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Đ12.2.a / Đ13.2.a</w:t>
            </w:r>
          </w:p>
        </w:tc>
        <w:tc>
          <w:tcPr>
            <w:tcW w:type="dxa" w:w="9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37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Giải quyết TTHC</w:t>
            </w:r>
          </w:p>
        </w:tc>
        <w:tc>
          <w:tcPr>
            <w:tcW w:type="dxa" w:w="1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26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Đ13.2.b</w:t>
            </w:r>
          </w:p>
        </w:tc>
        <w:tc>
          <w:tcPr>
            <w:tcW w:type="dxa" w:w="9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37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Ngưỡng chủ thể dữ liệu</w:t>
            </w:r>
          </w:p>
        </w:tc>
        <w:tc>
          <w:tcPr>
            <w:tcW w:type="dxa" w:w="1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26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Đ12.2.b / Đ13.2.c</w:t>
            </w:r>
          </w:p>
        </w:tc>
        <w:tc>
          <w:tcPr>
            <w:tcW w:type="dxa" w:w="9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37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Cơ sở hạ tầng thông tin — phạm vi phục vụ</w:t>
            </w:r>
          </w:p>
        </w:tc>
        <w:tc>
          <w:tcPr>
            <w:tcW w:type="dxa" w:w="1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26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Đ12.3 / Đ13.3 / Đ14.2 / Đ15.3</w:t>
            </w:r>
          </w:p>
        </w:tc>
        <w:tc>
          <w:tcPr>
            <w:tcW w:type="dxa" w:w="9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37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Điều khiển công nghiệp — cấp công trình</w:t>
            </w:r>
          </w:p>
        </w:tc>
        <w:tc>
          <w:tcPr>
            <w:tcW w:type="dxa" w:w="1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26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Đ13.4 / Đ14.3 / Đ15.4</w:t>
            </w:r>
          </w:p>
        </w:tc>
        <w:tc>
          <w:tcPr>
            <w:tcW w:type="dxa" w:w="9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37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Dữ liệu đặc biệt quan trọng quốc gia</w:t>
            </w:r>
          </w:p>
        </w:tc>
        <w:tc>
          <w:tcPr>
            <w:tcW w:type="dxa" w:w="1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26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Đ15.2</w:t>
            </w:r>
          </w:p>
        </w:tc>
        <w:tc>
          <w:tcPr>
            <w:tcW w:type="dxa" w:w="9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37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Kết quả đánh giá rủi ro</w:t>
            </w:r>
          </w:p>
        </w:tc>
        <w:tc>
          <w:tcPr>
            <w:tcW w:type="dxa" w:w="1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26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Đ10.4.a, Đ10.5</w:t>
            </w:r>
          </w:p>
        </w:tc>
        <w:tc>
          <w:tcPr>
            <w:tcW w:type="dxa" w:w="9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37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Tiêu chí HTTT quan trọng về ANQG</w:t>
            </w:r>
          </w:p>
        </w:tc>
        <w:tc>
          <w:tcPr>
            <w:tcW w:type="dxa" w:w="1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Có ☐ Không</w:t>
            </w:r>
          </w:p>
        </w:tc>
        <w:tc>
          <w:tcPr>
            <w:tcW w:type="dxa" w:w="26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Đ16</w:t>
            </w:r>
          </w:p>
        </w:tc>
        <w:tc>
          <w:tcPr>
            <w:tcW w:type="dxa" w:w="9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37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Cấp đề xuất = cấp cao nhất</w:t>
            </w:r>
          </w:p>
        </w:tc>
        <w:tc>
          <w:tcPr>
            <w:tcW w:type="dxa" w:w="1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26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Đ8.2</w:t>
            </w:r>
          </w:p>
        </w:tc>
        <w:tc>
          <w:tcPr>
            <w:tcW w:type="dxa" w:w="9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bCs/>
                <w:i w:val="false"/>
                <w:iCs w:val="false"/>
                <w:sz w:val="22"/>
                <w:szCs w:val="22"/>
                <w:highlight w:val="yellow"/>
              </w:rPr>
              <w:t xml:space="preserve">3</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d) Luận giải mức độ tổn hại theo Luật 116 Đ8.1</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Phân tích hậu quả khi hệ thống bị sự cố hoặc có hành vi vi phạm pháp luật về ANM (mất bí mật, mất toàn vẹn, mất sẵn sàng) đối với từng đối tượng bị ảnh hưởng. Nêu rõ giả định định lượng của tổ chức vì Luật chưa định lượng các mức.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274"/>
        <w:gridCol w:w="2305"/>
        <w:gridCol w:w="830"/>
        <w:gridCol w:w="2325"/>
        <w:gridCol w:w="1291"/>
      </w:tblGrid>
      <w:tr>
        <w:trPr>
          <w:cantSplit/>
          <w:tblHeader/>
        </w:trPr>
        <w:tc>
          <w:tcPr>
            <w:tcW w:type="dxa" w:w="227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Đối tượng bị ảnh hưởng</w:t>
            </w:r>
          </w:p>
        </w:tc>
        <w:tc>
          <w:tcPr>
            <w:tcW w:type="dxa" w:w="230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Kịch bản (bí mật / toàn vẹn / sẵn sàng)</w:t>
            </w:r>
          </w:p>
        </w:tc>
        <w:tc>
          <w:tcPr>
            <w:tcW w:type="dxa" w:w="8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Hậu quả dự kiến</w:t>
            </w:r>
          </w:p>
        </w:tc>
        <w:tc>
          <w:tcPr>
            <w:tcW w:type="dxa" w:w="232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Mức tổn hại</w:t>
            </w:r>
          </w:p>
        </w:tc>
        <w:tc>
          <w:tcPr>
            <w:tcW w:type="dxa" w:w="129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Tương ứng Luật 116 Đ8.1</w:t>
            </w:r>
          </w:p>
        </w:tc>
      </w:tr>
      <w:tr>
        <w:trPr>
          <w:cantSplit/>
          <w:tblHeader w:val="false"/>
        </w:trPr>
        <w:tc>
          <w:tcPr>
            <w:tcW w:type="dxa" w:w="22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Quyền, lợi ích hợp pháp của tổ chức, cá nhân</w:t>
            </w:r>
          </w:p>
        </w:tc>
        <w:tc>
          <w:tcPr>
            <w:tcW w:type="dxa" w:w="2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iCs/>
                <w:sz w:val="22"/>
                <w:szCs w:val="22"/>
              </w:rPr>
              <w:t xml:space="preserve">Ví dụ: lộ DLCN của </w:t>
            </w:r>
            <w:r>
              <w:rPr>
                <w:rFonts w:ascii="Times New Roman" w:cs="Times New Roman" w:eastAsia="Times New Roman" w:hAnsi="Times New Roman"/>
                <w:b w:val="false"/>
                <w:bCs w:val="false"/>
                <w:i/>
                <w:iCs/>
                <w:sz w:val="22"/>
                <w:szCs w:val="22"/>
                <w:highlight w:val="yellow"/>
              </w:rPr>
              <w:t xml:space="preserve">150.000</w:t>
            </w:r>
            <w:r>
              <w:rPr>
                <w:rFonts w:ascii="Times New Roman" w:cs="Times New Roman" w:eastAsia="Times New Roman" w:hAnsi="Times New Roman"/>
                <w:b w:val="false"/>
                <w:bCs w:val="false"/>
                <w:i/>
                <w:iCs/>
                <w:sz w:val="22"/>
                <w:szCs w:val="22"/>
              </w:rPr>
              <w:t xml:space="preserve"> khách hàng</w:t>
            </w:r>
          </w:p>
        </w:tc>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23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Tổn hại ☐ Nghiêm trọng ☐ Đặc biệt nghiêm trọng</w:t>
            </w:r>
          </w:p>
        </w:tc>
        <w:tc>
          <w:tcPr>
            <w:tcW w:type="dxa" w:w="12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a / b / c</w:t>
            </w:r>
          </w:p>
        </w:tc>
      </w:tr>
      <w:tr>
        <w:trPr>
          <w:cantSplit/>
          <w:tblHeader w:val="false"/>
        </w:trPr>
        <w:tc>
          <w:tcPr>
            <w:tcW w:type="dxa" w:w="22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Lợi ích công cộng</w:t>
            </w:r>
          </w:p>
        </w:tc>
        <w:tc>
          <w:tcPr>
            <w:tcW w:type="dxa" w:w="2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iCs/>
                <w:sz w:val="22"/>
                <w:szCs w:val="22"/>
              </w:rPr>
              <w:t xml:space="preserve">Ví dụ: gián đoạn dịch vụ thiết yếu </w:t>
            </w:r>
            <w:r>
              <w:rPr>
                <w:rFonts w:ascii="Times New Roman" w:cs="Times New Roman" w:eastAsia="Times New Roman" w:hAnsi="Times New Roman"/>
                <w:b w:val="false"/>
                <w:bCs w:val="false"/>
                <w:i/>
                <w:iCs/>
                <w:sz w:val="22"/>
                <w:szCs w:val="22"/>
                <w:highlight w:val="yellow"/>
              </w:rPr>
              <w:t xml:space="preserve">24</w:t>
            </w:r>
            <w:r>
              <w:rPr>
                <w:rFonts w:ascii="Times New Roman" w:cs="Times New Roman" w:eastAsia="Times New Roman" w:hAnsi="Times New Roman"/>
                <w:b w:val="false"/>
                <w:bCs w:val="false"/>
                <w:i/>
                <w:iCs/>
                <w:sz w:val="22"/>
                <w:szCs w:val="22"/>
              </w:rPr>
              <w:t xml:space="preserve"> giờ</w:t>
            </w:r>
          </w:p>
        </w:tc>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23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Tổn hại ☐ Nghiêm trọng ☐ Đặc biệt nghiêm trọng</w:t>
            </w:r>
          </w:p>
        </w:tc>
        <w:tc>
          <w:tcPr>
            <w:tcW w:type="dxa" w:w="12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 / c / d</w:t>
            </w:r>
          </w:p>
        </w:tc>
      </w:tr>
      <w:tr>
        <w:trPr>
          <w:cantSplit/>
          <w:tblHeader w:val="false"/>
        </w:trPr>
        <w:tc>
          <w:tcPr>
            <w:tcW w:type="dxa" w:w="22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Trật tự, an toàn xã hội</w:t>
            </w:r>
          </w:p>
        </w:tc>
        <w:tc>
          <w:tcPr>
            <w:tcW w:type="dxa" w:w="2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23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Tổn hại ☐ Nghiêm trọng ☐ Đặc biệt nghiêm trọng</w:t>
            </w:r>
          </w:p>
        </w:tc>
        <w:tc>
          <w:tcPr>
            <w:tcW w:type="dxa" w:w="12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 / d</w:t>
            </w:r>
          </w:p>
        </w:tc>
      </w:tr>
      <w:tr>
        <w:trPr>
          <w:cantSplit/>
          <w:tblHeader w:val="false"/>
        </w:trPr>
        <w:tc>
          <w:tcPr>
            <w:tcW w:type="dxa" w:w="22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An ninh quốc gia</w:t>
            </w:r>
          </w:p>
        </w:tc>
        <w:tc>
          <w:tcPr>
            <w:tcW w:type="dxa" w:w="2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23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Tổn hại ☐ Nghiêm trọng ☐ Đặc biệt nghiêm trọng</w:t>
            </w:r>
          </w:p>
        </w:tc>
        <w:tc>
          <w:tcPr>
            <w:tcW w:type="dxa" w:w="12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 / d / đ</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Kết luận: mức tổn hại cao nhất tương ứng </w:t>
      </w:r>
      <w:r>
        <w:rPr>
          <w:rFonts w:ascii="Times New Roman" w:cs="Times New Roman" w:eastAsia="Times New Roman" w:hAnsi="Times New Roman"/>
          <w:b/>
          <w:bCs/>
          <w:i w:val="false"/>
          <w:iCs w:val="false"/>
          <w:sz w:val="26"/>
          <w:szCs w:val="26"/>
        </w:rPr>
        <w:t xml:space="preserve">cấp </w:t>
      </w:r>
      <w:r>
        <w:rPr>
          <w:rFonts w:ascii="Times New Roman" w:cs="Times New Roman" w:eastAsia="Times New Roman" w:hAnsi="Times New Roman"/>
          <w:b/>
          <w:bCs/>
          <w:i w:val="false"/>
          <w:iCs w:val="false"/>
          <w:sz w:val="26"/>
          <w:szCs w:val="26"/>
          <w:highlight w:val="yellow"/>
        </w:rPr>
        <w:t xml:space="preserve">3</w:t>
      </w:r>
      <w:r>
        <w:rPr>
          <w:rFonts w:ascii="Times New Roman" w:cs="Times New Roman" w:eastAsia="Times New Roman" w:hAnsi="Times New Roman"/>
          <w:b w:val="false"/>
          <w:bCs w:val="false"/>
          <w:i w:val="false"/>
          <w:iCs w:val="false"/>
          <w:sz w:val="26"/>
          <w:szCs w:val="26"/>
        </w:rPr>
        <w:t xml:space="preserve"> theo Luật 116 Đ8.1; </w:t>
      </w:r>
      <w:r>
        <w:rPr>
          <w:rFonts w:ascii="Times New Roman" w:cs="Times New Roman" w:eastAsia="Times New Roman" w:hAnsi="Times New Roman"/>
          <w:b w:val="false"/>
          <w:bCs w:val="false"/>
          <w:i w:val="false"/>
          <w:iCs w:val="false"/>
          <w:sz w:val="26"/>
          <w:szCs w:val="26"/>
          <w:highlight w:val="yellow"/>
        </w:rPr>
        <w:t xml:space="preserve">nhất quán</w:t>
      </w:r>
      <w:r>
        <w:rPr>
          <w:rFonts w:ascii="Times New Roman" w:cs="Times New Roman" w:eastAsia="Times New Roman" w:hAnsi="Times New Roman"/>
          <w:b w:val="false"/>
          <w:bCs w:val="false"/>
          <w:i w:val="false"/>
          <w:iCs w:val="false"/>
          <w:sz w:val="26"/>
          <w:szCs w:val="26"/>
        </w:rPr>
        <w:t xml:space="preserve"> với cấp theo tiêu chí NĐ 331. Nếu cao hơn → đề xuất cấp cao hơn (NĐ 331 Đ10.5).</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Bảng tham chiếu Luật 116 Đ8.1 (rút gọn):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715"/>
        <w:gridCol w:w="8310"/>
      </w:tblGrid>
      <w:tr>
        <w:trPr>
          <w:cantSplit/>
          <w:tblHeader/>
        </w:trPr>
        <w:tc>
          <w:tcPr>
            <w:tcW w:type="dxa" w:w="7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Cấp</w:t>
            </w:r>
          </w:p>
        </w:tc>
        <w:tc>
          <w:tcPr>
            <w:tcW w:type="dxa" w:w="831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Mức tổn hại</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w:t>
            </w:r>
          </w:p>
        </w:tc>
        <w:tc>
          <w:tcPr>
            <w:tcW w:type="dxa" w:w="83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Tổn hại quyền, lợi ích hợp pháp của tổ chức, cá nhân</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w:t>
            </w:r>
          </w:p>
        </w:tc>
        <w:tc>
          <w:tcPr>
            <w:tcW w:type="dxa" w:w="83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Tổn hại nghiêm trọng quyền, lợi ích hợp pháp của tổ chức, cá nhân hoặc tổn hại lợi ích công cộng</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w:t>
            </w:r>
          </w:p>
        </w:tc>
        <w:tc>
          <w:tcPr>
            <w:tcW w:type="dxa" w:w="83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Tổn hại đặc biệt nghiêm trọng quyền, lợi ích hợp pháp của tổ chức, cá nhân; tổn hại nghiêm trọng lợi ích công cộng; tổn hại hoặc tổn hại nghiêm trọng TT-ATXH hoặc tổn hại ANQG</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4</w:t>
            </w:r>
          </w:p>
        </w:tc>
        <w:tc>
          <w:tcPr>
            <w:tcW w:type="dxa" w:w="83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Tổn hại đặc biệt nghiêm trọng lợi ích công cộng, TT-ATXH hoặc tổn hại nghiêm trọng ANQG</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5</w:t>
            </w:r>
          </w:p>
        </w:tc>
        <w:tc>
          <w:tcPr>
            <w:tcW w:type="dxa" w:w="83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Tổn hại đặc biệt nghiêm trọng ANQG</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e) Vùng xám và lựa chọn áp dụng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Cách đếm chủ thể DLCN: chọn đếm tích lũy, loại trùng theo số CCCD/email; kết quả vượt ngưỡng 100.000 nên xếp cấp độ 3.</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(nêu vấn đề, các cách hiểu, lý do chọn; tham chiếu tieu-chi-cap-do.md mục 6).</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3. Nhận diện sơ bộ nguy cơ, rủi ro an ninh mạng (Đ22.4.c)</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Liệt kê các nguy cơ, rủi ro chính và mức độ ảnh hưởng dự kiến, làm căn cứ hỗ trợ đề xuất cấp độ. Chi tiết tại bao-cao-danh-gia-rui-ro.md.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587"/>
        <w:gridCol w:w="3760"/>
        <w:gridCol w:w="715"/>
        <w:gridCol w:w="844"/>
        <w:gridCol w:w="844"/>
        <w:gridCol w:w="844"/>
        <w:gridCol w:w="587"/>
        <w:gridCol w:w="844"/>
      </w:tblGrid>
      <w:tr>
        <w:trPr>
          <w:cantSplit/>
          <w:tblHeader/>
        </w:trPr>
        <w:tc>
          <w:tcPr>
            <w:tcW w:type="dxa" w:w="58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STT</w:t>
            </w:r>
          </w:p>
        </w:tc>
        <w:tc>
          <w:tcPr>
            <w:tcW w:type="dxa" w:w="376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Nguy cơ / mối đe dọa</w:t>
            </w:r>
          </w:p>
        </w:tc>
        <w:tc>
          <w:tcPr>
            <w:tcW w:type="dxa" w:w="7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Điểm yếu, lỗ hổng liên quan</w:t>
            </w:r>
          </w:p>
        </w:tc>
        <w:tc>
          <w:tcPr>
            <w:tcW w:type="dxa" w:w="84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Tài sản bị ảnh hưởng</w:t>
            </w:r>
          </w:p>
        </w:tc>
        <w:tc>
          <w:tcPr>
            <w:tcW w:type="dxa" w:w="84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Khả năng xảy ra (1–5)</w:t>
            </w:r>
          </w:p>
        </w:tc>
        <w:tc>
          <w:tcPr>
            <w:tcW w:type="dxa" w:w="84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Mức ảnh hưởng dự kiến (1–5)</w:t>
            </w:r>
          </w:p>
        </w:tc>
        <w:tc>
          <w:tcPr>
            <w:tcW w:type="dxa" w:w="58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Mức rủi ro</w:t>
            </w:r>
          </w:p>
        </w:tc>
        <w:tc>
          <w:tcPr>
            <w:tcW w:type="dxa" w:w="84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Ảnh hưởng tới đề xuất cấp độ</w:t>
            </w:r>
          </w:p>
        </w:tc>
      </w:tr>
      <w:tr>
        <w:trPr>
          <w:cantSplit/>
          <w:tblHeader w:val="false"/>
        </w:trPr>
        <w:tc>
          <w:tcPr>
            <w:tcW w:type="dxa" w:w="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w:t>
            </w:r>
          </w:p>
        </w:tc>
        <w:tc>
          <w:tcPr>
            <w:tcW w:type="dxa" w:w="37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iCs/>
                <w:sz w:val="18"/>
                <w:szCs w:val="18"/>
              </w:rPr>
              <w:t xml:space="preserve">Ví dụ: tấn công chiếm quyền tài khoản</w:t>
            </w:r>
          </w:p>
        </w:tc>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2</w:t>
            </w:r>
          </w:p>
        </w:tc>
        <w:tc>
          <w:tcPr>
            <w:tcW w:type="dxa" w:w="37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iCs/>
                <w:sz w:val="18"/>
                <w:szCs w:val="18"/>
              </w:rPr>
              <w:t xml:space="preserve">Ví dụ: mã độc tống tiền mã hóa CSDL</w:t>
            </w:r>
          </w:p>
        </w:tc>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3</w:t>
            </w:r>
          </w:p>
        </w:tc>
        <w:tc>
          <w:tcPr>
            <w:tcW w:type="dxa" w:w="37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iCs/>
                <w:sz w:val="18"/>
                <w:szCs w:val="18"/>
              </w:rPr>
              <w:t xml:space="preserve">Ví dụ: lộ lọt dữ liệu qua API</w:t>
            </w:r>
          </w:p>
        </w:tc>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4</w:t>
            </w:r>
          </w:p>
        </w:tc>
        <w:tc>
          <w:tcPr>
            <w:tcW w:type="dxa" w:w="37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iCs/>
                <w:sz w:val="18"/>
                <w:szCs w:val="18"/>
              </w:rPr>
              <w:t xml:space="preserve">Ví dụ: gián đoạn nhà cung cấp cloud/TTDL</w:t>
            </w:r>
          </w:p>
        </w:tc>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bl>
    <w:p>
      <w:pPr>
        <w:spacing w:after="60" w:before="0" w:line="276" w:lineRule="auto"/>
        <w:jc w:val="both"/>
      </w:pPr>
    </w:p>
    <w:p>
      <w:r>
        <w:br w:type="page"/>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4. Bổ sung bắt buộc cho hệ thống đề xuất cấp độ 4 hoặc 5 (Đ22.5)</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Với cấp 4–5, thuyết minh phải bao gồm </w:t>
      </w:r>
      <w:r>
        <w:rPr>
          <w:rFonts w:ascii="Times New Roman" w:cs="Times New Roman" w:eastAsia="Times New Roman" w:hAnsi="Times New Roman"/>
          <w:b/>
          <w:bCs/>
          <w:i w:val="false"/>
          <w:iCs w:val="false"/>
          <w:sz w:val="26"/>
          <w:szCs w:val="26"/>
        </w:rPr>
        <w:t xml:space="preserve">báo cáo đánh giá rủi ro ANM ở mức chi tiết hơn</w:t>
      </w:r>
      <w:r>
        <w:rPr>
          <w:rFonts w:ascii="Times New Roman" w:cs="Times New Roman" w:eastAsia="Times New Roman" w:hAnsi="Times New Roman"/>
          <w:b w:val="false"/>
          <w:bCs w:val="false"/>
          <w:i w:val="false"/>
          <w:iCs w:val="false"/>
          <w:sz w:val="26"/>
          <w:szCs w:val="26"/>
        </w:rPr>
        <w:t xml:space="preserve"> và làm rõ thêm các nội dung dưới đây (Đ22.5).</w:t>
      </w:r>
    </w:p>
    <w:p>
      <w:pPr>
        <w:pBdr>
          <w:left w:val="single" w:color="999999" w:sz="12" w:space="8"/>
        </w:pBdr>
        <w:spacing w:after="120" w:before="0" w:line="276" w:lineRule="auto"/>
        <w:ind w:left="283"/>
        <w:jc w:val="both"/>
      </w:pPr>
      <w:r>
        <w:rPr>
          <w:rFonts w:ascii="Times New Roman" w:cs="Times New Roman" w:eastAsia="Times New Roman" w:hAnsi="Times New Roman"/>
          <w:b/>
          <w:bCs/>
          <w:i/>
          <w:iCs/>
          <w:sz w:val="24"/>
          <w:szCs w:val="24"/>
        </w:rPr>
        <w:t xml:space="preserve">[CẦN ĐỐI CHIẾU]</w:t>
      </w:r>
      <w:r>
        <w:rPr>
          <w:rFonts w:ascii="Times New Roman" w:cs="Times New Roman" w:eastAsia="Times New Roman" w:hAnsi="Times New Roman"/>
          <w:b w:val="false"/>
          <w:bCs w:val="false"/>
          <w:i/>
          <w:iCs/>
          <w:sz w:val="24"/>
          <w:szCs w:val="24"/>
        </w:rPr>
        <w:t xml:space="preserve"> Đ22.5 ghi "ngoài các nội dung được quy định tại khoản 3 Điều này" (khoản 3 là thuyết minh tổng quan); về logic có thể là khoản 4. Để an toàn, trình bày đủ nội dung khoản 3, khoản 4 và khoản 5.</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4.1. Hệ thống thông tin liên quan, kết nối, có ảnh hưởng quan trọng (Đ22.5.a)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4072"/>
        <w:gridCol w:w="1128"/>
        <w:gridCol w:w="1410"/>
        <w:gridCol w:w="1128"/>
        <w:gridCol w:w="1287"/>
      </w:tblGrid>
      <w:tr>
        <w:trPr>
          <w:cantSplit/>
          <w:tblHeader/>
        </w:trPr>
        <w:tc>
          <w:tcPr>
            <w:tcW w:type="dxa" w:w="40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Hệ thống</w:t>
            </w:r>
          </w:p>
        </w:tc>
        <w:tc>
          <w:tcPr>
            <w:tcW w:type="dxa" w:w="112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Chủ quản</w:t>
            </w:r>
          </w:p>
        </w:tc>
        <w:tc>
          <w:tcPr>
            <w:tcW w:type="dxa" w:w="141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Quan hệ (kết nối / phụ thuộc / ảnh hưởng)</w:t>
            </w:r>
          </w:p>
        </w:tc>
        <w:tc>
          <w:tcPr>
            <w:tcW w:type="dxa" w:w="112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Dữ liệu trao đổi</w:t>
            </w:r>
          </w:p>
        </w:tc>
        <w:tc>
          <w:tcPr>
            <w:tcW w:type="dxa" w:w="128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Hệ quả khi hệ thống này gặp sự cố</w:t>
            </w:r>
          </w:p>
        </w:tc>
      </w:tr>
      <w:tr>
        <w:trPr>
          <w:cantSplit/>
          <w:tblHeader w:val="false"/>
        </w:trPr>
        <w:tc>
          <w:tcPr>
            <w:tcW w:type="dxa" w:w="40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Cổng thông tin nội bộ (Intranet)</w:t>
            </w:r>
          </w:p>
        </w:tc>
        <w:tc>
          <w:tcPr>
            <w:tcW w:type="dxa" w:w="11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4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1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2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4.2. Nguy cơ tấn công mạng và mức độ ảnh hưởng (Đ22.5.b)</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4919"/>
        <w:gridCol w:w="908"/>
        <w:gridCol w:w="1222"/>
        <w:gridCol w:w="1065"/>
        <w:gridCol w:w="911"/>
      </w:tblGrid>
      <w:tr>
        <w:trPr>
          <w:cantSplit/>
          <w:tblHeader/>
        </w:trPr>
        <w:tc>
          <w:tcPr>
            <w:tcW w:type="dxa" w:w="491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Kịch bản tấn công</w:t>
            </w:r>
          </w:p>
        </w:tc>
        <w:tc>
          <w:tcPr>
            <w:tcW w:type="dxa" w:w="90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Tác nhân đe dọa</w:t>
            </w:r>
          </w:p>
        </w:tc>
        <w:tc>
          <w:tcPr>
            <w:tcW w:type="dxa" w:w="122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Vector tấn công</w:t>
            </w:r>
          </w:p>
        </w:tc>
        <w:tc>
          <w:tcPr>
            <w:tcW w:type="dxa" w:w="106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Mức độ ảnh hưởng tới hệ thống</w:t>
            </w:r>
          </w:p>
        </w:tc>
        <w:tc>
          <w:tcPr>
            <w:tcW w:type="dxa" w:w="91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Biện pháp hiện có</w:t>
            </w:r>
          </w:p>
        </w:tc>
      </w:tr>
      <w:tr>
        <w:trPr>
          <w:cantSplit/>
          <w:tblHeader w:val="false"/>
        </w:trPr>
        <w:tc>
          <w:tcPr>
            <w:tcW w:type="dxa" w:w="49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Mã độc tống tiền mã hóa CSDL khách hàng</w:t>
            </w:r>
          </w:p>
        </w:tc>
        <w:tc>
          <w:tcPr>
            <w:tcW w:type="dxa" w:w="9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2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0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4.3. Phạm vi, mức độ ảnh hưởng tới lợi ích công cộng, TT-ATXH, ANQG (Đ22.5.c)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4321"/>
        <w:gridCol w:w="1567"/>
        <w:gridCol w:w="1567"/>
        <w:gridCol w:w="1570"/>
      </w:tblGrid>
      <w:tr>
        <w:trPr>
          <w:cantSplit/>
          <w:tblHeader/>
        </w:trPr>
        <w:tc>
          <w:tcPr>
            <w:tcW w:type="dxa" w:w="432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Khía cạnh</w:t>
            </w:r>
          </w:p>
        </w:tc>
        <w:tc>
          <w:tcPr>
            <w:tcW w:type="dxa" w:w="156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Phạm vi ảnh hưởng (địa bàn, số người, lĩnh vực)</w:t>
            </w:r>
          </w:p>
        </w:tc>
        <w:tc>
          <w:tcPr>
            <w:tcW w:type="dxa" w:w="156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Mức độ</w:t>
            </w:r>
          </w:p>
        </w:tc>
        <w:tc>
          <w:tcPr>
            <w:tcW w:type="dxa" w:w="157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Luận giải</w:t>
            </w:r>
          </w:p>
        </w:tc>
      </w:tr>
      <w:tr>
        <w:trPr>
          <w:cantSplit/>
          <w:tblHeader w:val="false"/>
        </w:trPr>
        <w:tc>
          <w:tcPr>
            <w:tcW w:type="dxa" w:w="43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Lợi ích công cộng</w:t>
            </w:r>
          </w:p>
        </w:tc>
        <w:tc>
          <w:tcPr>
            <w:tcW w:type="dxa" w:w="15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5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5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43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Trật tự, an toàn xã hội</w:t>
            </w:r>
          </w:p>
        </w:tc>
        <w:tc>
          <w:tcPr>
            <w:tcW w:type="dxa" w:w="15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5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5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43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An ninh quốc gia</w:t>
            </w:r>
          </w:p>
        </w:tc>
        <w:tc>
          <w:tcPr>
            <w:tcW w:type="dxa" w:w="15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5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5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4.4. Yêu cầu vận hành 24/7 (Đ22.5.d — áp dụng với HTTT theo Đ14.2)</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519"/>
        <w:gridCol w:w="5506"/>
      </w:tblGrid>
      <w:tr>
        <w:trPr>
          <w:cantSplit/>
          <w:tblHeader/>
        </w:trPr>
        <w:tc>
          <w:tcPr>
            <w:tcW w:type="dxa" w:w="351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Nội dung</w:t>
            </w:r>
          </w:p>
        </w:tc>
        <w:tc>
          <w:tcPr>
            <w:tcW w:type="dxa" w:w="550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Thuyết minh</w:t>
            </w:r>
          </w:p>
        </w:tc>
      </w:tr>
      <w:tr>
        <w:trPr>
          <w:cantSplit/>
          <w:tblHeader w:val="false"/>
        </w:trPr>
        <w:tc>
          <w:tcPr>
            <w:tcW w:type="dxa" w:w="35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Lý do phải vận hành 24/7</w:t>
            </w:r>
          </w:p>
        </w:tc>
        <w:tc>
          <w:tcPr>
            <w:tcW w:type="dxa" w:w="55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Cung cấp dịch vụ trực tuyến cho khách hàng qua Internet, hoạt động 24/7</w:t>
            </w:r>
          </w:p>
        </w:tc>
      </w:tr>
      <w:tr>
        <w:trPr>
          <w:cantSplit/>
          <w:tblHeader w:val="false"/>
        </w:trPr>
        <w:tc>
          <w:tcPr>
            <w:tcW w:type="dxa" w:w="35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Hệ quả khi ngừng vận hành không có kế hoạch</w:t>
            </w:r>
          </w:p>
        </w:tc>
        <w:tc>
          <w:tcPr>
            <w:tcW w:type="dxa" w:w="55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Khách hàng không tra cứu, gửi yêu cầu được; ảnh hưởng uy tín Công ty</w:t>
            </w:r>
          </w:p>
        </w:tc>
      </w:tr>
      <w:tr>
        <w:trPr>
          <w:cantSplit/>
          <w:tblHeader w:val="false"/>
        </w:trPr>
        <w:tc>
          <w:tcPr>
            <w:tcW w:type="dxa" w:w="35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Mục tiêu RTO / RPO</w:t>
            </w:r>
          </w:p>
        </w:tc>
        <w:tc>
          <w:tcPr>
            <w:tcW w:type="dxa" w:w="55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4 giờ</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val="false"/>
                <w:iCs w:val="false"/>
                <w:sz w:val="24"/>
                <w:szCs w:val="24"/>
                <w:highlight w:val="yellow"/>
              </w:rPr>
              <w:t xml:space="preserve">1 giờ</w:t>
            </w:r>
          </w:p>
        </w:tc>
      </w:tr>
      <w:tr>
        <w:trPr>
          <w:cantSplit/>
          <w:tblHeader w:val="false"/>
        </w:trPr>
        <w:tc>
          <w:tcPr>
            <w:tcW w:type="dxa" w:w="35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Phương án dự phòng, chuyển đổi</w:t>
            </w:r>
          </w:p>
        </w:tc>
        <w:tc>
          <w:tcPr>
            <w:tcW w:type="dxa" w:w="55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Sao lưu hằng ngày; máy chủ dự phòng tại TTDL thuê</w:t>
            </w:r>
          </w:p>
        </w:tc>
      </w:tr>
    </w:tbl>
    <w:p>
      <w:pPr>
        <w:spacing w:after="60" w:before="0" w:line="276" w:lineRule="auto"/>
        <w:jc w:val="both"/>
      </w:pPr>
    </w:p>
    <w:p>
      <w:r>
        <w:br w:type="page"/>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5. Kết luận đề xuất</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Phòng Vận hành hệ thống</w:t>
      </w:r>
      <w:r>
        <w:rPr>
          <w:rFonts w:ascii="Times New Roman" w:cs="Times New Roman" w:eastAsia="Times New Roman" w:hAnsi="Times New Roman"/>
          <w:b w:val="false"/>
          <w:bCs w:val="false"/>
          <w:i w:val="false"/>
          <w:iCs w:val="false"/>
          <w:sz w:val="26"/>
          <w:szCs w:val="26"/>
        </w:rPr>
        <w:t xml:space="preserve"> đề xuất hệ thống </w:t>
      </w:r>
      <w:r>
        <w:rPr>
          <w:rFonts w:ascii="Times New Roman" w:cs="Times New Roman" w:eastAsia="Times New Roman" w:hAnsi="Times New Roman"/>
          <w:b w:val="false"/>
          <w:bCs w:val="false"/>
          <w:i w:val="false"/>
          <w:iCs w:val="false"/>
          <w:sz w:val="26"/>
          <w:szCs w:val="26"/>
          <w:highlight w:val="yellow"/>
        </w:rPr>
        <w:t xml:space="preserve">Hệ thống quản lý khách hàng trực tuyến (CRM Online)</w:t>
      </w:r>
      <w:r>
        <w:rPr>
          <w:rFonts w:ascii="Times New Roman" w:cs="Times New Roman" w:eastAsia="Times New Roman" w:hAnsi="Times New Roman"/>
          <w:b w:val="false"/>
          <w:bCs w:val="false"/>
          <w:i w:val="false"/>
          <w:iCs w:val="false"/>
          <w:sz w:val="26"/>
          <w:szCs w:val="26"/>
        </w:rPr>
        <w:t xml:space="preserve"> được xác định </w:t>
      </w:r>
      <w:r>
        <w:rPr>
          <w:rFonts w:ascii="Times New Roman" w:cs="Times New Roman" w:eastAsia="Times New Roman" w:hAnsi="Times New Roman"/>
          <w:b/>
          <w:bCs/>
          <w:i w:val="false"/>
          <w:iCs w:val="false"/>
          <w:sz w:val="26"/>
          <w:szCs w:val="26"/>
        </w:rPr>
        <w:t xml:space="preserve">cấp độ </w:t>
      </w:r>
      <w:r>
        <w:rPr>
          <w:rFonts w:ascii="Times New Roman" w:cs="Times New Roman" w:eastAsia="Times New Roman" w:hAnsi="Times New Roman"/>
          <w:b/>
          <w:bCs/>
          <w:i w:val="false"/>
          <w:iCs w:val="false"/>
          <w:sz w:val="26"/>
          <w:szCs w:val="26"/>
          <w:highlight w:val="yellow"/>
        </w:rPr>
        <w:t xml:space="preserve">3</w:t>
      </w:r>
      <w:r>
        <w:rPr>
          <w:rFonts w:ascii="Times New Roman" w:cs="Times New Roman" w:eastAsia="Times New Roman" w:hAnsi="Times New Roman"/>
          <w:b w:val="false"/>
          <w:bCs w:val="false"/>
          <w:i w:val="false"/>
          <w:iCs w:val="false"/>
          <w:sz w:val="26"/>
          <w:szCs w:val="26"/>
        </w:rPr>
        <w:t xml:space="preserve">, căn cứ </w:t>
      </w:r>
      <w:r>
        <w:rPr>
          <w:rFonts w:ascii="Times New Roman" w:cs="Times New Roman" w:eastAsia="Times New Roman" w:hAnsi="Times New Roman"/>
          <w:b w:val="false"/>
          <w:bCs w:val="false"/>
          <w:i w:val="false"/>
          <w:iCs w:val="false"/>
          <w:sz w:val="26"/>
          <w:szCs w:val="26"/>
          <w:highlight w:val="yellow"/>
        </w:rPr>
        <w:t xml:space="preserve">điểm c khoản 2 Điều 13 và khoản 2 Điều 8 Nghị định số 331/2026/NĐ-CP (xử lý DLCN cơ bản của khoảng 150.000 chủ thể)</w:t>
      </w:r>
      <w:r>
        <w:rPr>
          <w:rFonts w:ascii="Times New Roman" w:cs="Times New Roman" w:eastAsia="Times New Roman" w:hAnsi="Times New Roman"/>
          <w:b w:val="false"/>
          <w:bCs w:val="false"/>
          <w:i w:val="false"/>
          <w:iCs w:val="false"/>
          <w:sz w:val="26"/>
          <w:szCs w:val="26"/>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4069"/>
        <w:gridCol w:w="4069"/>
        <w:gridCol w:w="887"/>
      </w:tblGrid>
      <w:tr>
        <w:trPr>
          <w:cantSplit/>
          <w:tblHeader/>
        </w:trPr>
        <w:tc>
          <w:tcPr>
            <w:tcW w:type="dxa" w:w="406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Người lập</w:t>
            </w:r>
          </w:p>
        </w:tc>
        <w:tc>
          <w:tcPr>
            <w:tcW w:type="dxa" w:w="406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Đơn vị chuyên trách ANM soát xét</w:t>
            </w:r>
          </w:p>
        </w:tc>
        <w:tc>
          <w:tcPr>
            <w:tcW w:type="dxa" w:w="88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Ngày</w:t>
            </w:r>
          </w:p>
        </w:tc>
      </w:tr>
      <w:tr>
        <w:trPr>
          <w:cantSplit/>
          <w:tblHeader w:val="false"/>
        </w:trPr>
        <w:tc>
          <w:tcPr>
            <w:tcW w:type="dxa" w:w="40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Lê Minh Cường</w:t>
            </w:r>
          </w:p>
        </w:tc>
        <w:tc>
          <w:tcPr>
            <w:tcW w:type="dxa" w:w="40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Trần Thị Bình</w:t>
            </w:r>
          </w:p>
        </w:tc>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15</w:t>
            </w:r>
          </w:p>
        </w:tc>
      </w:tr>
    </w:tbl>
    <w:p>
      <w:pPr>
        <w:spacing w:after="60" w:before="0" w:line="276" w:lineRule="auto"/>
        <w:jc w:val="both"/>
      </w:pPr>
    </w:p>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Thuyết minh đề xuất cấp độ — khung</dc:title>
  <dc:creator>vn-cyber-compliance</dc:creator>
  <cp:lastModifiedBy>Un-named</cp:lastModifiedBy>
  <cp:revision>1</cp:revision>
  <dcterms:created xsi:type="dcterms:W3CDTF">2026-09-24T10:56:15.629Z</dcterms:created>
  <dcterms:modified xsi:type="dcterms:W3CDTF">2026-09-24T10:56:15.629Z</dcterms:modified>
</cp:coreProperties>
</file>

<file path=docProps/custom.xml><?xml version="1.0" encoding="utf-8"?>
<Properties xmlns="http://schemas.openxmlformats.org/officeDocument/2006/custom-properties" xmlns:vt="http://schemas.openxmlformats.org/officeDocument/2006/docPropsVTypes"/>
</file>