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CỘNG HÒA XÃ HỘI CHỦ NGHĨA VIỆT NAM</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Độc lập - Tự do - Hạnh phúc</w:t>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 SỐ </w:t>
      </w:r>
      <w:r>
        <w:rPr>
          <w:rFonts w:ascii="Times New Roman" w:cs="Times New Roman" w:eastAsia="Times New Roman" w:hAnsi="Times New Roman"/>
          <w:b/>
          <w:bCs/>
          <w:i w:val="false"/>
          <w:iCs w:val="false"/>
          <w:sz w:val="28"/>
          <w:szCs w:val="28"/>
          <w:highlight w:val="yellow"/>
        </w:rPr>
        <w:t xml:space="preserve">02</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THỎA THUẬN XỬ LÝ DỮ LIỆU CÁ NHÂN</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về </w:t>
      </w:r>
      <w:r>
        <w:rPr>
          <w:rFonts w:ascii="Times New Roman" w:cs="Times New Roman" w:eastAsia="Times New Roman" w:hAnsi="Times New Roman"/>
          <w:b w:val="false"/>
          <w:bCs w:val="false"/>
          <w:i/>
          <w:iCs/>
          <w:sz w:val="26"/>
          <w:szCs w:val="26"/>
          <w:highlight w:val="yellow"/>
        </w:rPr>
        <w:t xml:space="preserve">cung cấp, lắp đặt hệ thống kiểm soát ra vào và chấm công bằng nhận diện khuôn mặt</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356/2025/NĐ-CP ngày 31 tháng 12 năm 2025 của Chính phủ quy định chi tiết một số điều và biện pháp thi hành Luật Bảo vệ dữ liệu cá nhân;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Trí tuệ nhân tạo số 134/2025/QH15 và Nghị định số 142/2026/NĐ-CP ngày 30 tháng 4 năm 2026 của Chính phủ quy định chi tiết một số điều và biện pháp thi hành Luật Trí tuệ nhân tạo;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hai bên (sau đây gọi là "Hợp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 tháng ... năm ..., tại </w:t>
      </w:r>
      <w:r>
        <w:rPr>
          <w:rFonts w:ascii="Times New Roman" w:cs="Times New Roman" w:eastAsia="Times New Roman" w:hAnsi="Times New Roman"/>
          <w:b w:val="false"/>
          <w:bCs w:val="false"/>
          <w:i w:val="false"/>
          <w:iCs w:val="false"/>
          <w:sz w:val="26"/>
          <w:szCs w:val="26"/>
          <w:highlight w:val="yellow"/>
        </w:rPr>
        <w:t xml:space="preserve">TP. Hồ Chí Minh</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A (Bên kiểm soát dữ liệu cá nhân; bên triển khai hệ thống trí tuệ nhân tạo): </w:t>
      </w:r>
      <w:r>
        <w:rPr>
          <w:rFonts w:ascii="Times New Roman" w:cs="Times New Roman" w:eastAsia="Times New Roman" w:hAnsi="Times New Roman"/>
          <w:b/>
          <w:bCs/>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Lô A1, Khu công nghiệp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1111111111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0274 000 1234</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baovedulieu@example.vn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B (Bên xử lý dữ liệu cá nhân; nhà cung cấp hệ thống trí tuệ nhân tạo): </w:t>
      </w:r>
      <w:r>
        <w:rPr>
          <w:rFonts w:ascii="Times New Roman" w:cs="Times New Roman" w:eastAsia="Times New Roman" w:hAnsi="Times New Roman"/>
          <w:b/>
          <w:bCs/>
          <w:i w:val="false"/>
          <w:iCs w:val="false"/>
          <w:sz w:val="26"/>
          <w:szCs w:val="26"/>
          <w:highlight w:val="yellow"/>
        </w:rPr>
        <w:t xml:space="preserve">Công ty cổ phần Giải pháp Công nghệ TURBO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Mã số thuế: </w:t>
      </w:r>
      <w:r>
        <w:rPr>
          <w:rFonts w:ascii="Times New Roman" w:cs="Times New Roman" w:eastAsia="Times New Roman" w:hAnsi="Times New Roman"/>
          <w:b w:val="false"/>
          <w:bCs w:val="false"/>
          <w:i w:val="false"/>
          <w:iCs w:val="false"/>
          <w:sz w:val="26"/>
          <w:szCs w:val="26"/>
          <w:highlight w:val="yellow"/>
        </w:rPr>
        <w:t xml:space="preserve">0000000000 (mô phỏng)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Chức vụ: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Đầu mối bảo vệ dữ liệu cá nhân: </w:t>
      </w:r>
      <w:r>
        <w:rPr>
          <w:rFonts w:ascii="Times New Roman" w:cs="Times New Roman" w:eastAsia="Times New Roman" w:hAnsi="Times New Roman"/>
          <w:b w:val="false"/>
          <w:bCs w:val="false"/>
          <w:i w:val="false"/>
          <w:iCs w:val="false"/>
          <w:sz w:val="26"/>
          <w:szCs w:val="26"/>
          <w:highlight w:val="yellow"/>
        </w:rPr>
        <w:t xml:space="preserve">Phạm Thu Dung, Chuyên viên bảo vệ DLCN</w:t>
      </w:r>
      <w:r>
        <w:rPr>
          <w:rFonts w:ascii="Times New Roman" w:cs="Times New Roman" w:eastAsia="Times New Roman" w:hAnsi="Times New Roman"/>
          <w:b w:val="false"/>
          <w:bCs w:val="false"/>
          <w:i w:val="false"/>
          <w:iCs w:val="false"/>
          <w:sz w:val="26"/>
          <w:szCs w:val="26"/>
        </w:rPr>
        <w:t xml:space="preserve"> — Điện thoại: </w:t>
      </w:r>
      <w:r>
        <w:rPr>
          <w:rFonts w:ascii="Times New Roman" w:cs="Times New Roman" w:eastAsia="Times New Roman" w:hAnsi="Times New Roman"/>
          <w:b w:val="false"/>
          <w:bCs w:val="false"/>
          <w:i w:val="false"/>
          <w:iCs w:val="false"/>
          <w:sz w:val="26"/>
          <w:szCs w:val="26"/>
          <w:highlight w:val="yellow"/>
        </w:rPr>
        <w:t xml:space="preserve">028 1234 5679</w:t>
      </w:r>
      <w:r>
        <w:rPr>
          <w:rFonts w:ascii="Times New Roman" w:cs="Times New Roman" w:eastAsia="Times New Roman" w:hAnsi="Times New Roman"/>
          <w:b w:val="false"/>
          <w:bCs w:val="false"/>
          <w:i w:val="false"/>
          <w:iCs w:val="false"/>
          <w:sz w:val="26"/>
          <w:szCs w:val="26"/>
        </w:rPr>
        <w:t xml:space="preserve"> — Email: </w:t>
      </w:r>
      <w:r>
        <w:rPr>
          <w:rFonts w:ascii="Times New Roman" w:cs="Times New Roman" w:eastAsia="Times New Roman" w:hAnsi="Times New Roman"/>
          <w:b w:val="false"/>
          <w:bCs w:val="false"/>
          <w:i w:val="false"/>
          <w:iCs w:val="false"/>
          <w:sz w:val="26"/>
          <w:szCs w:val="26"/>
          <w:highlight w:val="yellow"/>
        </w:rPr>
        <w:t xml:space="preserve">dpo@example.vn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bên thống nhất ký Phụ lục này với các nội dung sau:</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 Giải thích từ ngữ và vai trò của các bên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Trong Phụ lục này, các từ ngữ sau được hiểu như sau: a) </w:t>
      </w:r>
      <w:r>
        <w:rPr>
          <w:rFonts w:ascii="Times New Roman" w:cs="Times New Roman" w:eastAsia="Times New Roman" w:hAnsi="Times New Roman"/>
          <w:b/>
          <w:bCs/>
          <w:i w:val="false"/>
          <w:iCs w:val="false"/>
          <w:sz w:val="26"/>
          <w:szCs w:val="26"/>
        </w:rPr>
        <w:t xml:space="preserve">Hệ thống</w:t>
      </w:r>
      <w:r>
        <w:rPr>
          <w:rFonts w:ascii="Times New Roman" w:cs="Times New Roman" w:eastAsia="Times New Roman" w:hAnsi="Times New Roman"/>
          <w:b w:val="false"/>
          <w:bCs w:val="false"/>
          <w:i w:val="false"/>
          <w:iCs w:val="false"/>
          <w:sz w:val="26"/>
          <w:szCs w:val="26"/>
        </w:rPr>
        <w:t xml:space="preserve"> là giải pháp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phiên bản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gồm camera, thiết bị biên, phần mềm quản lý video và các mô-đun nhận diện do Bên B cung cấp theo Hợp đồng{{kể cả nền tảng cloud do Bên B vận hành, nếu có}}; b)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là dữ liệu cá nhân do Bên A thu thập qua Hệ thống và dữ liệu cá nhân Bên A cung cấp cho Bên B để thực hiện Hợp đồng, được mô tả tại Phụ lục 1; c) </w:t>
      </w:r>
      <w:r>
        <w:rPr>
          <w:rFonts w:ascii="Times New Roman" w:cs="Times New Roman" w:eastAsia="Times New Roman" w:hAnsi="Times New Roman"/>
          <w:b/>
          <w:bCs/>
          <w:i w:val="false"/>
          <w:iCs w:val="false"/>
          <w:sz w:val="26"/>
          <w:szCs w:val="26"/>
        </w:rPr>
        <w:t xml:space="preserve">Dữ liệu sinh trắc học</w:t>
      </w:r>
      <w:r>
        <w:rPr>
          <w:rFonts w:ascii="Times New Roman" w:cs="Times New Roman" w:eastAsia="Times New Roman" w:hAnsi="Times New Roman"/>
          <w:b w:val="false"/>
          <w:bCs w:val="false"/>
          <w:i w:val="false"/>
          <w:iCs w:val="false"/>
          <w:sz w:val="26"/>
          <w:szCs w:val="26"/>
        </w:rPr>
        <w:t xml:space="preserve"> là ảnh khuôn mặt dùng để đăng ký và đặc trưng khuôn mặt (template, vector đặc trưng) được trích xuất để xác định một người cụ thể, thuộc dữ liệu cá nhân nhạy cảm theo khoản 2 Điều 31 Luật Bảo vệ dữ liệu cá nhân và điểm đ khoản 1 Điều 4 Nghị định số 356/2025/NĐ-CP; d) </w:t>
      </w:r>
      <w:r>
        <w:rPr>
          <w:rFonts w:ascii="Times New Roman" w:cs="Times New Roman" w:eastAsia="Times New Roman" w:hAnsi="Times New Roman"/>
          <w:b/>
          <w:bCs/>
          <w:i w:val="false"/>
          <w:iCs w:val="false"/>
          <w:sz w:val="26"/>
          <w:szCs w:val="26"/>
        </w:rPr>
        <w:t xml:space="preserve">Sự cố dữ liệu</w:t>
      </w:r>
      <w:r>
        <w:rPr>
          <w:rFonts w:ascii="Times New Roman" w:cs="Times New Roman" w:eastAsia="Times New Roman" w:hAnsi="Times New Roman"/>
          <w:b w:val="false"/>
          <w:bCs w:val="false"/>
          <w:i w:val="false"/>
          <w:iCs w:val="false"/>
          <w:sz w:val="26"/>
          <w:szCs w:val="26"/>
        </w:rPr>
        <w:t xml:space="preserve"> là việc Dữ liệu bị truy cập, thu thập, sao chép, tiết lộ, thay đổi, xóa, mất trái phép, hoặc bị xử lý sai mục đích, sai chỉ dẫn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Đối với Dữ liệu, Bên A là bên kiểm soát dữ liệu cá nhân; Bên B là bên xử lý dữ liệu cá nhân, chỉ xử lý theo yêu cầu của Bên A thông qua Hợp đồng và Phụ lục này (khoản 7, khoản 8 Điều 2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Đối với thông tin của người đại diện, đầu mối liên hệ, tài khoản quản trị của Bên A mà Bên B dùng để giao kết, thực hiện Hợp đồng, mỗi bên là bên kiểm soát độc lập và tự chịu trách nhiệm theo chính sách bảo vệ dữ liệu cá nhân của mình.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Đối với Hệ thống, Bên B là </w:t>
      </w:r>
      <w:r>
        <w:rPr>
          <w:rFonts w:ascii="Times New Roman" w:cs="Times New Roman" w:eastAsia="Times New Roman" w:hAnsi="Times New Roman"/>
          <w:b/>
          <w:bCs/>
          <w:i w:val="false"/>
          <w:iCs w:val="false"/>
          <w:sz w:val="26"/>
          <w:szCs w:val="26"/>
        </w:rPr>
        <w:t xml:space="preserve">nhà cung cấp</w:t>
      </w:r>
      <w:r>
        <w:rPr>
          <w:rFonts w:ascii="Times New Roman" w:cs="Times New Roman" w:eastAsia="Times New Roman" w:hAnsi="Times New Roman"/>
          <w:b w:val="false"/>
          <w:bCs w:val="false"/>
          <w:i w:val="false"/>
          <w:iCs w:val="false"/>
          <w:sz w:val="26"/>
          <w:szCs w:val="26"/>
        </w:rPr>
        <w:t xml:space="preserve"> (và là nhà phát triển đối với các mô hình do Bên B huấn luyện, tinh chỉnh); Bên A là </w:t>
      </w:r>
      <w:r>
        <w:rPr>
          <w:rFonts w:ascii="Times New Roman" w:cs="Times New Roman" w:eastAsia="Times New Roman" w:hAnsi="Times New Roman"/>
          <w:b/>
          <w:bCs/>
          <w:i w:val="false"/>
          <w:iCs w:val="false"/>
          <w:sz w:val="26"/>
          <w:szCs w:val="26"/>
        </w:rPr>
        <w:t xml:space="preserve">bên triển khai</w:t>
      </w:r>
      <w:r>
        <w:rPr>
          <w:rFonts w:ascii="Times New Roman" w:cs="Times New Roman" w:eastAsia="Times New Roman" w:hAnsi="Times New Roman"/>
          <w:b w:val="false"/>
          <w:bCs w:val="false"/>
          <w:i w:val="false"/>
          <w:iCs w:val="false"/>
          <w:sz w:val="26"/>
          <w:szCs w:val="26"/>
        </w:rPr>
        <w:t xml:space="preserve"> theo khoản 3, khoản 4, khoản 5 Điều 3 Luật Trí tuệ nhân tạo số 134/2025/QH15. Kết quả phân loại rủi ro của Hệ thống do Bên B xác định tại tài liệu Phân loại rủi ro hệ thống AI phiên bản </w:t>
      </w:r>
      <w:r>
        <w:rPr>
          <w:rFonts w:ascii="Times New Roman" w:cs="Times New Roman" w:eastAsia="Times New Roman" w:hAnsi="Times New Roman"/>
          <w:b w:val="false"/>
          <w:bCs w:val="false"/>
          <w:i w:val="false"/>
          <w:iCs w:val="false"/>
          <w:sz w:val="26"/>
          <w:szCs w:val="26"/>
          <w:highlight w:val="yellow"/>
        </w:rPr>
        <w:t xml:space="preserve">B2 v1.1</w:t>
      </w:r>
      <w:r>
        <w:rPr>
          <w:rFonts w:ascii="Times New Roman" w:cs="Times New Roman" w:eastAsia="Times New Roman" w:hAnsi="Times New Roman"/>
          <w:b w:val="false"/>
          <w:bCs w:val="false"/>
          <w:i w:val="false"/>
          <w:iCs w:val="false"/>
          <w:sz w:val="26"/>
          <w:szCs w:val="26"/>
        </w:rPr>
        <w:t xml:space="preserve">.</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2. Phạm vi, mục đích và thời hạn xử lý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chỉ xử lý Dữ liệu trong phạm vi các hoạt động được liệt kê tại Phụ lục 1, gồm: {{lắp đặt, cấu hình; đăng ký khuôn mặt theo danh sách Bên A cung cấp; bảo hành, hỗ trợ kỹ thuật tại chỗ và từ xa; lưu trữ, vận hành, sao lưu trên nền tảng cloud; trực giám sát}}.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Mục đích xử lý do Bên A quyết định và được ghi tại Phụ lục 1. Bên B không xử lý Dữ liệu cho bất kỳ mục đích nào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xử lý Dữ liệu trong thời hạn hiệu lực của Hợp đồng và thời hạn cần thiết để thực hiện Điều 13.</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3. Cơ sở pháp lý và sự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chịu trách nhiệm bảo đảm có cơ sở pháp lý hợp lệ cho việc thu thập, xử lý Dữ liệu, gồm: a) Xin và lưu trữ sự đồng ý của chủ thể dữ liệu trước khi đăng ký Dữ liệu sinh trắc học, bảo đảm chủ thể được thông báo rằng đây là dữ liệu cá nhân nhạy cảm (Điều 9 Luật Bảo vệ dữ liệu cá nhân; khoản 4 Điều 6 Nghị định số 356/2025/NĐ-CP); b) Thông báo hoặc đặt biển báo để chủ thể biết mình đang bị ghi hình (khoản 2 Điều 32 Luật Bảo vệ dữ liệu cá nhân); c) Bảo đảm người lao động biết rõ biện pháp công nghệ, kỹ thuật được áp dụng trong quản lý người lao động (khoản 3 Điều 25 Luật Bảo vệ dữ liệu cá nhân); d) Cung cấp phương thức thay thế không dùng sinh trắc học (thẻ, mã PIN, mã QR hoặc {{...}}) cho chủ thể không đồng ý hoặc rút lại sự đồng 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Trước mỗi lần yêu cầu Bên B đăng ký khuôn mặt, Bên A xác nhận bằng văn bản hoặc trên Hệ thống rằng các chủ thể trong danh sách đã đồng ý. Bên B có quyền từ chối đăng ký khi chưa nhận được xác nhận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[M3/M4] Theo khoản 7 Điều 23 Nghị định số 356/2025/NĐ-CP, Bên B yêu cầu và Bên A cam kết xin sự đồng ý của chủ thể trước khi Bên B cung cấp dịch vụ; trong thông báo gửi chủ thể, Bên A nêu rõ loại dữ liệu cá nhân được xử lý, mục đích xử lý và tên tổ chức cung cấp dịch vụ xử lý dữ liệu cá nhân là </w:t>
      </w:r>
      <w:r>
        <w:rPr>
          <w:rFonts w:ascii="Times New Roman" w:cs="Times New Roman" w:eastAsia="Times New Roman" w:hAnsi="Times New Roman"/>
          <w:b/>
          <w:bCs/>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cung cấp trên Hệ thống chức năng ghi nhật ký sự đồng ý (người đồng ý, thời điểm, mục đích, phiên bản thông báo) và chức năng rút lại sự đồng ý để Bên A sử dụng.</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4. Nghĩa vụ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xử lý Dữ liệu theo Hợp đồng, Phụ lục này và chỉ dẫn bằng văn bản của Bên A (điểm b khoản 2 Điều 37 Luật Bảo vệ dữ liệu cá nhân). Nếu Bên B cho rằng một chỉ dẫn trái pháp luật, Bên B thông báo ngay cho Bên A và được tạm dừng thực hiện chỉ dẫn đó.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Không bán, cho thuê, chia sẻ, công khai Dữ liệu; không dùng Dữ liệu để huấn luyện, kiểm thử, cải tiến mô hình trí tuệ nhân tạo hoặc cho mục đích thương mại của Bên B, trừ khi có thỏa thuận riêng theo Điều 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Không tái nhận dạng dữ liệu đã được khử nhận dạng (điểm b khoản 6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Thực hiện đầy đủ biện pháp bảo vệ dữ liệu cá nhân tại Điều 5 và Phụ lục 2; ngăn chặn hoạt động thu thập Dữ liệu trái phép từ hệ thống, thiết bị, dịch vụ của mình (điểm c, điểm đ khoản 2 Điều 37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Chỉ cho phép nhân sự thật sự cần thiết tiếp cận Dữ liệu; mỗi nhân sự đã ký cam kết bảo mật (theo mẫu c4-cam-ket-bao-mat-nhan-su-dai-ly.md) và được đào tạo về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[M2] Thực hiện hỗ trợ kỹ thuật, truy cập từ xa theo Thỏa thuận hỗ trợ từ xa kèm theo Hợp đồng; không sao chép Dữ liệu ra khỏi Hệ thống của Bên A khi chưa có đồng ý bằng văn bản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Phối hợp với Bộ Công an, cơ quan nhà nước có thẩm quyền trong bảo vệ dữ liệu cá nhân (điểm e khoản 2 Điều 37 Luật Bảo vệ dữ liệu cá nhân). Khi nhận yêu cầu cung cấp Dữ liệu trực tiếp từ cơ quan có thẩm quyền, Bên B thông báo cho Bên A trong phạm vi pháp luật cho phép.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5. Biện pháp bảo vệ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áp dụng tối thiểu các biện pháp kỹ thuật, tổ chức tại Phụ lục 2, gồm: a) Mã hóa Dữ liệu sinh trắc học và video khi lưu trữ và khi truyền; [M3/M4] mã hóa toàn bộ Dữ liệu trên điện toán đám mây ở trạng thái nghỉ và khi truyền (khoản 4 Điều 12 Nghị định số 356/2025/NĐ-CP); b) Bảo mật vật lý đối với thiết bị lưu trữ và truyền tải Dữ liệu sinh trắc học; hạn chế quyền truy cập; hệ thống theo dõi để phòng ngừa, phát hiện hành vi xâm phạm (điểm a khoản 4 Điều 31 Luật Bảo vệ dữ liệu cá nhân); c) Xác thực đa yếu tố cho tài khoản quản trị; phân quyền theo vai trò; ghi và lưu nhật ký truy cập, xuất, xóa Dữ liệu tối thiểu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d) Khi chuyển Dữ liệu sinh trắc học giữa các thiết bị, hệ thống hoặc giữa hai bên: dùng kênh mã hóa, không gửi qua thư điện tử, ứng dụng nhắn tin hoặc thiết bị lưu trữ di động không mã hóa (khoản 2 Điều 7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rà soát, cập nhật biện pháp bảo vệ ít nhất </w:t>
      </w:r>
      <w:r>
        <w:rPr>
          <w:rFonts w:ascii="Times New Roman" w:cs="Times New Roman" w:eastAsia="Times New Roman" w:hAnsi="Times New Roman"/>
          <w:b w:val="false"/>
          <w:bCs w:val="false"/>
          <w:i w:val="false"/>
          <w:iCs w:val="false"/>
          <w:sz w:val="26"/>
          <w:szCs w:val="26"/>
          <w:highlight w:val="yellow"/>
        </w:rPr>
        <w:t xml:space="preserve">01 lần/năm</w:t>
      </w:r>
      <w:r>
        <w:rPr>
          <w:rFonts w:ascii="Times New Roman" w:cs="Times New Roman" w:eastAsia="Times New Roman" w:hAnsi="Times New Roman"/>
          <w:b w:val="false"/>
          <w:bCs w:val="false"/>
          <w:i w:val="false"/>
          <w:iCs w:val="false"/>
          <w:sz w:val="26"/>
          <w:szCs w:val="26"/>
        </w:rPr>
        <w:t xml:space="preserve"> và khi có thay đổi Hệ thống; [M3/M4] thông báo ngay cho Bên A mọi thay đổi hệ thống, hạ tầng có thể ảnh hưởng tới Dữ liệu (điểm d khoản 2 Điều 12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6. Bên xử lý phụ</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chỉ sử dụng bên xử lý phụ (nhà cung cấp hạ tầng, đại lý lắp đặt, nhà thầu phụ) có tên tại Phụ lục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thông báo cho Bên A bằng văn bản ít nhất </w:t>
      </w:r>
      <w:r>
        <w:rPr>
          <w:rFonts w:ascii="Times New Roman" w:cs="Times New Roman" w:eastAsia="Times New Roman" w:hAnsi="Times New Roman"/>
          <w:b w:val="false"/>
          <w:bCs w:val="false"/>
          <w:i w:val="false"/>
          <w:iCs w:val="false"/>
          <w:sz w:val="26"/>
          <w:szCs w:val="26"/>
          <w:highlight w:val="yellow"/>
        </w:rPr>
        <w:t xml:space="preserve">15</w:t>
      </w:r>
      <w:r>
        <w:rPr>
          <w:rFonts w:ascii="Times New Roman" w:cs="Times New Roman" w:eastAsia="Times New Roman" w:hAnsi="Times New Roman"/>
          <w:b w:val="false"/>
          <w:bCs w:val="false"/>
          <w:i w:val="false"/>
          <w:iCs w:val="false"/>
          <w:sz w:val="26"/>
          <w:szCs w:val="26"/>
        </w:rPr>
        <w:t xml:space="preserve"> ngày trước khi bổ sung hoặc thay thế bên xử lý phụ. Bên A có quyền phản đối có lý do; nếu hai bên không thống nhất được, Bên A có quyền chấm dứt phần dịch vụ liên quan mà không bị phạt.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ràng buộc bên xử lý phụ bằng văn bản với nghĩa vụ bảo vệ dữ liệu cá nhân không thấp hơn Phụ lục này (điểm b khoản 3 Điều 12 Nghị định số 356/2025/NĐ-CP) và chịu trách nhiệm trước Bên A về vi phạm của bên xử lý phụ.</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7. Vị trí lưu trữ và chuyển dữ liệu xuyên biên giới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Dữ liệu được lưu trữ, xử lý tại: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không chuyển Dữ liệu ra ngoài lãnh thổ Việt Nam, không cho phép truy cập Dữ liệu từ ngoài lãnh thổ Việt Nam và không sử dụng nền tảng ở ngoài lãnh thổ Việt Nam để xử lý Dữ liệu, trừ khi được Bên A chấp thuận trước bằng văn bản.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Trường hợp được chấp thuận, hai bên xác định bằng văn bản bên có nghĩa vụ lập hồ sơ đánh giá tác động chuyển dữ liệu cá nhân xuyên biên giới theo Điều 20 Luật Bảo vệ dữ liệu cá nhân; bên còn lại cung cấp đầy đủ, kịp thời thông tin cần thiết để lập, cập nhật hồ sơ.</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8. Hỗ trợ thực hiện quyền của chủ thể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Khi nhận trực tiếp yêu cầu của chủ thể dữ liệu, Bên B chuyển cho Bên A trong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ngày làm việc và không tự trả lời nội dung, trừ khi Bên A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Theo yêu cầu của Bên A, Bên B thực hiện việc xem, cung cấp, chỉnh sửa, xóa (kể cả xóa template khuôn mặt), hạn chế, ngừng xử lý Dữ liệu trong thời hạn Bên A yêu cầu, </w:t>
      </w:r>
      <w:r>
        <w:rPr>
          <w:rFonts w:ascii="Times New Roman" w:cs="Times New Roman" w:eastAsia="Times New Roman" w:hAnsi="Times New Roman"/>
          <w:b/>
          <w:bCs/>
          <w:i w:val="false"/>
          <w:iCs w:val="false"/>
          <w:sz w:val="26"/>
          <w:szCs w:val="26"/>
        </w:rPr>
        <w:t xml:space="preserve">không vượt quá</w:t>
      </w:r>
      <w:r>
        <w:rPr>
          <w:rFonts w:ascii="Times New Roman" w:cs="Times New Roman" w:eastAsia="Times New Roman" w:hAnsi="Times New Roman"/>
          <w:b w:val="false"/>
          <w:bCs w:val="false"/>
          <w:i w:val="false"/>
          <w:iCs w:val="false"/>
          <w:sz w:val="26"/>
          <w:szCs w:val="26"/>
        </w:rPr>
        <w:t xml:space="preserve"> thời hạn áp dụng khi phải yêu cầu bên xử lý thực hiện theo khoản 2, khoản 3, khoản 4 Điều 5 Nghị định số 356/2025/NĐ-CP và khoản 3 Điều 44 Nghị định số 330/2026/NĐ-CP: ngừng xử lý, hạn chế xử lý 20 ngày; xem, chỉnh sửa, cung cấp 15 ngày; xóa 30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cung cấp trên Hệ thống công cụ để Bên A: tìm và xuất hình ảnh của một chủ thể có làm mờ người không liên quan; xóa template theo từng người; xóa hàng loạt khi người lao động nghỉ việc; tạm ngừng xử lý tự động đối với một chủ thể.</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9. Thông báo và xử lý sự cố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thông báo cho Bên A về Sự cố dữ liệu </w:t>
      </w:r>
      <w:r>
        <w:rPr>
          <w:rFonts w:ascii="Times New Roman" w:cs="Times New Roman" w:eastAsia="Times New Roman" w:hAnsi="Times New Roman"/>
          <w:b/>
          <w:bCs/>
          <w:i w:val="false"/>
          <w:iCs w:val="false"/>
          <w:sz w:val="26"/>
          <w:szCs w:val="26"/>
        </w:rPr>
        <w:t xml:space="preserve">trong vòng </w:t>
      </w:r>
      <w:r>
        <w:rPr>
          <w:rFonts w:ascii="Times New Roman" w:cs="Times New Roman" w:eastAsia="Times New Roman" w:hAnsi="Times New Roman"/>
          <w:b/>
          <w:bCs/>
          <w:i w:val="false"/>
          <w:iCs w:val="false"/>
          <w:sz w:val="26"/>
          <w:szCs w:val="26"/>
          <w:highlight w:val="yellow"/>
        </w:rPr>
        <w:t xml:space="preserve">12</w:t>
      </w:r>
      <w:r>
        <w:rPr>
          <w:rFonts w:ascii="Times New Roman" w:cs="Times New Roman" w:eastAsia="Times New Roman" w:hAnsi="Times New Roman"/>
          <w:b/>
          <w:bCs/>
          <w:i w:val="false"/>
          <w:iCs w:val="false"/>
          <w:sz w:val="26"/>
          <w:szCs w:val="26"/>
        </w:rPr>
        <w:t xml:space="preserve"> giờ</w:t>
      </w:r>
      <w:r>
        <w:rPr>
          <w:rFonts w:ascii="Times New Roman" w:cs="Times New Roman" w:eastAsia="Times New Roman" w:hAnsi="Times New Roman"/>
          <w:b w:val="false"/>
          <w:bCs w:val="false"/>
          <w:i w:val="false"/>
          <w:iCs w:val="false"/>
          <w:sz w:val="26"/>
          <w:szCs w:val="26"/>
        </w:rPr>
        <w:t xml:space="preserve"> kể từ khi phát hiện (khoản 1 Điều 23 Luật Bảo vệ dữ liệu cá nhân), qua đầu mối nêu tại Điều 16, kèm các thông tin đã có: thời gian, địa điểm, hành vi; loại và số lượng dữ liệu, số chủ thể liên quan; hậu quả có thể xảy ra; biện pháp đã áp dụng (khoản 1 Điều 28 Nghị định số 356/2025/NĐ-CP). Thông tin chưa có được bổ sung ngay khi có.</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Sự cố dữ liệu liên quan đến Dữ liệu sinh trắc học, Bên B cung cấp thông tin cần thiết để Bên A thông báo cho chủ thể bị ảnh hưởng trong 72 giờ và lập hồ sơ vi phạm theo Điều 29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phối hợp ngăn chặn, khắc phục; bảo toàn nhật ký, chứng cứ; không tự thông báo cho chủ thể dữ liệu hoặc công khai Sự cố dữ liệu khi chưa thống nhất với Bên A, trừ trường hợp pháp luật hoặc cơ quan có thẩm quyền yêu cầu.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Sự cố nghiêm trọng của Hệ thống.</w:t>
      </w:r>
      <w:r>
        <w:rPr>
          <w:rFonts w:ascii="Times New Roman" w:cs="Times New Roman" w:eastAsia="Times New Roman" w:hAnsi="Times New Roman"/>
          <w:b w:val="false"/>
          <w:bCs w:val="false"/>
          <w:i w:val="false"/>
          <w:iCs w:val="false"/>
          <w:sz w:val="26"/>
          <w:szCs w:val="26"/>
        </w:rPr>
        <w:t xml:space="preserve"> Khi một sự kiện trong hoạt động của Hệ thống gây ra hậu quả tại khoản 1 Điều 19 Nghị định số 142/2026/NĐ-CP (kể cả khi không phải Sự cố dữ liệu): (a) bên phát hiện thông báo ngay cho bên kia; Bên A ghi nhận, hạn chế hậu quả trong phạm vi kiểm soát của mình; Bên B áp dụng biện pháp kỹ thuật để khắc phục, tạm dừng hoặc thu hồi Hệ thống (khoản 2 Điều 12 Luật Trí tuệ nhân tạo số 134/2025/QH15); (b) Bên B lập và gửi báo cáo sơ bộ theo Mẫu AI01a qua Cổng thông tin điện tử một cửa về trí tuệ nhân tạo trong thời hạn tại khoản 3 Điều 19 Nghị định số 142/2026/NĐ-CP, và báo cáo chính thức trong 15 ngày kể từ ngày nộp báo cáo sơ bộ, trừ khi hai bên thống nhất bằng văn bản Bên A là bên nộp; Bên A cung cấp thông tin về vận hành, hậu quả tại cơ sở của mình; (c) nếu Bên A không liên lạc được với Bên B, Bên A tự thực hiện báo cáo và Bên B cung cấp thông tin kỹ thuật ngay khi liên lạc lại được; (d) hai bên lưu giữ nhật ký hệ thống, dữ liệu, thông tin liên quan đến sự cố (khoản 4 Điều 19 Nghị định số 142/2026/NĐ-CP).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10. Hỗ trợ đánh giá tác động, phân loại rủi ro và kiểm tra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cung cấp cho Bên A tài liệu mô tả luồng dữ liệu, kiến trúc, biện pháp bảo mật của Hệ thống và phần kỹ thuật đã điền sẵn của hồ sơ đánh giá tác động xử lý dữ liệu cá nhân (khoản 3 Điều 19 Nghị định số 356/2025/NĐ-CP), cập nhật khi Hệ thống thay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phối hợp khi cơ quan chuyên trách bảo vệ dữ liệu cá nhân kiểm tra hoạt động xử lý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A hoặc bên thứ ba độc lập do Bên A chỉ định có quyền kiểm tra việc tuân thủ Phụ lục này {{tần suất}} và khi xảy ra Sự cố dữ liệu, với thông báo trước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ngày làm việc. Bên B có thể thay thế bằng báo cáo đánh giá độc lập còn hiệu lực nếu Bên A chấp nhận.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lập, lưu trữ hồ sơ đánh giá tác động xử lý dữ liệu cá nhân đối với hoạt động xử lý theo Phụ lục này và thực hiện nghĩa vụ gửi hồ sơ theo quy định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Bên B cung cấp cho Bên A kết quả phân loại rủi ro của Hệ thống theo pháp luật về trí tuệ nhân tạo, mục đích sử dụng và giới hạn sử dụng của Hệ thống, điều kiện vận hành an toàn, các rủi ro đã xác định và biện pháp quản lý tương ứng (khoản 3 Điều 15 Nghị định số 142/2026/NĐ-CP), và cập nhật khi Bên B phân loại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Bên A không sửa đổi, tích hợp Hệ thống với hệ thống khác, thay đổi chức năng, mục đích sử dụng hoặc bối cảnh lắp đặt so với mô tả tại Phụ lục 1 theo cách có thể làm phát sinh rủi ro mới hoặc rủi ro cao hơn, khi chưa thông báo cho Bên B bằng văn bản trước ít nhất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 Hai bên phối hợp rà soát, phân loại lại mức độ rủi ro (khoản 2 Điều 10 Luật Trí tuệ nhân tạo số 134/2025/QH15; khoản 4 Điều 6, khoản 2 Điều 11 Nghị định số 142/2026/NĐ-CP). Nếu kết quả phân loại lại cao hơn, bên thực hiện thông báo kết quả cho cơ quan có thẩm quyền trong 15 ngày làm việc theo điểm a khoản 3 Điều 11 Nghị định số 142/2026/NĐ-CP là </w:t>
      </w:r>
      <w:r>
        <w:rPr>
          <w:rFonts w:ascii="Times New Roman" w:cs="Times New Roman" w:eastAsia="Times New Roman" w:hAnsi="Times New Roman"/>
          <w:b w:val="false"/>
          <w:bCs w:val="false"/>
          <w:i w:val="false"/>
          <w:iCs w:val="false"/>
          <w:sz w:val="26"/>
          <w:szCs w:val="26"/>
          <w:highlight w:val="yellow"/>
        </w:rPr>
        <w:t xml:space="preserve">Bên B</w:t>
      </w:r>
      <w:r>
        <w:rPr>
          <w:rFonts w:ascii="Times New Roman" w:cs="Times New Roman" w:eastAsia="Times New Roman" w:hAnsi="Times New Roman"/>
          <w:b w:val="false"/>
          <w:bCs w:val="false"/>
          <w:i w:val="false"/>
          <w:iCs w:val="false"/>
          <w:sz w:val="26"/>
          <w:szCs w:val="26"/>
        </w:rPr>
        <w:t xml:space="preserve">; chi phí đánh giá sự phù hợp phát sinh do thay đổi của Bên A do Bên A chịu, trừ khi hai bên thỏa thuận khác.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Bên A không tắt, không vô hiệu hóa cơ chế giám sát, can thiệp của con người do Hệ thống cung cấp (khoản 4 Điều 7 Luật Trí tuệ nhân tạo số 134/2025/QH15).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11. Dữ liệu huấn luyện và cải tiến sản phẩm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sử dụng Dữ liệu để huấn luyện, kiểm thử hoặc cải tiến mô hình trí tuệ nhân tạo.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được sử dụng dữ liệu kỹ thuật không chứa dữ liệu cá nhân (thông số hoạt động, mã lỗi, thống kê tổng hợp đã khử nhận dạng) để bảo trì, cải tiến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Mọi ngoại lệ đối với khoản 1, trừ trường hợp tại khoản 4, phải lập thành thỏa thuận riêng, nêu rõ phạm vi dữ liệu, biện pháp khử nhận dạng, cơ sở pháp lý đối với từng chủ thể và thời hạn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iCs/>
          <w:sz w:val="26"/>
          <w:szCs w:val="26"/>
        </w:rPr>
        <w:t xml:space="preserve">(Tùy chọn)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Tinh chỉnh tại chỗ.</w:t>
      </w:r>
      <w:r>
        <w:rPr>
          <w:rFonts w:ascii="Times New Roman" w:cs="Times New Roman" w:eastAsia="Times New Roman" w:hAnsi="Times New Roman"/>
          <w:b w:val="false"/>
          <w:bCs w:val="false"/>
          <w:i w:val="false"/>
          <w:iCs w:val="false"/>
          <w:sz w:val="26"/>
          <w:szCs w:val="26"/>
        </w:rPr>
        <w:t xml:space="preserve"> Bên A có thể chỉ dẫn bằng văn bản cho Bên B tinh chỉnh mô hình trên Hệ thống của Bên A, chỉ nhằm nâng độ chính xác nhận diện cho Hệ thống của Bên A, với điều kiện: (a) chỉ dùng dữ liệu của chủ thể đã đồng ý riêng cho mục đích cải thiện độ chính xác; (b) dữ liệu và quá trình tinh chỉnh không rời Hệ thống của Bên A; (c) mô hình sau tinh chỉnh chỉ dùng cho Bên A, Bên B không sử dụng cho khách hàng khác hoặc sản phẩm chung; (d) Bên B kiểm thử lại độ chính xác trước khi đưa vào vận hành; (e) tập dữ liệu tinh chỉnh được xóa trong </w:t>
      </w:r>
      <w:r>
        <w:rPr>
          <w:rFonts w:ascii="Times New Roman" w:cs="Times New Roman" w:eastAsia="Times New Roman" w:hAnsi="Times New Roman"/>
          <w:b w:val="false"/>
          <w:bCs w:val="false"/>
          <w:i w:val="false"/>
          <w:iCs w:val="false"/>
          <w:sz w:val="26"/>
          <w:szCs w:val="26"/>
          <w:highlight w:val="yellow"/>
        </w:rPr>
        <w:t xml:space="preserve">07 ngày</w:t>
      </w:r>
      <w:r>
        <w:rPr>
          <w:rFonts w:ascii="Times New Roman" w:cs="Times New Roman" w:eastAsia="Times New Roman" w:hAnsi="Times New Roman"/>
          <w:b w:val="false"/>
          <w:bCs w:val="false"/>
          <w:i w:val="false"/>
          <w:iCs w:val="false"/>
          <w:sz w:val="26"/>
          <w:szCs w:val="26"/>
        </w:rPr>
        <w:t xml:space="preserve"> sau khi hoàn thành, có biên bản.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12. Nhân sự của Bên B làm việc tại cơ sở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[M2] Nhân sự lắp đặt, bảo hành của Bên B hoặc của đại lý Bên B làm việc tại cơ sở Bên A tuân thủ nội quy an ninh của Bên A; chỉ đăng ký, sửa, xóa khuôn mặt theo danh sách hoặc yêu cầu bằng văn bản của Bên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Dữ liệu dùng để kiểm thử khi lắp đặt phải được xóa trước khi bàn giao; việc xóa được ghi trong biên bản bàn giao.</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13. Trả lại và xóa Dữ liệu khi kết thúc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Trong </w:t>
      </w:r>
      <w:r>
        <w:rPr>
          <w:rFonts w:ascii="Times New Roman" w:cs="Times New Roman" w:eastAsia="Times New Roman" w:hAnsi="Times New Roman"/>
          <w:b w:val="false"/>
          <w:bCs w:val="false"/>
          <w:i w:val="false"/>
          <w:iCs w:val="false"/>
          <w:sz w:val="26"/>
          <w:szCs w:val="26"/>
          <w:highlight w:val="yellow"/>
        </w:rPr>
        <w:t xml:space="preserve">30</w:t>
      </w:r>
      <w:r>
        <w:rPr>
          <w:rFonts w:ascii="Times New Roman" w:cs="Times New Roman" w:eastAsia="Times New Roman" w:hAnsi="Times New Roman"/>
          <w:b w:val="false"/>
          <w:bCs w:val="false"/>
          <w:i w:val="false"/>
          <w:iCs w:val="false"/>
          <w:sz w:val="26"/>
          <w:szCs w:val="26"/>
        </w:rPr>
        <w:t xml:space="preserve"> ngày kể từ khi Hợp đồng chấm dứt hoặc khi Bên A yêu cầu, Bên B trả lại Dữ liệu cho Bên A ở định dạng </w:t>
      </w:r>
      <w:r>
        <w:rPr>
          <w:rFonts w:ascii="Times New Roman" w:cs="Times New Roman" w:eastAsia="Times New Roman" w:hAnsi="Times New Roman"/>
          <w:b w:val="false"/>
          <w:bCs w:val="false"/>
          <w:i w:val="false"/>
          <w:iCs w:val="false"/>
          <w:sz w:val="26"/>
          <w:szCs w:val="26"/>
          <w:highlight w:val="yellow"/>
        </w:rPr>
        <w:t xml:space="preserve">CSV đối với nhật ký; MP4 đối với video; template không trả lại, chỉ xóa</w:t>
      </w:r>
      <w:r>
        <w:rPr>
          <w:rFonts w:ascii="Times New Roman" w:cs="Times New Roman" w:eastAsia="Times New Roman" w:hAnsi="Times New Roman"/>
          <w:b w:val="false"/>
          <w:bCs w:val="false"/>
          <w:i w:val="false"/>
          <w:iCs w:val="false"/>
          <w:sz w:val="26"/>
          <w:szCs w:val="26"/>
        </w:rPr>
        <w:t xml:space="preserve">, sau đó xóa, hủy toàn bộ Dữ liệu còn lưu, kể cả bản sao lưu, bằng biện pháp an toàn, ngăn chặn khôi phục trái phép (khoản 3 Điều 14 Luật Bảo vệ dữ liệu cá nhân).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Bản sao lưu không thể xóa ngay vì lý do kỹ thuật được mã hóa, cách ly và xóa theo chu kỳ sao lưu, không quá </w:t>
      </w:r>
      <w:r>
        <w:rPr>
          <w:rFonts w:ascii="Times New Roman" w:cs="Times New Roman" w:eastAsia="Times New Roman" w:hAnsi="Times New Roman"/>
          <w:b w:val="false"/>
          <w:bCs w:val="false"/>
          <w:i w:val="false"/>
          <w:iCs w:val="false"/>
          <w:sz w:val="26"/>
          <w:szCs w:val="26"/>
          <w:highlight w:val="yellow"/>
        </w:rPr>
        <w:t xml:space="preserve">35</w:t>
      </w:r>
      <w:r>
        <w:rPr>
          <w:rFonts w:ascii="Times New Roman" w:cs="Times New Roman" w:eastAsia="Times New Roman" w:hAnsi="Times New Roman"/>
          <w:b w:val="false"/>
          <w:bCs w:val="false"/>
          <w:i w:val="false"/>
          <w:iCs w:val="false"/>
          <w:sz w:val="26"/>
          <w:szCs w:val="26"/>
        </w:rPr>
        <w:t xml:space="preserve"> ngày.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Bên B gửi Bên A biên bản xác nhận xóa, nêu phạm vi, phương thức, thời điểm xóa.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Bên B chỉ được giữ lại Dữ liệu khi pháp luật bắt buộc và phải thông báo cho Bên A căn cứ, phạm vi, thời hạn giữ lại.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14. Trách nhiệm và bồi thường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A chịu trách nhiệm trước chủ thể dữ liệu về thiệt hại do quá trình xử lý Dữ liệu gây ra (điểm g khoản 1 Điều 37 Luật Bảo vệ dữ liệu cá nhân), và chịu trách nhiệm về cơ sở pháp lý, sự đồng ý, thông báo, biển báo thuộc phạm vi Điều 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chịu trách nhiệm trước Bên A về thiệt hại do xử lý Dữ liệu trái Phụ lục này, trái chỉ dẫn của Bên A hoặc do không thực hiện biện pháp bảo vệ tại Điều 5 (điểm d khoản 2 Điều 37 Luật Bảo vệ dữ liệu cá nhân), kể cả các khoản tiền phạt, chi phí khắc phục mà Bên A phải chịu do lỗi của Bên B.</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Giới hạn trách nhiệm theo Hợp đồng {{áp dụng/không áp dụng}} đối với vi phạm Phụ lục này; không áp dụng đối với hành vi cố ý hoặc vi phạm Điều 4 khoản 2.</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Thỏa thuận hoàn trả bồi thường.</w:t>
      </w:r>
      <w:r>
        <w:rPr>
          <w:rFonts w:ascii="Times New Roman" w:cs="Times New Roman" w:eastAsia="Times New Roman" w:hAnsi="Times New Roman"/>
          <w:b w:val="false"/>
          <w:bCs w:val="false"/>
          <w:i w:val="false"/>
          <w:iCs w:val="false"/>
          <w:sz w:val="26"/>
          <w:szCs w:val="26"/>
        </w:rPr>
        <w:t xml:space="preserve"> Trường hợp Hệ thống thuộc diện rủi ro cao theo pháp luật về trí tuệ nhân tạo, được quản lý, vận hành và sử dụng đúng quy định nhưng vẫn phát sinh thiệt hại và Bên A đã bồi thường cho người bị thiệt hại, Bên B hoàn trả cho Bên A khoản tiền bồi thường đó theo khoản 2 Điều 29 Luật Trí tuệ nhân tạo số 134/2025/QH15, trong giới hạn </w:t>
      </w:r>
      <w:r>
        <w:rPr>
          <w:rFonts w:ascii="Times New Roman" w:cs="Times New Roman" w:eastAsia="Times New Roman" w:hAnsi="Times New Roman"/>
          <w:b w:val="false"/>
          <w:bCs w:val="false"/>
          <w:i w:val="false"/>
          <w:iCs w:val="false"/>
          <w:sz w:val="26"/>
          <w:szCs w:val="26"/>
          <w:highlight w:val="yellow"/>
        </w:rPr>
        <w:t xml:space="preserve">tổng giá trị Hợp đồng đã thanh toán trong 12 tháng gần nhất</w:t>
      </w:r>
      <w:r>
        <w:rPr>
          <w:rFonts w:ascii="Times New Roman" w:cs="Times New Roman" w:eastAsia="Times New Roman" w:hAnsi="Times New Roman"/>
          <w:b w:val="false"/>
          <w:bCs w:val="false"/>
          <w:i w:val="false"/>
          <w:iCs w:val="false"/>
          <w:sz w:val="26"/>
          <w:szCs w:val="26"/>
        </w:rPr>
        <w:t xml:space="preserve">, với điều kiện: (a) Bên A thông báo cho Bên B trong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ngày làm việc kể từ khi nhận yêu cầu bồi thường và cho Bên B tham gia giải quyết; (b) Bên A đã vận hành Hệ thống đúng mục đích, giới hạn sử dụng và hướng dẫn của Bên B, không tắt cơ chế giám sát, can thiệp của con người, không thay đổi Hệ thống trái Điều 10 khoản 6; (c) thiệt hại không thuộc trường hợp miễn trừ tại khoản 3 Điều 29 Luật này. Khoản này không hạn chế quyền của Bên A theo khoản 2 Điều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Trường hợp Hệ thống bị bên thứ ba xâm nhập, chiếm quyền điều khiển hoặc can thiệp trái pháp luật, bên nào có lỗi trong việc để Hệ thống bị xâm nhập thì chịu phần trách nhiệm liên đới bồi thường tương ứng với lỗi của mình (khoản 4 Điều 29 Luật Trí tuệ nhân tạo số 134/2025/QH15).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Bảo hiểm.</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Hai bên không cam kết mua bảo hiểm trách nhiệm theo Phụ lục này.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(Khuyến nghị: mỗi bên cân nhắc tham gia bảo hiểm trách nhiệm dân sự hoặc biện pháp bảo đảm thực hiện nghĩa vụ phù hợp để kịp thời khắc phục sự cố và bồi thường thiệt hại — khoản 5 Điều 14 Luật Trí tuệ nhân tạo số 134/2025/QH15.)</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15. Giấy chứng nhận đủ điều kiện kinh doanh dịch vụ xử lý dữ liệu cá nhân [M3/M4]</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Bên B cam kết có Giấy chứng nhận đủ điều kiện kinh doanh dịch vụ xử lý dữ liệu cá nhân số </w:t>
      </w:r>
      <w:r>
        <w:rPr>
          <w:rFonts w:ascii="Times New Roman" w:cs="Times New Roman" w:eastAsia="Times New Roman" w:hAnsi="Times New Roman"/>
          <w:b w:val="false"/>
          <w:bCs w:val="false"/>
          <w:i w:val="false"/>
          <w:iCs w:val="false"/>
          <w:sz w:val="26"/>
          <w:szCs w:val="26"/>
          <w:highlight w:val="yellow"/>
        </w:rPr>
        <w:t xml:space="preserve">Không áp dụng (mô hình cài đặt tại chỗ)</w:t>
      </w:r>
      <w:r>
        <w:rPr>
          <w:rFonts w:ascii="Times New Roman" w:cs="Times New Roman" w:eastAsia="Times New Roman" w:hAnsi="Times New Roman"/>
          <w:b w:val="false"/>
          <w:bCs w:val="false"/>
          <w:i w:val="false"/>
          <w:iCs w:val="false"/>
          <w:sz w:val="26"/>
          <w:szCs w:val="26"/>
        </w:rPr>
        <w:t xml:space="preserve"> cấp ngày </w:t>
      </w:r>
      <w:r>
        <w:rPr>
          <w:rFonts w:ascii="Times New Roman" w:cs="Times New Roman" w:eastAsia="Times New Roman" w:hAnsi="Times New Roman"/>
          <w:b w:val="false"/>
          <w:bCs w:val="false"/>
          <w:i w:val="false"/>
          <w:iCs w:val="false"/>
          <w:sz w:val="26"/>
          <w:szCs w:val="26"/>
          <w:highlight w:val="yellow"/>
        </w:rPr>
        <w:t xml:space="preserve">Không áp dụng</w:t>
      </w:r>
      <w:r>
        <w:rPr>
          <w:rFonts w:ascii="Times New Roman" w:cs="Times New Roman" w:eastAsia="Times New Roman" w:hAnsi="Times New Roman"/>
          <w:b w:val="false"/>
          <w:bCs w:val="false"/>
          <w:i w:val="false"/>
          <w:iCs w:val="false"/>
          <w:sz w:val="26"/>
          <w:szCs w:val="26"/>
        </w:rPr>
        <w:t xml:space="preserve"> còn hiệu lực trong suốt thời gian cung cấp dịch vụ (Điều 22, Điều 25 Nghị định số 356/2025/NĐ-CP).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Bên B thông báo ngay cho Bên A khi Giấy chứng nhận bị thu hồi hoặc Bên B không còn đáp ứng điều kiện (Điều 27 Nghị định số 356/2025/NĐ-CP). Khi đó Bên A có quyền chấm dứt Hợp đồng mà không bị phạt và Bên B thực hiện Điều 13.</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16. Đầu mối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Mỗi bên chỉ định đầu mối nêu ở phần đầu Phụ lục này. Thay đổi đầu mối được thông báo bằng văn bản trong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ngày làm việc (điểm a khoản 2 Điều 12 Nghị định số 356/2025/NĐ-CP).</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Điều 17.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Phụ lục này là bộ phận không tách rời của Hợp đồng, có hiệu lực từ ngày ký. Các Điều 4 khoản 2, Điều 9, Điều 13, Điều 14 tiếp tục có hiệu lực sau khi Hợp đồng chấm dứt cho đến khi Dữ liệu đã được xóa hoặc trả lại toàn bộ.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Khi có mâu thuẫn giữa Phụ lục này và Hợp đồng về xử lý dữ liệu cá nhân, Phụ lục này được ưu tiên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Phụ lục được lập thành </w:t>
      </w:r>
      <w:r>
        <w:rPr>
          <w:rFonts w:ascii="Times New Roman" w:cs="Times New Roman" w:eastAsia="Times New Roman" w:hAnsi="Times New Roman"/>
          <w:b w:val="false"/>
          <w:bCs w:val="false"/>
          <w:i w:val="false"/>
          <w:iCs w:val="false"/>
          <w:sz w:val="26"/>
          <w:szCs w:val="26"/>
          <w:highlight w:val="yellow"/>
        </w:rPr>
        <w:t xml:space="preserve">02</w:t>
      </w:r>
      <w:r>
        <w:rPr>
          <w:rFonts w:ascii="Times New Roman" w:cs="Times New Roman" w:eastAsia="Times New Roman" w:hAnsi="Times New Roman"/>
          <w:b w:val="false"/>
          <w:bCs w:val="false"/>
          <w:i w:val="false"/>
          <w:iCs w:val="false"/>
          <w:sz w:val="26"/>
          <w:szCs w:val="26"/>
        </w:rPr>
        <w:t xml:space="preserve"> bản có giá trị pháp lý như nhau, mỗi bên giữ </w:t>
      </w:r>
      <w:r>
        <w:rPr>
          <w:rFonts w:ascii="Times New Roman" w:cs="Times New Roman" w:eastAsia="Times New Roman" w:hAnsi="Times New Roman"/>
          <w:b w:val="false"/>
          <w:bCs w:val="false"/>
          <w:i w:val="false"/>
          <w:iCs w:val="false"/>
          <w:sz w:val="26"/>
          <w:szCs w:val="26"/>
          <w:highlight w:val="yellow"/>
        </w:rPr>
        <w:t xml:space="preserve">01</w:t>
      </w:r>
      <w:r>
        <w:rPr>
          <w:rFonts w:ascii="Times New Roman" w:cs="Times New Roman" w:eastAsia="Times New Roman" w:hAnsi="Times New Roman"/>
          <w:b w:val="false"/>
          <w:bCs w:val="false"/>
          <w:i w:val="false"/>
          <w:iCs w:val="false"/>
          <w:sz w:val="26"/>
          <w:szCs w:val="26"/>
        </w:rPr>
        <w:t xml:space="preserve">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A</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B</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1. Mô tả hoạt động xử lý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80"/>
        <w:gridCol w:w="1131"/>
        <w:gridCol w:w="1197"/>
        <w:gridCol w:w="1181"/>
        <w:gridCol w:w="1161"/>
        <w:gridCol w:w="1262"/>
        <w:gridCol w:w="858"/>
        <w:gridCol w:w="1255"/>
      </w:tblGrid>
      <w:tr>
        <w:trPr>
          <w:cantSplit/>
          <w:tblHeader/>
        </w:trPr>
        <w:tc>
          <w:tcPr>
            <w:tcW w:type="dxa" w:w="9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Đối tượng chủ thể</w:t>
            </w:r>
          </w:p>
        </w:tc>
        <w:tc>
          <w:tcPr>
            <w:tcW w:type="dxa" w:w="11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Số lượng dự kiến</w:t>
            </w:r>
          </w:p>
        </w:tc>
        <w:tc>
          <w:tcPr>
            <w:tcW w:type="dxa" w:w="11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Loại dữ liệu</w:t>
            </w:r>
          </w:p>
        </w:tc>
        <w:tc>
          <w:tcPr>
            <w:tcW w:type="dxa" w:w="11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Phân loại</w:t>
            </w:r>
          </w:p>
        </w:tc>
        <w:tc>
          <w:tcPr>
            <w:tcW w:type="dxa" w:w="116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Hoạt động xử lý của Bên B</w:t>
            </w:r>
          </w:p>
        </w:tc>
        <w:tc>
          <w:tcPr>
            <w:tcW w:type="dxa" w:w="12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Mục đích (do Bên A quyết định)</w:t>
            </w:r>
          </w:p>
        </w:tc>
        <w:tc>
          <w:tcPr>
            <w:tcW w:type="dxa" w:w="8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Nơi lưu</w:t>
            </w:r>
          </w:p>
        </w:tc>
        <w:tc>
          <w:tcPr>
            <w:tcW w:type="dxa" w:w="12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18"/>
                <w:szCs w:val="18"/>
              </w:rPr>
              <w:t xml:space="preserve">Thời hạn lưu</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Người lao động của Bên A</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850</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Họ tên, mã nhân viên, phòng ban; ảnh đăng ký; template khuôn mặt; nhật ký ra vào, chấm công</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 </w:t>
            </w:r>
            <w:r>
              <w:rPr>
                <w:rFonts w:ascii="Times New Roman" w:cs="Times New Roman" w:eastAsia="Times New Roman" w:hAnsi="Times New Roman"/>
                <w:b/>
                <w:bCs/>
                <w:i w:val="false"/>
                <w:iCs w:val="false"/>
                <w:sz w:val="18"/>
                <w:szCs w:val="18"/>
              </w:rPr>
              <w:t xml:space="preserve">nhạy cảm (sinh trắc học)</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Đăng ký khuôn mặt; lưu trữ; so khớp; hỗ trợ kỹ thuật</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soát ra vào; chấm công</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Template: đến khi nghỉ việc hoặc rút đồng ý; nhật ký: </w:t>
            </w:r>
            <w:r>
              <w:rPr>
                <w:rFonts w:ascii="Times New Roman" w:cs="Times New Roman" w:eastAsia="Times New Roman" w:hAnsi="Times New Roman"/>
                <w:b w:val="false"/>
                <w:bCs w:val="false"/>
                <w:i w:val="false"/>
                <w:iCs w:val="false"/>
                <w:sz w:val="18"/>
                <w:szCs w:val="18"/>
                <w:highlight w:val="yellow"/>
              </w:rPr>
              <w:t xml:space="preserve">12 tháng</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Khách đến làm việc</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300</w:t>
            </w:r>
            <w:r>
              <w:rPr>
                <w:rFonts w:ascii="Times New Roman" w:cs="Times New Roman" w:eastAsia="Times New Roman" w:hAnsi="Times New Roman"/>
                <w:b w:val="false"/>
                <w:bCs w:val="false"/>
                <w:i w:val="false"/>
                <w:iCs w:val="false"/>
                <w:sz w:val="18"/>
                <w:szCs w:val="18"/>
              </w:rPr>
              <w:t xml:space="preserve">/tháng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Họ tên, đơn vị, số điện thoại; ảnh chụp tại kiosk; template khuôn mặt (nếu dùng)</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 nhạy cảm (nếu có template)</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Lưu trữ; so khớp trong thời gian hiệu lực thẻ khách</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Kiểm soát khách ra vào</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90 ngày</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Người xuất hiện trong vùng camera</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Không xác định</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Hình ảnh, video</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Lưu trữ; hỗ trợ trích xuất theo yêu cầu Bên A</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An ninh, bảo vệ tài sản</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30 ngày</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Chủ phương tiện ra vào bãi xe</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210</w:t>
            </w:r>
            <w:r>
              <w:rPr>
                <w:rFonts w:ascii="Times New Roman" w:cs="Times New Roman" w:eastAsia="Times New Roman" w:hAnsi="Times New Roman"/>
                <w:b w:val="false"/>
                <w:bCs w:val="false"/>
                <w:i w:val="false"/>
                <w:iCs w:val="false"/>
                <w:sz w:val="18"/>
                <w:szCs w:val="18"/>
              </w:rPr>
              <w:t xml:space="preserve"> xe đăng ký</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Biển số xe, ảnh phương tiện, thời điểm ra vào; thông tin vé tháng</w:t>
            </w: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Cơ bản</w:t>
            </w: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Nhận diện biển số; lưu trữ; đối chiếu danh sách</w:t>
            </w: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rPr>
              <w:t xml:space="preserve">Quản lý bãi xe</w:t>
            </w: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Máy chủ đặt tại phòng máy của khách hàng, Bình Dương (Việt Nam)</w:t>
            </w: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18"/>
                <w:szCs w:val="18"/>
                <w:highlight w:val="yellow"/>
              </w:rPr>
              <w:t xml:space="preserve">Xe vãng lai 30 ngày; xe đăng ký trong thời hạn vé tháng</w:t>
            </w:r>
          </w:p>
        </w:tc>
      </w:tr>
      <w:tr>
        <w:trPr>
          <w:cantSplit/>
          <w:tblHeader w:val="false"/>
        </w:trPr>
        <w:tc>
          <w:tcPr>
            <w:tcW w:type="dxa" w:w="9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18"/>
                <w:szCs w:val="18"/>
              </w:rPr>
              <w:t xml:space="preserve">{{...}}</w:t>
            </w:r>
          </w:p>
        </w:tc>
        <w:tc>
          <w:tcPr>
            <w:tcW w:type="dxa" w:w="11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16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8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2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2. Biện pháp kỹ thuật và tổ chức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393"/>
        <w:gridCol w:w="4297"/>
        <w:gridCol w:w="3335"/>
      </w:tblGrid>
      <w:tr>
        <w:trPr>
          <w:cantSplit/>
          <w:tblHeader/>
        </w:trPr>
        <w:tc>
          <w:tcPr>
            <w:tcW w:type="dxa" w:w="13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Nhóm</w:t>
            </w:r>
          </w:p>
        </w:tc>
        <w:tc>
          <w:tcPr>
            <w:tcW w:type="dxa" w:w="4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Biện pháp Bên B áp dụng</w:t>
            </w:r>
          </w:p>
        </w:tc>
        <w:tc>
          <w:tcPr>
            <w:tcW w:type="dxa" w:w="33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Bằng chứng Bên B cung cấp khi được yêu cầu</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hóa</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Template, ảnh đăng ký, video được mã hóa khi lưu (</w:t>
            </w:r>
            <w:r>
              <w:rPr>
                <w:rFonts w:ascii="Times New Roman" w:cs="Times New Roman" w:eastAsia="Times New Roman" w:hAnsi="Times New Roman"/>
                <w:b w:val="false"/>
                <w:bCs w:val="false"/>
                <w:i w:val="false"/>
                <w:iCs w:val="false"/>
                <w:sz w:val="24"/>
                <w:szCs w:val="24"/>
                <w:highlight w:val="yellow"/>
              </w:rPr>
              <w:t xml:space="preserve">AES-256</w:t>
            </w:r>
            <w:r>
              <w:rPr>
                <w:rFonts w:ascii="Times New Roman" w:cs="Times New Roman" w:eastAsia="Times New Roman" w:hAnsi="Times New Roman"/>
                <w:b w:val="false"/>
                <w:bCs w:val="false"/>
                <w:i w:val="false"/>
                <w:iCs w:val="false"/>
                <w:sz w:val="24"/>
                <w:szCs w:val="24"/>
              </w:rPr>
              <w:t xml:space="preserve">) và khi truyền (</w:t>
            </w:r>
            <w:r>
              <w:rPr>
                <w:rFonts w:ascii="Times New Roman" w:cs="Times New Roman" w:eastAsia="Times New Roman" w:hAnsi="Times New Roman"/>
                <w:b w:val="false"/>
                <w:bCs w:val="false"/>
                <w:i w:val="false"/>
                <w:iCs w:val="false"/>
                <w:sz w:val="24"/>
                <w:szCs w:val="24"/>
                <w:highlight w:val="yellow"/>
              </w:rPr>
              <w:t xml:space="preserve">TLS 1.2 trở lên</w:t>
            </w:r>
            <w:r>
              <w:rPr>
                <w:rFonts w:ascii="Times New Roman" w:cs="Times New Roman" w:eastAsia="Times New Roman" w:hAnsi="Times New Roman"/>
                <w:b w:val="false"/>
                <w:bCs w:val="false"/>
                <w:i w:val="false"/>
                <w:iCs w:val="false"/>
                <w:sz w:val="24"/>
                <w:szCs w:val="24"/>
              </w:rPr>
              <w:t xml:space="preserve">); khóa quản lý tách khỏi dữ liệu</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liệu bảo mật sản phẩm; ảnh chụp cấu hình</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soát truy cập</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Phân quyền theo vai trò; xác thực đa yếu tố cho quản trị viên; tài khoản kỹ thuật viên có thời hạn, cấp theo phiếu</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tài khoản, quyền; nhật ký cấp, thu hồi</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giám sát</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nhật ký đăng nhập, xem, xuất, xóa dữ liệu; cảnh báo truy cập bất thường</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Mẫu nhật ký; báo cáo cảnh báo</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mật vật lý</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Máy chủ, đầu ghi đặt trong phòng có khóa, kiểm soát ra vào; ổ cứng thay thế được hủy an toàn</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Biên bản hủy thiết bị lưu trữ</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Giảm thiểu dữ liệu</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lưu ảnh gốc sau khi tạo template ({{có/không}}); làm mờ người không liên quan khi xuất video; nhận diện khuôn mặt tắt mặc định trên camera hướng khu vực công cộng</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Hướng dẫn cấu hình; biên bản bàn giao</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Tự động xóa</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thời hạn tại Phụ lục 1; xóa template khi người lao động nghỉ việc</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xóa</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Chống giả mạo</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Kiểm tra người thật (liveness) khi nhận diện khuôn mặt</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kiểm thử</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Vá lỗi, cập nhật</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Cập nhật firmware, phần mềm theo </w:t>
            </w:r>
            <w:r>
              <w:rPr>
                <w:rFonts w:ascii="Times New Roman" w:cs="Times New Roman" w:eastAsia="Times New Roman" w:hAnsi="Times New Roman"/>
                <w:b w:val="false"/>
                <w:bCs w:val="false"/>
                <w:i w:val="false"/>
                <w:iCs w:val="false"/>
                <w:sz w:val="24"/>
                <w:szCs w:val="24"/>
                <w:highlight w:val="yellow"/>
              </w:rPr>
              <w:t xml:space="preserve">bản tin bảo mật hằng quý</w:t>
            </w:r>
            <w:r>
              <w:rPr>
                <w:rFonts w:ascii="Times New Roman" w:cs="Times New Roman" w:eastAsia="Times New Roman" w:hAnsi="Times New Roman"/>
                <w:b w:val="false"/>
                <w:bCs w:val="false"/>
                <w:i w:val="false"/>
                <w:iCs w:val="false"/>
                <w:sz w:val="24"/>
                <w:szCs w:val="24"/>
              </w:rPr>
              <w:t xml:space="preserve">; thông báo lỗ hổng nghiêm trọng trong </w:t>
            </w:r>
            <w:r>
              <w:rPr>
                <w:rFonts w:ascii="Times New Roman" w:cs="Times New Roman" w:eastAsia="Times New Roman" w:hAnsi="Times New Roman"/>
                <w:b w:val="false"/>
                <w:bCs w:val="false"/>
                <w:i w:val="false"/>
                <w:iCs w:val="false"/>
                <w:sz w:val="24"/>
                <w:szCs w:val="24"/>
                <w:highlight w:val="yellow"/>
              </w:rPr>
              <w:t xml:space="preserve">03</w:t>
            </w:r>
            <w:r>
              <w:rPr>
                <w:rFonts w:ascii="Times New Roman" w:cs="Times New Roman" w:eastAsia="Times New Roman" w:hAnsi="Times New Roman"/>
                <w:b w:val="false"/>
                <w:bCs w:val="false"/>
                <w:i w:val="false"/>
                <w:iCs w:val="false"/>
                <w:sz w:val="24"/>
                <w:szCs w:val="24"/>
              </w:rPr>
              <w:t xml:space="preserve"> ngày</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 tin bảo mật; lịch sử cập nhật</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Nhân sự</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Cam kết bảo mật; đào tạo bảo vệ dữ liệu cá nhân hằng năm</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Danh sách đã ký, đã đào tạo</w:t>
            </w:r>
          </w:p>
        </w:tc>
      </w:tr>
      <w:tr>
        <w:trPr>
          <w:cantSplit/>
          <w:tblHeader w:val="false"/>
        </w:trPr>
        <w:tc>
          <w:tcPr>
            <w:tcW w:type="dxa" w:w="13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w:t>
            </w:r>
          </w:p>
        </w:tc>
        <w:tc>
          <w:tcPr>
            <w:tcW w:type="dxa" w:w="4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tuân thủ bảo vệ dữ liệu cá nhân của hệ thống trí tuệ nhân tạo định kỳ 01 năm/lần (điểm đ khoản 5 Điều 10 Nghị định số 356/2025/NĐ-CP)</w:t>
            </w:r>
          </w:p>
        </w:tc>
        <w:tc>
          <w:tcPr>
            <w:tcW w:type="dxa" w:w="3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cáo đánh giá năm gần nhất</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Phụ lục 3. Danh sách bên xử lý phụ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2279"/>
        <w:gridCol w:w="772"/>
        <w:gridCol w:w="2626"/>
        <w:gridCol w:w="787"/>
        <w:gridCol w:w="630"/>
        <w:gridCol w:w="1301"/>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22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Tên tổ chức</w:t>
            </w:r>
          </w:p>
        </w:tc>
        <w:tc>
          <w:tcPr>
            <w:tcW w:type="dxa" w:w="7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Mã số thuế</w:t>
            </w:r>
          </w:p>
        </w:tc>
        <w:tc>
          <w:tcPr>
            <w:tcW w:type="dxa" w:w="262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Dịch vụ</w:t>
            </w:r>
          </w:p>
        </w:tc>
        <w:tc>
          <w:tcPr>
            <w:tcW w:type="dxa" w:w="7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Dữ liệu tiếp cận</w:t>
            </w:r>
          </w:p>
        </w:tc>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Nơi xử lý</w:t>
            </w:r>
          </w:p>
        </w:tc>
        <w:tc>
          <w:tcPr>
            <w:tcW w:type="dxa" w:w="13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Đầu mối bảo vệ dữ liệu cá nhân</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22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Công ty TNHH Lắp đặt Mẫu (đại lý lắp đặt)</w:t>
            </w:r>
          </w:p>
        </w:tc>
        <w:tc>
          <w:tcPr>
            <w:tcW w:type="dxa" w:w="7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62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{{thuê hạ tầng cloud/lắp đặt/bảo hành}}</w:t>
            </w:r>
          </w:p>
        </w:tc>
        <w:tc>
          <w:tcPr>
            <w:tcW w:type="dxa" w:w="7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3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Phụ lục thỏa thuận xử lý dữ liệu cá nhân (DPA) — hợp đồng cung cấp giải pháp AI vision</dc:title>
  <dc:creator>vn-cyber-compliance</dc:creator>
  <cp:lastModifiedBy>Un-named</cp:lastModifiedBy>
  <cp:revision>1</cp:revision>
  <dcterms:created xsi:type="dcterms:W3CDTF">2026-09-29T04:56:25.915Z</dcterms:created>
  <dcterms:modified xsi:type="dcterms:W3CDTF">2026-09-29T04:56:25.915Z</dcterms:modified>
</cp:coreProperties>
</file>

<file path=docProps/custom.xml><?xml version="1.0" encoding="utf-8"?>
<Properties xmlns="http://schemas.openxmlformats.org/officeDocument/2006/custom-properties" xmlns:vt="http://schemas.openxmlformats.org/officeDocument/2006/docPropsVTypes"/>
</file>