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MẪU QUYẾT ĐỊNH — Biến thể A: Thành lập Hội đồng thẩm định độc lập</w:t>
      </w: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1"/>
        <w:gridCol w:w="5234"/>
      </w:tblGrid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327" w:right="1327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047" w:right="1047"/>
            </w:pPr>
          </w:p>
        </w:tc>
      </w:tr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18/2026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/QĐ-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TURBO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, ngày ... tháng ... năm ...</w:t>
            </w:r>
          </w:p>
        </w:tc>
      </w:tr>
    </w:tbl>
    <w:p>
      <w:pPr>
        <w:spacing w:after="120" w:before="0" w:line="276" w:lineRule="auto"/>
        <w:jc w:val="both"/>
      </w:pPr>
    </w:p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QUYẾT ĐỊNH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Về việc thành lập Hội đồng thẩm định độc lập Hồ sơ đề xuất cấp độ hệ thống thông tin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TỔNG GIÁM ĐỐC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CÔNG TY CỔ PHẦN GIẢI PHÁP CÔNG NGHỆ TURBO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Luật An ninh mạng số 116/2025/QH15;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Nghị định số 331/2026/NĐ-CP ngày 19 tháng 8 năm 2026 của Chính phủ về bảo vệ an ninh mạng đối với hệ thống thông tin;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Điều lệ 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Quyết định số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16/2026/QĐ-TURBO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về việc chỉ định đơn vị chuyên trách về an ninh mạng và Quyết định số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17/2026/QĐ-TURBO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về việc giao đơn vị vận hành hệ thống thông tin;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Xét Tờ trình số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22/2026/TTr-PANM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ngày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15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của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.</w:t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QUYẾT ĐỊNH: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1. Thành lập Hội đồng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Thành lập Hội đồng thẩm định độc lập Hồ sơ đề xuất cấp độ hệ thống thông tin (sau đây gọi là Hội đồng) theo điểm b khoản 4 Điều 18 Nghị định số 331/2026/NĐ-CP, gồm: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490"/>
        <w:gridCol w:w="1125"/>
        <w:gridCol w:w="1782"/>
        <w:gridCol w:w="3136"/>
        <w:gridCol w:w="1492"/>
      </w:tblGrid>
      <w:tr>
        <w:trPr>
          <w:cantSplit/>
          <w:tblHeader/>
        </w:trPr>
        <w:tc>
          <w:tcPr>
            <w:tcW w:type="dxa" w:w="1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1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Họ tên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Đơn vị/Chức vụ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Vai trò trong Hội đồng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Lĩnh vực</w:t>
            </w:r>
          </w:p>
        </w:tc>
      </w:tr>
      <w:tr>
        <w:trPr>
          <w:cantSplit/>
          <w:tblHeader w:val="false"/>
        </w:trPr>
        <w:tc>
          <w:tcPr>
            <w:tcW w:type="dxa" w:w="1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Vũ Hải Long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Phó Tổng Giám đốc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Chủ tịch Hội đồng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Dịch vụ công nghệ thông tin</w:t>
            </w:r>
          </w:p>
        </w:tc>
      </w:tr>
      <w:tr>
        <w:trPr>
          <w:cantSplit/>
          <w:tblHeader w:val="false"/>
        </w:trPr>
        <w:tc>
          <w:tcPr>
            <w:tcW w:type="dxa" w:w="1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Hoàng Quốc Em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Ban Kiểm soát nội bộ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Phó Chủ tịch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Ngô Thanh Hà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Chuyên gia độc lập (bên ngoài)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Ủy viên phản biện 1 (an ninh mạng)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Bùi Minh Khoa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Phòng Pháp chế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Ủy viên phản biện 2 (nghiệp vụ/pháp chế)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Đặng Thu Lan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Phòng Tài chính – Kế toán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Ủy viên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Mai Ngọc Hân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Ban Kiểm soát nội bộ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Thư ký (không biểu quyết)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2. Nhiệm vụ, nguyên tắc làm việc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Hội đồng thẩm định Hồ sơ đề xuất cấp độ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đối với hệ thống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do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lập, theo nội dung tại khoản 1 Điều 23 Nghị định số 331/2026/NĐ-CP.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Nguyên tắc độc lập: a) Thành viên Hội đồng không tham gia lập hồ sơ, thiết kế, triển khai, quản trị, vận hành hệ thống được thẩm định; không có quan hệ hợp đồng, lợi ích với nhà thầu cung cấp giải pháp cho hệ thống; b) Mỗi thành viên ký Cam kết độc lập, không xung đột lợi ích và bảo mật thông tin trước phiên họp đầu tiên; thành viên phát sinh xung đột phải báo cáo và rút khỏi Hội đồng; c) Đơn vị vận hành, đơn vị chuyên trách an ninh mạng tham dự để giải trình, không biểu quyết.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Hội đồng làm việc theo chế độ tập thể; phiên họp hợp lệ khi có ít nhất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2/3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thành viên (trong đó có Chủ tịch hoặc Phó Chủ tịch và ít nhất 01 ủy viên phản biện an ninh mạng); kết luận theo đa số, ý kiến khác được ghi vào biên bản.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Thời hạn: phản hồi hồ sơ chưa hợp lệ trong 05 ngày làm việc kể từ ngày nhận hồ sơ; hoàn thành thẩm định trong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10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ngày làm việc (không quá 15 ngày làm việc đối với hồ sơ đề xuất cấp độ 3) kể từ ngày nhận đủ hồ sơ hợp lệ.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 Sản phẩm: Ý kiến thẩm định theo Mẫu số 04 Phụ lục Nghị định số 331/2026/NĐ-CP; biên bản họp; phiếu nhận xét của ủy viên phản biện. Đối với hồ sơ cấp độ 1, 2: Hội đồng trình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(hoặc chủ quản — ghi rõ)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phê duyệt; đối với hồ sơ cấp độ 3: gửi kết quả để đơn vị vận hành trình chủ quản phê duyệt.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3. Kinh phí, điều kiện làm việc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làm thường trực, bảo đảm hồ sơ, tài liệu, quyền truy cập môi trường kiểm tra (nếu cần) và kinh phí theo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Quy chế tài chính của Công 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4. Hiệu lực và trách nhiệm thi hành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Quyết định có hiệu lực từ ngày ký; Hội đồng tự giải thể sau khi hoàn thành nhiệm vụ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(hoặc: hoạt động thường trực đến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15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cho các hồ sơ thuộc phạm vi chủ quản)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Các thành viên Hội đồng,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chịu trách nhiệm thi hành.</w:t>
      </w: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61"/>
        <w:gridCol w:w="4964"/>
      </w:tblGrid>
      <w:tr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Như Điều 4;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Lưu: VT,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PANM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</w:t>
            </w:r>
          </w:p>
        </w:tc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TỔNG GIÁM ĐỐC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tên, đóng dấu)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Nguyễn Văn An</w:t>
            </w:r>
          </w:p>
        </w:tc>
      </w:tr>
    </w:tbl>
    <w:p>
      <w:r>
        <w:br w:type="page"/>
      </w: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MẪU QUYẾT ĐỊNH — Biến thể B: Giao đơn vị trực thuộc chủ trì thẩm định (Đ18.4.a)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Thay Điều 1–2 của Biến thể A bằng:</w:t>
      </w:r>
    </w:p>
    <w:p>
      <w:pPr>
        <w:pBdr>
          <w:left w:val="single" w:color="999999" w:sz="12" w:space="8"/>
        </w:pBdr>
        <w:spacing w:after="120" w:before="0" w:line="276" w:lineRule="auto"/>
        <w:ind w:left="283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Điều 1.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Giao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Ban Kiểm soát nội bộ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(đơn vị trực thuộc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, không tham gia quản lý, vận hành hệ thống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Hệ thống quản lý khách hàng trực tuyến (CRM Online)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) chủ trì, tổ chức thẩm định Hồ sơ đề xuất cấp độ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của hệ thống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Hệ thống quản lý khách hàng trực tuyến (CRM Online)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theo điểm a khoản 4 Điều 18 Nghị định số 331/2026/NĐ-CP. 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Điều 2.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Ban Kiểm soát nội bộ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được mời chuyên gia độc lập tham gia; bảo đảm các nguyên tắc độc lập tại [nêu như khoản 2 Điều 2 Biến thể A]; hoàn thành trong thời hạn [như khoản 4 Điều 2 Biến thể A].</w:t>
      </w:r>
    </w:p>
    <w:p>
      <w:r>
        <w:br w:type="page"/>
      </w: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Phụ lục — Mẫu Cam kết độc lập, không xung đột lợi ích</w:t>
      </w:r>
    </w:p>
    <w:p>
      <w:pPr>
        <w:pBdr>
          <w:left w:val="single" w:color="999999" w:sz="12" w:space="8"/>
        </w:pBdr>
        <w:spacing w:after="120" w:before="0" w:line="276" w:lineRule="auto"/>
        <w:ind w:lef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Tôi,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Ngô Thanh Hà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, thành viên Hội đồng thẩm định theo Quyết định số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18/2026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, cam kết: (1) không tham gia lập hồ sơ, thiết kế, triển khai, quản trị, vận hành hệ thống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Hệ thống quản lý khách hàng trực tuyến (CRM Online)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trong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12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tháng gần nhất; (2) không có quan hệ hợp đồng, sở hữu, lợi ích với nhà thầu/nhà cung cấp giải pháp cho hệ thống; (3) bảo mật thông tin hồ sơ (sơ đồ mạng, địa chỉ IP, cấu hình) theo Quy chế bảo đảm ANM; (4) báo cáo ngay khi phát sinh xung đột. Ký tên, ngày.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Quyết định thành lập Hội đồng thẩm định độc lập hồ sơ đề xuất cấp độ</dc:title>
  <dc:creator>vn-cyber-compliance</dc:creator>
  <cp:lastModifiedBy>Un-named</cp:lastModifiedBy>
  <cp:revision>1</cp:revision>
  <dcterms:created xsi:type="dcterms:W3CDTF">2026-09-24T10:26:33.655Z</dcterms:created>
  <dcterms:modified xsi:type="dcterms:W3CDTF">2026-09-24T10:26:33.655Z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