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An ninh mạng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04/2026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PANM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15</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triển khai lưu trữ dữ liệu tại Việt Nam, lưu trữ nhật ký hệ thống và tiếp nhận yêu cầu của lực lượng chuyên trách bảo vệ an ninh mạng</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333/2026/NĐ-CP ngày 19 tháng 8 năm 2026 của Chính phủ quy định chi tiết một số điều và biện pháp thi hành Luật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330/2026/NĐ-CP ngày 19 tháng 8 năm 2026 của Chính phủ quy định xử phạt vi phạm hành chính trong lĩnh vực an ninh mạng và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 phương án đáp ứng các nghĩa vụ về lưu trữ dữ liệu, nhật ký hệ thống, xác thực tài khoản và tiếp nhận yêu cầu của lực lượng chuyên trách bảo vệ an ninh mạng đối với dịch vụ </w:t>
      </w:r>
      <w:r>
        <w:rPr>
          <w:rFonts w:ascii="Times New Roman" w:cs="Times New Roman" w:eastAsia="Times New Roman" w:hAnsi="Times New Roman"/>
          <w:b w:val="false"/>
          <w:bCs w:val="false"/>
          <w:i w:val="false"/>
          <w:iCs w:val="false"/>
          <w:sz w:val="26"/>
          <w:szCs w:val="26"/>
          <w:highlight w:val="yellow"/>
        </w:rPr>
        <w:t xml:space="preserve">CRM Online</w:t>
      </w:r>
      <w:r>
        <w:rPr>
          <w:rFonts w:ascii="Times New Roman" w:cs="Times New Roman" w:eastAsia="Times New Roman" w:hAnsi="Times New Roman"/>
          <w:b w:val="false"/>
          <w:bCs w:val="false"/>
          <w:i w:val="false"/>
          <w:iCs w:val="false"/>
          <w:sz w:val="26"/>
          <w:szCs w:val="26"/>
        </w:rPr>
        <w:t xml:space="preserve">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Luật 116 là Luật An ninh mạng; NĐ 330, NĐ 333 là các Nghị định số 330/2026/NĐ-CP, 333/2026/NĐ-CP; ANM là an ninh mạng; "lực lượng chuyên trách" là lực lượng chuyên trách bảo vệ ANM thuộc Bộ Công an. "Đ16.6.c" nghĩa là điểm c khoản 6 Điều 16.</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Đối tượng áp dụng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Các nghĩa vụ dưới đây áp dụng cho doanh nghiệp trong nước và nước ngoài khi cung cấp dịch vụ trên mạng viễn thông, mạng Internet, các dịch vụ gia tăng trên không gian mạng tại Việt Nam (Luật 116 Đ25.2–25.3; NĐ 333 Đ16.1). NĐ 333 định nghĩa các loại dịch vụ này bằng cách dẫn chiếu pháp luật viễn thông: dịch vụ trên mạng viễn thông gồm dịch vụ viễn thông và dịch vụ ứng dụng viễn thông; dịch vụ trên mạng Internet gồm dịch vụ Internet và dịch vụ nội dung thông tin trên mạng viễn thông di động; dịch vụ gia tăng là dịch vụ viễn thông giá trị gia tăng (NĐ 333 Đ3.3–3.5).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Dịch vụ </w:t>
      </w:r>
      <w:r>
        <w:rPr>
          <w:rFonts w:ascii="Times New Roman" w:cs="Times New Roman" w:eastAsia="Times New Roman" w:hAnsi="Times New Roman"/>
          <w:b w:val="false"/>
          <w:bCs w:val="false"/>
          <w:i w:val="false"/>
          <w:iCs w:val="false"/>
          <w:sz w:val="26"/>
          <w:szCs w:val="26"/>
          <w:highlight w:val="yellow"/>
        </w:rPr>
        <w:t xml:space="preserve">CRM Online</w:t>
      </w:r>
      <w:r>
        <w:rPr>
          <w:rFonts w:ascii="Times New Roman" w:cs="Times New Roman" w:eastAsia="Times New Roman" w:hAnsi="Times New Roman"/>
          <w:b w:val="false"/>
          <w:bCs w:val="false"/>
          <w:i w:val="false"/>
          <w:iCs w:val="false"/>
          <w:sz w:val="26"/>
          <w:szCs w:val="26"/>
        </w:rPr>
        <w:t xml:space="preserve">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Cổng tự phục vụ khách hàng (tra cứu hợp đồng, gửi yêu cầu hỗ trợ)</w:t>
      </w:r>
      <w:r>
        <w:rPr>
          <w:rFonts w:ascii="Times New Roman" w:cs="Times New Roman" w:eastAsia="Times New Roman" w:hAnsi="Times New Roman"/>
          <w:b w:val="false"/>
          <w:bCs w:val="false"/>
          <w:i w:val="false"/>
          <w:iCs w:val="false"/>
          <w:sz w:val="26"/>
          <w:szCs w:val="26"/>
        </w:rPr>
        <w:t xml:space="preserve">. Kết luận sơ bộ của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về việc thuộc diện áp dụng: </w:t>
      </w:r>
      <w:r>
        <w:rPr>
          <w:rFonts w:ascii="Times New Roman" w:cs="Times New Roman" w:eastAsia="Times New Roman" w:hAnsi="Times New Roman"/>
          <w:b w:val="false"/>
          <w:bCs w:val="false"/>
          <w:i w:val="false"/>
          <w:iCs w:val="false"/>
          <w:sz w:val="26"/>
          <w:szCs w:val="26"/>
          <w:highlight w:val="yellow"/>
        </w:rPr>
        <w:t xml:space="preserve">chưa kết luận — đang đối chiếu Luật Viễn thông, dự kiến xin ý kiến cơ quan có thẩm quyền</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Các nghĩa vụ chính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894"/>
        <w:gridCol w:w="2954"/>
        <w:gridCol w:w="2505"/>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8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Nghĩa vụ</w:t>
            </w:r>
          </w:p>
        </w:tc>
        <w:tc>
          <w:tcPr>
            <w:tcW w:type="dxa" w:w="295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 mức yêu cầu</w:t>
            </w:r>
          </w:p>
        </w:tc>
        <w:tc>
          <w:tcPr>
            <w:tcW w:type="dxa" w:w="250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Xác thực thông tin người dùng khi đăng ký tài khoản số, bằng số điện thoại di động tại Việt Nam; không có số di động Việt Nam thì bằng số định danh cá nhân hoặc phương thức định danh điện tử hợp pháp khác; chỉ tài khoản đã xác thực mới được đăng tải, chia sẻ, tương tác</w:t>
            </w:r>
          </w:p>
        </w:tc>
        <w:tc>
          <w:tcPr>
            <w:tcW w:type="dxa" w:w="2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Tại thời điểm đăng ký</w:t>
            </w:r>
          </w:p>
        </w:tc>
        <w:tc>
          <w:tcPr>
            <w:tcW w:type="dxa" w:w="25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333 Đ16.2; Luật 116 Đ25.2.a</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Cung cấp thông tin người dùng cho lực lượng chuyên trách khi có yêu cầu hợp lệ</w:t>
            </w:r>
          </w:p>
        </w:tc>
        <w:tc>
          <w:tcPr>
            <w:tcW w:type="dxa" w:w="2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Chậm nhất 24 giờ; khẩn cấp chậm nhất 03 giờ</w:t>
            </w:r>
          </w:p>
        </w:tc>
        <w:tc>
          <w:tcPr>
            <w:tcW w:type="dxa" w:w="25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333 Đ16.3; Luật 116 Đ25.2.a</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Ngăn chặn, xóa bỏ thông tin, gỡ bỏ dịch vụ, ứng dụng vi phạm theo yêu cầu của lực lượng chuyên trách</w:t>
            </w:r>
          </w:p>
        </w:tc>
        <w:tc>
          <w:tcPr>
            <w:tcW w:type="dxa" w:w="2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Chậm nhất 24 giờ; khẩn cấp chậm nhất 06 giờ</w:t>
            </w:r>
          </w:p>
        </w:tc>
        <w:tc>
          <w:tcPr>
            <w:tcW w:type="dxa" w:w="25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333 Đ16.4.a–b; Luật 116 Đ25.2.b</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Lưu trữ nhật ký hệ thống, tối thiểu gồm: tài khoản người dùng, thời gian đăng nhập và đăng xuất, địa chỉ IP, cổng nguồn khi đăng nhập và đăng xuất, nhật ký xử lý thông tin được đăng tải</w:t>
            </w:r>
          </w:p>
        </w:tc>
        <w:tc>
          <w:tcPr>
            <w:tcW w:type="dxa" w:w="2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Truy xuất được ít nhất 12 tháng</w:t>
            </w:r>
          </w:p>
        </w:tc>
        <w:tc>
          <w:tcPr>
            <w:tcW w:type="dxa" w:w="25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333 Đ16.6, Đ20.3</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2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Lưu trữ tại Việt Nam thông tin cá nhân của người dùng tại Việt Nam và dữ liệu do họ tạo ra (tên tài khoản, thời gian sử dụng, thông tin thẻ tín dụng, thư điện tử, địa chỉ IP đăng nhập, đăng xuất gần nhất, số điện thoại đăng ký)</w:t>
            </w:r>
          </w:p>
        </w:tc>
        <w:tc>
          <w:tcPr>
            <w:tcW w:type="dxa" w:w="2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Doanh nghiệp trong nước: lưu tại Việt Nam; thời gian lưu tối thiểu 24 tháng (Đ20.1 tính "từ khi nhận được yêu cầu", xem Hướng dẫn điền)</w:t>
            </w:r>
          </w:p>
        </w:tc>
        <w:tc>
          <w:tcPr>
            <w:tcW w:type="dxa" w:w="25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333 Đ19.1–19.2, Đ20.1; Luật 116 Đ25.3</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2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Hình thức lưu trữ do doanh nghiệp tự quyết định, nhưng phải truy xuất, cung cấp kịp thời khi có yêu cầu và bảo đảm an toàn thông tin theo tiêu chuẩn, quy chuẩn quốc gia</w:t>
            </w:r>
          </w:p>
        </w:tc>
        <w:tc>
          <w:tcPr>
            <w:tcW w:type="dxa" w:w="2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Thường xuyên</w:t>
            </w:r>
          </w:p>
        </w:tc>
        <w:tc>
          <w:tcPr>
            <w:tcW w:type="dxa" w:w="25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333 Đ19.5</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7</w:t>
            </w:r>
          </w:p>
        </w:tc>
        <w:tc>
          <w:tcPr>
            <w:tcW w:type="dxa" w:w="2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Lưu trữ thông tin cá nhân và dữ liệu người dùng sau khi người dùng kết thúc sử dụng dịch vụ</w:t>
            </w:r>
          </w:p>
        </w:tc>
        <w:tc>
          <w:tcPr>
            <w:tcW w:type="dxa" w:w="29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Trong thời gian theo quy định của pháp luật</w:t>
            </w:r>
          </w:p>
        </w:tc>
        <w:tc>
          <w:tcPr>
            <w:tcW w:type="dxa" w:w="250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116 Đ25.2.d</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Doanh nghiệp nước ngoài thuộc 11 lĩnh vực tại NĐ 333 Đ19.3.a phải lưu trữ dữ liệu và đặt chi nhánh hoặc văn phòng đại diện tại Việt Nam khi có quyết định của Bộ trưởng Bộ Công an, và hoàn thành trong 12 tháng kể từ ngày có quyết định (NĐ 333 Đ19.6).</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Hiện trạng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3913"/>
        <w:gridCol w:w="4397"/>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STT</w:t>
            </w:r>
          </w:p>
        </w:tc>
        <w:tc>
          <w:tcPr>
            <w:tcW w:type="dxa" w:w="39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43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Hiện trạng dịch vụ </w:t>
            </w:r>
            <w:r>
              <w:rPr>
                <w:rFonts w:ascii="Times New Roman" w:cs="Times New Roman" w:eastAsia="Times New Roman" w:hAnsi="Times New Roman"/>
                <w:b/>
                <w:bCs/>
                <w:i w:val="false"/>
                <w:iCs w:val="false"/>
                <w:sz w:val="24"/>
                <w:szCs w:val="24"/>
                <w:highlight w:val="yellow"/>
              </w:rPr>
              <w:t xml:space="preserve">CRM Online</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39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Vị trí lưu trữ dữ liệu người dùng (trong nước hay nước ngoài; nhà cung cấp; vùng)</w:t>
            </w:r>
          </w:p>
        </w:tc>
        <w:tc>
          <w:tcPr>
            <w:tcW w:type="dxa" w:w="43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TTDL Công ty TNHH Dữ liệu Mẫu, TP. Hồ Chí Minh; riêng thư điện tử giao dịch gửi qua dịch vụ đặt tại Singapore</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39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Thời gian lưu và các trường của nhật ký đăng nhập, xử lý nội dung</w:t>
            </w:r>
          </w:p>
        </w:tc>
        <w:tc>
          <w:tcPr>
            <w:tcW w:type="dxa" w:w="43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Lưu 03 tháng; thiếu trường cổng nguồn</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39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Phương thức xác thực tài khoản khi đăng ký</w:t>
            </w:r>
          </w:p>
        </w:tc>
        <w:tc>
          <w:tcPr>
            <w:tcW w:type="dxa" w:w="43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Xác thực email; chưa xác thực số điện thoại</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39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Đầu mối, quy trình tiếp nhận yêu cầu của lực lượng chuyên trách ngoài giờ hành chính</w:t>
            </w:r>
          </w:p>
        </w:tc>
        <w:tc>
          <w:tcPr>
            <w:tcW w:type="dxa" w:w="43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có đầu mối ngoài giờ</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39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thử truy xuất dữ liệu và nhật ký gần nhất</w:t>
            </w:r>
          </w:p>
        </w:tc>
        <w:tc>
          <w:tcPr>
            <w:tcW w:type="dxa" w:w="43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Chưa kiểm thử</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Rủi ro nếu không thực hiện (mức phạt tổ chức)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583"/>
        <w:gridCol w:w="1383"/>
        <w:gridCol w:w="1773"/>
        <w:gridCol w:w="3286"/>
      </w:tblGrid>
      <w:tr>
        <w:trPr>
          <w:cantSplit/>
          <w:tblHeader/>
        </w:trPr>
        <w:tc>
          <w:tcPr>
            <w:tcW w:type="dxa" w:w="258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Hành vi</w:t>
            </w:r>
          </w:p>
        </w:tc>
        <w:tc>
          <w:tcPr>
            <w:tcW w:type="dxa" w:w="138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Mức phạt tổ chức (đồng)</w:t>
            </w:r>
          </w:p>
        </w:tc>
        <w:tc>
          <w:tcPr>
            <w:tcW w:type="dxa" w:w="328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Biện pháp khác</w:t>
            </w:r>
          </w:p>
        </w:tc>
      </w:tr>
      <w:tr>
        <w:trPr>
          <w:cantSplit/>
          <w:tblHeader w:val="false"/>
        </w:trPr>
        <w:tc>
          <w:tcPr>
            <w:tcW w:type="dxa" w:w="25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xác thực thông tin khi người dùng đăng ký tài khoản số; không bảo mật thông tin, tài khoản người dùng</w:t>
            </w:r>
          </w:p>
        </w:tc>
        <w:tc>
          <w:tcPr>
            <w:tcW w:type="dxa" w:w="13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Đ29.1</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60–100 triệu</w:t>
            </w:r>
          </w:p>
        </w:tc>
        <w:tc>
          <w:tcPr>
            <w:tcW w:type="dxa" w:w="32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thực hiện biện pháp bảo đảm an ninh thông tin mạng (Đ29.3.a)</w:t>
            </w:r>
          </w:p>
        </w:tc>
      </w:tr>
      <w:tr>
        <w:trPr>
          <w:cantSplit/>
          <w:tblHeader w:val="false"/>
        </w:trPr>
        <w:tc>
          <w:tcPr>
            <w:tcW w:type="dxa" w:w="25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cung cấp hoặc cung cấp chậm quá 24 giờ thông tin người dùng khi có yêu cầu bằng văn bản, không có lý do chính đáng</w:t>
            </w:r>
          </w:p>
        </w:tc>
        <w:tc>
          <w:tcPr>
            <w:tcW w:type="dxa" w:w="13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Đ30.1.a</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50–100 triệu</w:t>
            </w:r>
          </w:p>
        </w:tc>
        <w:tc>
          <w:tcPr>
            <w:tcW w:type="dxa" w:w="32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thực hiện biện pháp (Đ30.2)</w:t>
            </w:r>
          </w:p>
        </w:tc>
      </w:tr>
      <w:tr>
        <w:trPr>
          <w:cantSplit/>
          <w:tblHeader w:val="false"/>
        </w:trPr>
        <w:tc>
          <w:tcPr>
            <w:tcW w:type="dxa" w:w="25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ngăn chặn, xóa bỏ thông tin, gỡ bỏ dịch vụ, ứng dụng vi phạm trong 24 giờ (khẩn cấp 06 giờ) và lưu nhật ký hệ thống</w:t>
            </w:r>
          </w:p>
        </w:tc>
        <w:tc>
          <w:tcPr>
            <w:tcW w:type="dxa" w:w="13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Đ29.2.a</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100–140 triệu</w:t>
            </w:r>
          </w:p>
        </w:tc>
        <w:tc>
          <w:tcPr>
            <w:tcW w:type="dxa" w:w="32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ngừng cung cấp dịch vụ tại Việt Nam; buộc xóa khỏi kho ứng dụng (Đ29.3.b–c)</w:t>
            </w:r>
          </w:p>
        </w:tc>
      </w:tr>
      <w:tr>
        <w:trPr>
          <w:cantSplit/>
          <w:tblHeader w:val="false"/>
        </w:trPr>
        <w:tc>
          <w:tcPr>
            <w:tcW w:type="dxa" w:w="25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áp dụng biện pháp bảo vệ dữ liệu và lưu trữ dữ liệu tại Việt Nam khi thu thập, xử lý dữ liệu người dùng tại Việt Nam</w:t>
            </w:r>
          </w:p>
        </w:tc>
        <w:tc>
          <w:tcPr>
            <w:tcW w:type="dxa" w:w="13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Đ29.2.c</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100–140 triệu</w:t>
            </w:r>
          </w:p>
        </w:tc>
        <w:tc>
          <w:tcPr>
            <w:tcW w:type="dxa" w:w="32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thực hiện biện pháp (Đ29.3.a)</w:t>
            </w:r>
          </w:p>
        </w:tc>
      </w:tr>
      <w:tr>
        <w:trPr>
          <w:cantSplit/>
          <w:tblHeader w:val="false"/>
        </w:trPr>
        <w:tc>
          <w:tcPr>
            <w:tcW w:type="dxa" w:w="25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lưu trữ dữ liệu hoặc lưu trữ dữ liệu nhạy cảm về an ninh quốc gia không đầy đủ</w:t>
            </w:r>
          </w:p>
        </w:tc>
        <w:tc>
          <w:tcPr>
            <w:tcW w:type="dxa" w:w="13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Đ33.1.a</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60–100 triệu</w:t>
            </w:r>
          </w:p>
        </w:tc>
        <w:tc>
          <w:tcPr>
            <w:tcW w:type="dxa" w:w="32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lưu trữ; buộc ngừng cung cấp dịch vụ tại Việt Nam (Đ33.3)</w:t>
            </w:r>
          </w:p>
        </w:tc>
      </w:tr>
      <w:tr>
        <w:trPr>
          <w:cantSplit/>
          <w:tblHeader w:val="false"/>
        </w:trPr>
        <w:tc>
          <w:tcPr>
            <w:tcW w:type="dxa" w:w="25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bảo đảm thời gian lưu trữ nhật ký hệ thống phục vụ điều tra</w:t>
            </w:r>
          </w:p>
        </w:tc>
        <w:tc>
          <w:tcPr>
            <w:tcW w:type="dxa" w:w="13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Đ33.1.c</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60–100 triệu</w:t>
            </w:r>
          </w:p>
        </w:tc>
        <w:tc>
          <w:tcPr>
            <w:tcW w:type="dxa" w:w="32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trên</w:t>
            </w:r>
          </w:p>
        </w:tc>
      </w:tr>
      <w:tr>
        <w:trPr>
          <w:cantSplit/>
          <w:tblHeader w:val="false"/>
        </w:trPr>
        <w:tc>
          <w:tcPr>
            <w:tcW w:type="dxa" w:w="25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lưu trữ thông tin thiết bị, địa chỉ IP, thời gian đăng nhập của tài khoản số tối thiểu 90 ngày</w:t>
            </w:r>
          </w:p>
        </w:tc>
        <w:tc>
          <w:tcPr>
            <w:tcW w:type="dxa" w:w="13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Đ34.1.c</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40–60 triệu</w:t>
            </w:r>
          </w:p>
        </w:tc>
        <w:tc>
          <w:tcPr>
            <w:tcW w:type="dxa" w:w="32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Buộc khôi phục tình trạng ban đầu (Đ34.3)</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ghi trong NĐ 330 cho lĩnh vực ANM là mức cho cá nhân; tổ chức bị phạt gấp hai lần (NĐ 330 Đ7.1). Bảng trên đã quy đổi. Rủi ro lớn nhất về kinh doanh là biện pháp </w:t>
      </w:r>
      <w:r>
        <w:rPr>
          <w:rFonts w:ascii="Times New Roman" w:cs="Times New Roman" w:eastAsia="Times New Roman" w:hAnsi="Times New Roman"/>
          <w:b/>
          <w:bCs/>
          <w:i w:val="false"/>
          <w:iCs w:val="false"/>
          <w:sz w:val="26"/>
          <w:szCs w:val="26"/>
        </w:rPr>
        <w:t xml:space="preserve">buộc ngừng cung cấp dịch vụ tại Việt Nam</w:t>
      </w:r>
      <w:r>
        <w:rPr>
          <w:rFonts w:ascii="Times New Roman" w:cs="Times New Roman" w:eastAsia="Times New Roman" w:hAnsi="Times New Roman"/>
          <w:b w:val="false"/>
          <w:bCs w:val="false"/>
          <w:i w:val="false"/>
          <w:iCs w:val="false"/>
          <w:sz w:val="26"/>
          <w:szCs w:val="26"/>
        </w:rPr>
        <w:t xml:space="preserve"> (NĐ 330 Đ29.3.b, Đ33.3.b).</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Kết luận phạm vi áp dụng:</w:t>
      </w:r>
      <w:r>
        <w:rPr>
          <w:rFonts w:ascii="Times New Roman" w:cs="Times New Roman" w:eastAsia="Times New Roman" w:hAnsi="Times New Roman"/>
          <w:b w:val="false"/>
          <w:bCs w:val="false"/>
          <w:i w:val="false"/>
          <w:iCs w:val="false"/>
          <w:sz w:val="26"/>
          <w:szCs w:val="26"/>
        </w:rPr>
        <w:t xml:space="preserve"> giao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hoàn thiện ý kiến pháp lý, đối chiếu Luật Viễn thông; nếu cần thì xin ý kiến cơ quan có thẩm quyền. Trong thời gian chờ, áp dụng các biện pháp tại Mục II.2–II.5 theo hướng thận trọng.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Lưu trữ dữ liệu tại Việt Nam:</w:t>
      </w:r>
      <w:r>
        <w:rPr>
          <w:rFonts w:ascii="Times New Roman" w:cs="Times New Roman" w:eastAsia="Times New Roman" w:hAnsi="Times New Roman"/>
          <w:b w:val="false"/>
          <w:bCs w:val="false"/>
          <w:i w:val="false"/>
          <w:iCs w:val="false"/>
          <w:sz w:val="26"/>
          <w:szCs w:val="26"/>
        </w:rPr>
        <w:t xml:space="preserve"> lập danh mục dữ liệu thuộc NĐ 333 Đ19.1; bảo đảm các dữ liệu này được lưu tại Việt Nam (</w:t>
      </w:r>
      <w:r>
        <w:rPr>
          <w:rFonts w:ascii="Times New Roman" w:cs="Times New Roman" w:eastAsia="Times New Roman" w:hAnsi="Times New Roman"/>
          <w:b w:val="false"/>
          <w:bCs w:val="false"/>
          <w:i w:val="false"/>
          <w:iCs w:val="false"/>
          <w:sz w:val="26"/>
          <w:szCs w:val="26"/>
          <w:highlight w:val="yellow"/>
        </w:rPr>
        <w:t xml:space="preserve">máy chủ tại TTDL Công ty TNHH Dữ liệu Mẫu, TP. Hồ Chí Minh</w:t>
      </w:r>
      <w:r>
        <w:rPr>
          <w:rFonts w:ascii="Times New Roman" w:cs="Times New Roman" w:eastAsia="Times New Roman" w:hAnsi="Times New Roman"/>
          <w:b w:val="false"/>
          <w:bCs w:val="false"/>
          <w:i w:val="false"/>
          <w:iCs w:val="false"/>
          <w:sz w:val="26"/>
          <w:szCs w:val="26"/>
        </w:rPr>
        <w:t xml:space="preserve">); thời gian lưu tối thiểu 24 tháng; kiểm thử truy xuất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Nhật ký hệ thống:</w:t>
      </w:r>
      <w:r>
        <w:rPr>
          <w:rFonts w:ascii="Times New Roman" w:cs="Times New Roman" w:eastAsia="Times New Roman" w:hAnsi="Times New Roman"/>
          <w:b w:val="false"/>
          <w:bCs w:val="false"/>
          <w:i w:val="false"/>
          <w:iCs w:val="false"/>
          <w:sz w:val="26"/>
          <w:szCs w:val="26"/>
        </w:rPr>
        <w:t xml:space="preserve"> bổ sung đủ các trường tối thiểu tại NĐ 333 Đ16.6.b; lưu tập trung, bảo vệ toàn vẹn; thời gian lưu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không ngắn hơn 12 tháng.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Xác thực tài khoản:</w:t>
      </w:r>
      <w:r>
        <w:rPr>
          <w:rFonts w:ascii="Times New Roman" w:cs="Times New Roman" w:eastAsia="Times New Roman" w:hAnsi="Times New Roman"/>
          <w:b w:val="false"/>
          <w:bCs w:val="false"/>
          <w:i w:val="false"/>
          <w:iCs w:val="false"/>
          <w:sz w:val="26"/>
          <w:szCs w:val="26"/>
        </w:rPr>
        <w:t xml:space="preserve"> áp dụng xác thực bằng số điện thoại di động tại Việt Nam, hoặc số định danh cá nhân, phương thức định danh điện tử hợp pháp khác; tài khoản chưa xác thực không được đăng tải, chia sẻ, tương tác (NĐ 333 Đ16.2).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Tiếp nhận yêu cầu của lực lượng chuyên trách:</w:t>
      </w:r>
      <w:r>
        <w:rPr>
          <w:rFonts w:ascii="Times New Roman" w:cs="Times New Roman" w:eastAsia="Times New Roman" w:hAnsi="Times New Roman"/>
          <w:b w:val="false"/>
          <w:bCs w:val="false"/>
          <w:i w:val="false"/>
          <w:iCs w:val="false"/>
          <w:sz w:val="26"/>
          <w:szCs w:val="26"/>
        </w:rPr>
        <w:t xml:space="preserve"> thiết lập đầu mối thường trực, số điện thoại </w:t>
      </w:r>
      <w:r>
        <w:rPr>
          <w:rFonts w:ascii="Times New Roman" w:cs="Times New Roman" w:eastAsia="Times New Roman" w:hAnsi="Times New Roman"/>
          <w:b w:val="false"/>
          <w:bCs w:val="false"/>
          <w:i w:val="false"/>
          <w:iCs w:val="false"/>
          <w:sz w:val="26"/>
          <w:szCs w:val="26"/>
          <w:highlight w:val="yellow"/>
        </w:rPr>
        <w:t xml:space="preserve">028 1234 5699</w:t>
      </w:r>
      <w:r>
        <w:rPr>
          <w:rFonts w:ascii="Times New Roman" w:cs="Times New Roman" w:eastAsia="Times New Roman" w:hAnsi="Times New Roman"/>
          <w:b w:val="false"/>
          <w:bCs w:val="false"/>
          <w:i w:val="false"/>
          <w:iCs w:val="false"/>
          <w:sz w:val="26"/>
          <w:szCs w:val="26"/>
        </w:rPr>
        <w:t xml:space="preserve">, thư điện tử </w:t>
      </w:r>
      <w:r>
        <w:rPr>
          <w:rFonts w:ascii="Times New Roman" w:cs="Times New Roman" w:eastAsia="Times New Roman" w:hAnsi="Times New Roman"/>
          <w:b w:val="false"/>
          <w:bCs w:val="false"/>
          <w:i w:val="false"/>
          <w:iCs w:val="false"/>
          <w:sz w:val="26"/>
          <w:szCs w:val="26"/>
          <w:highlight w:val="yellow"/>
        </w:rPr>
        <w:t xml:space="preserve">yeucau-anm@example.vn</w:t>
      </w:r>
      <w:r>
        <w:rPr>
          <w:rFonts w:ascii="Times New Roman" w:cs="Times New Roman" w:eastAsia="Times New Roman" w:hAnsi="Times New Roman"/>
          <w:b w:val="false"/>
          <w:bCs w:val="false"/>
          <w:i w:val="false"/>
          <w:iCs w:val="false"/>
          <w:sz w:val="26"/>
          <w:szCs w:val="26"/>
        </w:rPr>
        <w:t xml:space="preserve">; ban hành quy trình xác thực yêu cầu, xử lý trong 24 giờ (03 giờ, 06 giờ khi khẩn cấp), ghi sổ theo dõi thời điểm nhận và thời điểm hoàn thành.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5291"/>
        <w:gridCol w:w="1531"/>
        <w:gridCol w:w="1531"/>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529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Đầu tư ban đầu (đồng)</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Chi phí hằng năm (đồng)</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52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Hạ tầng lưu trữ tại Việt Nam, chuyển dữ liệu (nếu cần)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20.000.000</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52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Mở rộng dung lượng lưu nhật ký 12 tháng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80.000.000</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24.000.000</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52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Dịch vụ xác thực (OTP, định danh điện tử)</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40.000.000</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60.000.000</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52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Trực tiếp nhận yêu cầu 24/7</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120.000.000</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52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Tư vấn pháp lý về phạm vi áp dụng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30.000.000</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29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170.000.000</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204.000.000</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4595"/>
        <w:gridCol w:w="2347"/>
        <w:gridCol w:w="1411"/>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45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Công việc</w:t>
            </w:r>
          </w:p>
        </w:tc>
        <w:tc>
          <w:tcPr>
            <w:tcW w:type="dxa" w:w="23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chủ trì</w:t>
            </w:r>
          </w:p>
        </w:tc>
        <w:tc>
          <w:tcPr>
            <w:tcW w:type="dxa" w:w="141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45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Ý kiến pháp lý về phạm vi áp dụng</w:t>
            </w:r>
          </w:p>
        </w:tc>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Pháp chế</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45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Thiết lập đầu mối, ban hành quy trình tiếp nhận yêu cầu</w:t>
            </w:r>
          </w:p>
        </w:tc>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An ninh mạng</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31/10/2026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45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Bổ sung trường nhật ký, nâng thời gian lưu lên 12 tháng</w:t>
            </w:r>
          </w:p>
        </w:tc>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30/11/2026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45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Hoàn tất lưu trữ dữ liệu tại Việt Nam; kiểm thử truy xuất</w:t>
            </w:r>
          </w:p>
        </w:tc>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45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Áp dụng xác thực tài khoản khi đăng ký</w:t>
            </w:r>
          </w:p>
        </w:tc>
        <w:tc>
          <w:tcPr>
            <w:tcW w:type="dxa" w:w="23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141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31/12/2026</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đầu mối; quản lý quy trình tiếp nhận yêu cầu; kiểm tra định kỳ việc lưu trữ, truy xuất.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triển khai lưu trữ, nhật ký, xác thực; tham gia trực xử lý yêu cầu.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kết luận phạm vi áp dụng; kiểm tra tính hợp lệ của yêu cầu; phối hợp nhân sự BVDLCN bảo đảm việc lưu trữ phù hợp nghĩa vụ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Bộ phận phát triển sản phẩm: điều chỉnh luồng đăng ký tài khoản; thông báo cho người dùng khi thay đổi điều khoản sử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bố trí kinh phí.</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Phương án tại Mục II và tiến độ tại Mục IV.</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Kinh phí đầu tư ban đầu </w:t>
      </w:r>
      <w:r>
        <w:rPr>
          <w:rFonts w:ascii="Times New Roman" w:cs="Times New Roman" w:eastAsia="Times New Roman" w:hAnsi="Times New Roman"/>
          <w:b w:val="false"/>
          <w:bCs w:val="false"/>
          <w:i w:val="false"/>
          <w:iCs w:val="false"/>
          <w:sz w:val="26"/>
          <w:szCs w:val="26"/>
          <w:highlight w:val="yellow"/>
        </w:rPr>
        <w:t xml:space="preserve">170.000.000 đồng</w:t>
      </w:r>
      <w:r>
        <w:rPr>
          <w:rFonts w:ascii="Times New Roman" w:cs="Times New Roman" w:eastAsia="Times New Roman" w:hAnsi="Times New Roman"/>
          <w:b w:val="false"/>
          <w:bCs w:val="false"/>
          <w:i w:val="false"/>
          <w:iCs w:val="false"/>
          <w:sz w:val="26"/>
          <w:szCs w:val="26"/>
        </w:rPr>
        <w:t xml:space="preserve">; chi phí hằng năm </w:t>
      </w:r>
      <w:r>
        <w:rPr>
          <w:rFonts w:ascii="Times New Roman" w:cs="Times New Roman" w:eastAsia="Times New Roman" w:hAnsi="Times New Roman"/>
          <w:b w:val="false"/>
          <w:bCs w:val="false"/>
          <w:i w:val="false"/>
          <w:iCs w:val="false"/>
          <w:sz w:val="26"/>
          <w:szCs w:val="26"/>
          <w:highlight w:val="yellow"/>
        </w:rPr>
        <w:t xml:space="preserve">204.000.000 đồng</w:t>
      </w:r>
      <w:r>
        <w:rPr>
          <w:rFonts w:ascii="Times New Roman" w:cs="Times New Roman" w:eastAsia="Times New Roman" w:hAnsi="Times New Roman"/>
          <w:b w:val="false"/>
          <w:bCs w:val="false"/>
          <w:i w:val="false"/>
          <w:iCs w:val="false"/>
          <w:sz w:val="26"/>
          <w:szCs w:val="26"/>
        </w:rPr>
        <w:t xml:space="preserve">; nguồn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Giao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làm đầu mối tiếp nhận yêu cầu của lực lượng chuyên trách; ủy quyền </w:t>
      </w:r>
      <w:r>
        <w:rPr>
          <w:rFonts w:ascii="Times New Roman" w:cs="Times New Roman" w:eastAsia="Times New Roman" w:hAnsi="Times New Roman"/>
          <w:b w:val="false"/>
          <w:bCs w:val="false"/>
          <w:i w:val="false"/>
          <w:iCs w:val="false"/>
          <w:sz w:val="26"/>
          <w:szCs w:val="26"/>
          <w:highlight w:val="yellow"/>
        </w:rPr>
        <w:t xml:space="preserve">Trưởng phòng An ninh mạng</w:t>
      </w:r>
      <w:r>
        <w:rPr>
          <w:rFonts w:ascii="Times New Roman" w:cs="Times New Roman" w:eastAsia="Times New Roman" w:hAnsi="Times New Roman"/>
          <w:b w:val="false"/>
          <w:bCs w:val="false"/>
          <w:i w:val="false"/>
          <w:iCs w:val="false"/>
          <w:sz w:val="26"/>
          <w:szCs w:val="26"/>
        </w:rPr>
        <w:t xml:space="preserve"> ký văn bản trả lời yêu cầu trong trường hợp khẩn cấp.</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Pháp chế</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Vận hành hệ thống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AN NINH MẠNG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Thị Bình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 Đồng ý, có điều chỉnh    ☐ Không đồng ý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đáp ứng nghĩa vụ lưu trữ dữ liệu, nhật ký và tiếp nhận yêu cầu theo Nghị định 333</dc:title>
  <dc:creator>vn-cyber-compliance</dc:creator>
  <cp:lastModifiedBy>Un-named</cp:lastModifiedBy>
  <cp:revision>1</cp:revision>
  <dcterms:created xsi:type="dcterms:W3CDTF">2026-09-25T03:08:19.235Z</dcterms:created>
  <dcterms:modified xsi:type="dcterms:W3CDTF">2026-09-25T03:08:19.235Z</dcterms:modified>
</cp:coreProperties>
</file>

<file path=docProps/custom.xml><?xml version="1.0" encoding="utf-8"?>
<Properties xmlns="http://schemas.openxmlformats.org/officeDocument/2006/custom-properties" xmlns:vt="http://schemas.openxmlformats.org/officeDocument/2006/docPropsVTypes"/>
</file>