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sz w:val="24"/>
                <w:szCs w:val="24"/>
                <w:highlight w:val="yellow"/>
              </w:rPr>
              <w:t xml:space="preserve">Công ty cổ phần Giải pháp Công nghệ TURBO</w:t>
            </w:r>
          </w:p>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Phòng Vận hành hệ thống</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06/2026</w:t>
            </w:r>
            <w:r>
              <w:rPr>
                <w:rFonts w:ascii="Times New Roman" w:cs="Times New Roman" w:eastAsia="Times New Roman" w:hAnsi="Times New Roman"/>
                <w:b w:val="false"/>
                <w:bCs w:val="false"/>
                <w:i w:val="false"/>
                <w:iCs w:val="false"/>
                <w:caps w:val="false"/>
                <w:sz w:val="26"/>
                <w:szCs w:val="26"/>
              </w:rPr>
              <w:t xml:space="preserve">/TTr-</w:t>
            </w:r>
            <w:r>
              <w:rPr>
                <w:rFonts w:ascii="Times New Roman" w:cs="Times New Roman" w:eastAsia="Times New Roman" w:hAnsi="Times New Roman"/>
                <w:b w:val="false"/>
                <w:bCs w:val="false"/>
                <w:i w:val="false"/>
                <w:iCs w:val="false"/>
                <w:caps w:val="false"/>
                <w:sz w:val="26"/>
                <w:szCs w:val="26"/>
                <w:highlight w:val="yellow"/>
              </w:rPr>
              <w:t xml:space="preserve">PVH</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w:t>
            </w:r>
            <w:r>
              <w:rPr>
                <w:rFonts w:ascii="Times New Roman" w:cs="Times New Roman" w:eastAsia="Times New Roman" w:hAnsi="Times New Roman"/>
                <w:b w:val="false"/>
                <w:bCs w:val="false"/>
                <w:i w:val="false"/>
                <w:iCs w:val="false"/>
                <w:caps w:val="false"/>
                <w:sz w:val="26"/>
                <w:szCs w:val="26"/>
                <w:highlight w:val="yellow"/>
              </w:rPr>
              <w:t xml:space="preserve">28</w:t>
            </w:r>
            <w:r>
              <w:rPr>
                <w:rFonts w:ascii="Times New Roman" w:cs="Times New Roman" w:eastAsia="Times New Roman" w:hAnsi="Times New Roman"/>
                <w:b w:val="false"/>
                <w:bCs w:val="false"/>
                <w:i w:val="false"/>
                <w:iCs w:val="false"/>
                <w:caps w:val="false"/>
                <w:sz w:val="26"/>
                <w:szCs w:val="26"/>
              </w:rPr>
              <w:t xml:space="preserve"> tháng </w:t>
            </w:r>
            <w:r>
              <w:rPr>
                <w:rFonts w:ascii="Times New Roman" w:cs="Times New Roman" w:eastAsia="Times New Roman" w:hAnsi="Times New Roman"/>
                <w:b w:val="false"/>
                <w:bCs w:val="false"/>
                <w:i w:val="false"/>
                <w:iCs w:val="false"/>
                <w:caps w:val="false"/>
                <w:sz w:val="26"/>
                <w:szCs w:val="26"/>
                <w:highlight w:val="yellow"/>
              </w:rPr>
              <w:t xml:space="preserve">08</w:t>
            </w:r>
            <w:r>
              <w:rPr>
                <w:rFonts w:ascii="Times New Roman" w:cs="Times New Roman" w:eastAsia="Times New Roman" w:hAnsi="Times New Roman"/>
                <w:b w:val="false"/>
                <w:bCs w:val="false"/>
                <w:i w:val="false"/>
                <w:iCs w:val="false"/>
                <w:caps w:val="false"/>
                <w:sz w:val="26"/>
                <w:szCs w:val="26"/>
              </w:rPr>
              <w:t xml:space="preserve"> năm </w:t>
            </w:r>
            <w:r>
              <w:rPr>
                <w:rFonts w:ascii="Times New Roman" w:cs="Times New Roman" w:eastAsia="Times New Roman" w:hAnsi="Times New Roman"/>
                <w:b w:val="false"/>
                <w:bCs w:val="false"/>
                <w:i w:val="false"/>
                <w:iCs w:val="false"/>
                <w:caps w:val="false"/>
                <w:sz w:val="26"/>
                <w:szCs w:val="26"/>
                <w:highlight w:val="yellow"/>
              </w:rPr>
              <w:t xml:space="preserve">2026</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TỜ TRÌNH</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Về việc thành lập (chỉ định) bộ phận chuyên trách về an ninh mạng và bố trí nhân sự</w:t>
      </w:r>
    </w:p>
    <w:p>
      <w:pPr>
        <w:spacing w:after="180" w:before="120" w:line="276" w:lineRule="auto"/>
        <w:jc w:val="center"/>
      </w:pPr>
      <w:r>
        <w:rPr>
          <w:rFonts w:ascii="Times New Roman" w:cs="Times New Roman" w:eastAsia="Times New Roman" w:hAnsi="Times New Roman"/>
          <w:b w:val="false"/>
          <w:bCs w:val="false"/>
          <w:i w:val="false"/>
          <w:iCs w:val="false"/>
          <w:sz w:val="26"/>
          <w:szCs w:val="26"/>
        </w:rPr>
        <w:t xml:space="preserve">Kính gửi: </w:t>
      </w:r>
      <w:r>
        <w:rPr>
          <w:rFonts w:ascii="Times New Roman" w:cs="Times New Roman" w:eastAsia="Times New Roman" w:hAnsi="Times New Roman"/>
          <w:b w:val="false"/>
          <w:bCs w:val="false"/>
          <w:i w:val="false"/>
          <w:iCs w:val="false"/>
          <w:sz w:val="26"/>
          <w:szCs w:val="26"/>
          <w:highlight w:val="yellow"/>
        </w:rPr>
        <w:t xml:space="preserve">Tổng Giám đốc Công ty</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Luật An ninh mạng số 116/2025/QH15;</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Luật Bảo vệ dữ liệu cá nhân số 91/2025/QH15;</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Nghị định số 331/2026/NĐ-CP ngày 19 tháng 8 năm 2026 của Chính phủ về bảo vệ an ninh mạng đối với hệ thống thông tin;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Nghị định số 356/2025/NĐ-CP ngày 31 tháng 12 năm 2025 của Chính phủ quy định chi tiết một số điều và biện pháp thi hành Luật Bảo vệ dữ liệu cá nhân;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w:t>
      </w:r>
      <w:r>
        <w:rPr>
          <w:rFonts w:ascii="Times New Roman" w:cs="Times New Roman" w:eastAsia="Times New Roman" w:hAnsi="Times New Roman"/>
          <w:b w:val="false"/>
          <w:bCs w:val="false"/>
          <w:i/>
          <w:iCs/>
          <w:sz w:val="26"/>
          <w:szCs w:val="26"/>
          <w:highlight w:val="yellow"/>
        </w:rPr>
        <w:t xml:space="preserve">Điều lệ Công ty cổ phần Giải pháp Công nghệ TURBO</w:t>
      </w:r>
      <w:r>
        <w:rPr>
          <w:rFonts w:ascii="Times New Roman" w:cs="Times New Roman" w:eastAsia="Times New Roman" w:hAnsi="Times New Roman"/>
          <w:b w:val="false"/>
          <w:bCs w:val="false"/>
          <w:i/>
          <w:iCs/>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chủ trương triển khai chương trình tuân thủ pháp luật về an ninh mạng đã được </w:t>
      </w:r>
      <w:r>
        <w:rPr>
          <w:rFonts w:ascii="Times New Roman" w:cs="Times New Roman" w:eastAsia="Times New Roman" w:hAnsi="Times New Roman"/>
          <w:b w:val="false"/>
          <w:bCs w:val="false"/>
          <w:i/>
          <w:iCs/>
          <w:sz w:val="26"/>
          <w:szCs w:val="26"/>
          <w:highlight w:val="yellow"/>
        </w:rPr>
        <w:t xml:space="preserve">Tổng Giám đốc Công ty</w:t>
      </w:r>
      <w:r>
        <w:rPr>
          <w:rFonts w:ascii="Times New Roman" w:cs="Times New Roman" w:eastAsia="Times New Roman" w:hAnsi="Times New Roman"/>
          <w:b w:val="false"/>
          <w:bCs w:val="false"/>
          <w:i/>
          <w:iCs/>
          <w:sz w:val="26"/>
          <w:szCs w:val="26"/>
        </w:rPr>
        <w:t xml:space="preserve"> phê duyệt tại </w:t>
      </w:r>
      <w:r>
        <w:rPr>
          <w:rFonts w:ascii="Times New Roman" w:cs="Times New Roman" w:eastAsia="Times New Roman" w:hAnsi="Times New Roman"/>
          <w:b w:val="false"/>
          <w:bCs w:val="false"/>
          <w:i/>
          <w:iCs/>
          <w:sz w:val="26"/>
          <w:szCs w:val="26"/>
          <w:highlight w:val="yellow"/>
        </w:rPr>
        <w:t xml:space="preserve">Tờ trình số 05/2026/TTr-PVH đã được Tổng Giám đốc phê duyệt ngày 29/08/2026</w:t>
      </w:r>
      <w:r>
        <w:rPr>
          <w:rFonts w:ascii="Times New Roman" w:cs="Times New Roman" w:eastAsia="Times New Roman" w:hAnsi="Times New Roman"/>
          <w:b w:val="false"/>
          <w:bCs w:val="false"/>
          <w:i/>
          <w:iCs/>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Phòng Vận hành hệ thống</w:t>
      </w:r>
      <w:r>
        <w:rPr>
          <w:rFonts w:ascii="Times New Roman" w:cs="Times New Roman" w:eastAsia="Times New Roman" w:hAnsi="Times New Roman"/>
          <w:b w:val="false"/>
          <w:bCs w:val="false"/>
          <w:i w:val="false"/>
          <w:iCs w:val="false"/>
          <w:sz w:val="26"/>
          <w:szCs w:val="26"/>
        </w:rPr>
        <w:t xml:space="preserve"> kính trình </w:t>
      </w:r>
      <w:r>
        <w:rPr>
          <w:rFonts w:ascii="Times New Roman" w:cs="Times New Roman" w:eastAsia="Times New Roman" w:hAnsi="Times New Roman"/>
          <w:b w:val="false"/>
          <w:bCs w:val="false"/>
          <w:i w:val="false"/>
          <w:iCs w:val="false"/>
          <w:sz w:val="26"/>
          <w:szCs w:val="26"/>
          <w:highlight w:val="yellow"/>
        </w:rPr>
        <w:t xml:space="preserve">Tổng Giám đốc Công ty</w:t>
      </w:r>
      <w:r>
        <w:rPr>
          <w:rFonts w:ascii="Times New Roman" w:cs="Times New Roman" w:eastAsia="Times New Roman" w:hAnsi="Times New Roman"/>
          <w:b w:val="false"/>
          <w:bCs w:val="false"/>
          <w:i w:val="false"/>
          <w:iCs w:val="false"/>
          <w:sz w:val="26"/>
          <w:szCs w:val="26"/>
        </w:rPr>
        <w:t xml:space="preserve"> xem xét, phê duyệt việc thành lập (chỉ định) bộ phận chuyên trách về an ninh mạng và bố trí nhân sự như sau:</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Viết tắt: Luật 116 là Luật An ninh mạng; Luật 91 là Luật Bảo vệ dữ liệu cá nhân; NĐ 330, NĐ 331, NĐ 356 là các Nghị định số 330/2026/NĐ-CP, 331/2026/NĐ-CP, 356/2025/NĐ-CP; ANM là an ninh mạng; HTTT là hệ thống thông tin; BVDLCN là bảo vệ dữ liệu cá nhân. "Đ31.1.b" nghĩa là điểm b khoản 1 Điều 31.</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 SỰ CẦN THIẾT</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 Cơ sở pháp lý</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715"/>
        <w:gridCol w:w="5399"/>
        <w:gridCol w:w="2911"/>
      </w:tblGrid>
      <w:tr>
        <w:trPr>
          <w:cantSplit/>
          <w:tblHeader/>
        </w:trPr>
        <w:tc>
          <w:tcPr>
            <w:tcW w:type="dxa" w:w="7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STT</w:t>
            </w:r>
          </w:p>
        </w:tc>
        <w:tc>
          <w:tcPr>
            <w:tcW w:type="dxa" w:w="53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Quy định</w:t>
            </w:r>
          </w:p>
        </w:tc>
        <w:tc>
          <w:tcPr>
            <w:tcW w:type="dxa" w:w="291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Căn cứ</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1</w:t>
            </w:r>
          </w:p>
        </w:tc>
        <w:tc>
          <w:tcPr>
            <w:tcW w:type="dxa" w:w="53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Người đứng đầu chủ quản HTTT bố trí bộ phận hoặc nhân sự chuyên trách về ANM phù hợp với cấp độ bảo vệ của hệ thống</w:t>
            </w:r>
          </w:p>
        </w:tc>
        <w:tc>
          <w:tcPr>
            <w:tcW w:type="dxa" w:w="29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331 Đ31.1.b</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2</w:t>
            </w:r>
          </w:p>
        </w:tc>
        <w:tc>
          <w:tcPr>
            <w:tcW w:type="dxa" w:w="53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Chưa có đơn vị chuyên trách ANM độc lập thì chỉ định đơn vị chuyên trách CNTT (hoặc chuyển đổi số) làm nhiệm vụ đơn vị chuyên trách ANM; thành lập hoặc chỉ định bộ phận chuyên trách ANM</w:t>
            </w:r>
          </w:p>
        </w:tc>
        <w:tc>
          <w:tcPr>
            <w:tcW w:type="dxa" w:w="29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331 Đ31.1.c</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3</w:t>
            </w:r>
          </w:p>
        </w:tc>
        <w:tc>
          <w:tcPr>
            <w:tcW w:type="dxa" w:w="53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Bộ phận chuyên trách ANM thuộc đơn vị CNTT, do chủ quản thành lập hoặc chỉ định để thực thi nhiệm vụ bảo đảm ANM và ứng phó sự cố, khi không thành lập được đơn vị chuyên trách ANM</w:t>
            </w:r>
          </w:p>
        </w:tc>
        <w:tc>
          <w:tcPr>
            <w:tcW w:type="dxa" w:w="29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331 Đ3.2, Đ3.3</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4</w:t>
            </w:r>
          </w:p>
        </w:tc>
        <w:tc>
          <w:tcPr>
            <w:tcW w:type="dxa" w:w="53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Nhiệm vụ của đơn vị chuyên trách ANM: tham mưu, tổ chức thực thi, đôn đốc, kiểm tra, giám sát; phối hợp với lực lượng chuyên trách; bảo đảm người làm ANM đáp ứng tiêu chuẩn chuyên môn; thẩm định, phê duyệt hoặc cho ý kiến về hồ sơ đề xuất cấp độ; phối hợp dò quét lỗ hổng, kiểm thử xâm nhập</w:t>
            </w:r>
          </w:p>
        </w:tc>
        <w:tc>
          <w:tcPr>
            <w:tcW w:type="dxa" w:w="29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331 Đ32.1–32.5</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5</w:t>
            </w:r>
          </w:p>
        </w:tc>
        <w:tc>
          <w:tcPr>
            <w:tcW w:type="dxa" w:w="53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Đơn vị chuyên trách ANM thẩm định, phê duyệt hồ sơ cấp 1–2; thẩm định hồ sơ cấp 3</w:t>
            </w:r>
          </w:p>
        </w:tc>
        <w:tc>
          <w:tcPr>
            <w:tcW w:type="dxa" w:w="29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331 Đ18.1, Đ18.2.a</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6</w:t>
            </w:r>
          </w:p>
        </w:tc>
        <w:tc>
          <w:tcPr>
            <w:tcW w:type="dxa" w:w="53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Nếu đơn vị chuyên trách ANM đồng thời vận hành HTTT thì việc thẩm định phải giao cho đơn vị trực thuộc khác có đủ năng lực, hoặc cho Hội đồng thẩm định độc lập</w:t>
            </w:r>
          </w:p>
        </w:tc>
        <w:tc>
          <w:tcPr>
            <w:tcW w:type="dxa" w:w="29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331 Đ18.4</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7</w:t>
            </w:r>
          </w:p>
        </w:tc>
        <w:tc>
          <w:tcPr>
            <w:tcW w:type="dxa" w:w="53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Tự đánh giá ANM phải do bộ phận hoặc đơn vị độc lập với đơn vị trực tiếp vận hành hệ thống thực hiện</w:t>
            </w:r>
          </w:p>
        </w:tc>
        <w:tc>
          <w:tcPr>
            <w:tcW w:type="dxa" w:w="29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331 Đ31.2.c</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8</w:t>
            </w:r>
          </w:p>
        </w:tc>
        <w:tc>
          <w:tcPr>
            <w:tcW w:type="dxa" w:w="53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Việc thành lập, chỉ định đơn vị (bộ phận) chuyên trách ANM là nội dung kiểm tra tuân thủ đối với chủ quản</w:t>
            </w:r>
          </w:p>
        </w:tc>
        <w:tc>
          <w:tcPr>
            <w:tcW w:type="dxa" w:w="29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331 Đ27.1.a</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9</w:t>
            </w:r>
          </w:p>
        </w:tc>
        <w:tc>
          <w:tcPr>
            <w:tcW w:type="dxa" w:w="53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Tổ chức phải chỉ định bộ phận, nhân sự đủ điều kiện năng lực BVDLCN, hoặc thuê tổ chức, cá nhân cung cấp dịch vụ BVDLCN</w:t>
            </w:r>
          </w:p>
        </w:tc>
        <w:tc>
          <w:tcPr>
            <w:tcW w:type="dxa" w:w="29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Luật 91 Đ33.2; NĐ 356 Đ13</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Với HTTT cấp độ 3 trở lên, TCVN 14423:2026 (mục 5.14) yêu cầu tách riêng các bộ phận vận hành, quản trị hệ thống và bảo vệ ANM.</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 Hiện trạng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Hiện nay nhiệm vụ ANM do </w:t>
      </w:r>
      <w:r>
        <w:rPr>
          <w:rFonts w:ascii="Times New Roman" w:cs="Times New Roman" w:eastAsia="Times New Roman" w:hAnsi="Times New Roman"/>
          <w:b w:val="false"/>
          <w:bCs w:val="false"/>
          <w:i w:val="false"/>
          <w:iCs w:val="false"/>
          <w:sz w:val="26"/>
          <w:szCs w:val="26"/>
          <w:highlight w:val="yellow"/>
        </w:rPr>
        <w:t xml:space="preserve">02 kỹ sư thuộc Phòng Vận hành hệ thống kiêm nhiệm</w:t>
      </w:r>
      <w:r>
        <w:rPr>
          <w:rFonts w:ascii="Times New Roman" w:cs="Times New Roman" w:eastAsia="Times New Roman" w:hAnsi="Times New Roman"/>
          <w:b w:val="false"/>
          <w:bCs w:val="false"/>
          <w:i w:val="false"/>
          <w:iCs w:val="false"/>
          <w:sz w:val="26"/>
          <w:szCs w:val="26"/>
        </w:rPr>
        <w:t xml:space="preserve"> đảm nhiệm.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chưa có văn bản thành lập hoặc chỉ định bộ phận chuyên trách ANM. </w:t>
      </w:r>
      <w:r>
        <w:rPr>
          <w:rFonts w:ascii="Times New Roman" w:cs="Times New Roman" w:eastAsia="Times New Roman" w:hAnsi="Times New Roman"/>
          <w:b w:val="false"/>
          <w:bCs w:val="false"/>
          <w:i w:val="false"/>
          <w:iCs w:val="false"/>
          <w:sz w:val="26"/>
          <w:szCs w:val="26"/>
          <w:highlight w:val="yellow"/>
        </w:rPr>
        <w:t xml:space="preserve">Phòng Vận hành hệ thống</w:t>
      </w:r>
      <w:r>
        <w:rPr>
          <w:rFonts w:ascii="Times New Roman" w:cs="Times New Roman" w:eastAsia="Times New Roman" w:hAnsi="Times New Roman"/>
          <w:b w:val="false"/>
          <w:bCs w:val="false"/>
          <w:i w:val="false"/>
          <w:iCs w:val="false"/>
          <w:sz w:val="26"/>
          <w:szCs w:val="26"/>
        </w:rPr>
        <w:t xml:space="preserve"> đang vận hành </w:t>
      </w:r>
      <w:r>
        <w:rPr>
          <w:rFonts w:ascii="Times New Roman" w:cs="Times New Roman" w:eastAsia="Times New Roman" w:hAnsi="Times New Roman"/>
          <w:b w:val="false"/>
          <w:bCs w:val="false"/>
          <w:i w:val="false"/>
          <w:iCs w:val="false"/>
          <w:sz w:val="26"/>
          <w:szCs w:val="26"/>
          <w:highlight w:val="yellow"/>
        </w:rPr>
        <w:t xml:space="preserve">02</w:t>
      </w:r>
      <w:r>
        <w:rPr>
          <w:rFonts w:ascii="Times New Roman" w:cs="Times New Roman" w:eastAsia="Times New Roman" w:hAnsi="Times New Roman"/>
          <w:b w:val="false"/>
          <w:bCs w:val="false"/>
          <w:i w:val="false"/>
          <w:iCs w:val="false"/>
          <w:sz w:val="26"/>
          <w:szCs w:val="26"/>
        </w:rPr>
        <w:t xml:space="preserve"> HTTT, trong đó HTTT </w:t>
      </w:r>
      <w:r>
        <w:rPr>
          <w:rFonts w:ascii="Times New Roman" w:cs="Times New Roman" w:eastAsia="Times New Roman" w:hAnsi="Times New Roman"/>
          <w:b w:val="false"/>
          <w:bCs w:val="false"/>
          <w:i w:val="false"/>
          <w:iCs w:val="false"/>
          <w:sz w:val="26"/>
          <w:szCs w:val="26"/>
          <w:highlight w:val="yellow"/>
        </w:rPr>
        <w:t xml:space="preserve">Hệ thống quản lý khách hàng trực tuyến (CRM Online)</w:t>
      </w:r>
      <w:r>
        <w:rPr>
          <w:rFonts w:ascii="Times New Roman" w:cs="Times New Roman" w:eastAsia="Times New Roman" w:hAnsi="Times New Roman"/>
          <w:b w:val="false"/>
          <w:bCs w:val="false"/>
          <w:i w:val="false"/>
          <w:iCs w:val="false"/>
          <w:sz w:val="26"/>
          <w:szCs w:val="26"/>
        </w:rPr>
        <w:t xml:space="preserve"> dự kiến đề xuất cấp độ </w:t>
      </w:r>
      <w:r>
        <w:rPr>
          <w:rFonts w:ascii="Times New Roman" w:cs="Times New Roman" w:eastAsia="Times New Roman" w:hAnsi="Times New Roman"/>
          <w:b w:val="false"/>
          <w:bCs w:val="false"/>
          <w:i w:val="false"/>
          <w:iCs w:val="false"/>
          <w:sz w:val="26"/>
          <w:szCs w:val="26"/>
          <w:highlight w:val="yellow"/>
        </w:rPr>
        <w:t xml:space="preserve">3</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3. Rủi ro nếu không thực hiện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783"/>
        <w:gridCol w:w="1820"/>
        <w:gridCol w:w="2422"/>
      </w:tblGrid>
      <w:tr>
        <w:trPr>
          <w:cantSplit/>
          <w:tblHeader/>
        </w:trPr>
        <w:tc>
          <w:tcPr>
            <w:tcW w:type="dxa" w:w="478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Hành vi</w:t>
            </w:r>
          </w:p>
        </w:tc>
        <w:tc>
          <w:tcPr>
            <w:tcW w:type="dxa" w:w="182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Căn cứ</w:t>
            </w:r>
          </w:p>
        </w:tc>
        <w:tc>
          <w:tcPr>
            <w:tcW w:type="dxa" w:w="242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Mức phạt tổ chức (đồng)</w:t>
            </w:r>
          </w:p>
        </w:tc>
      </w:tr>
      <w:tr>
        <w:trPr>
          <w:cantSplit/>
          <w:tblHeader w:val="false"/>
        </w:trPr>
        <w:tc>
          <w:tcPr>
            <w:tcW w:type="dxa" w:w="47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Không tổ chức thực thi, đôn đốc, kiểm tra, giám sát công tác bảo đảm ANM</w:t>
            </w:r>
          </w:p>
        </w:tc>
        <w:tc>
          <w:tcPr>
            <w:tcW w:type="dxa" w:w="18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330 Đ23.2.c</w:t>
            </w:r>
          </w:p>
        </w:tc>
        <w:tc>
          <w:tcPr>
            <w:tcW w:type="dxa" w:w="24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60–100 triệu</w:t>
            </w:r>
          </w:p>
        </w:tc>
      </w:tr>
      <w:tr>
        <w:trPr>
          <w:cantSplit/>
          <w:tblHeader w:val="false"/>
        </w:trPr>
        <w:tc>
          <w:tcPr>
            <w:tcW w:type="dxa" w:w="47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Không thành lập hoặc không chỉ định đơn vị chuyên trách ứng cứu sự cố ANM, hoặc không thành lập Đội ứng cứu sự cố</w:t>
            </w:r>
          </w:p>
        </w:tc>
        <w:tc>
          <w:tcPr>
            <w:tcW w:type="dxa" w:w="18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330 Đ21.3.b</w:t>
            </w:r>
          </w:p>
        </w:tc>
        <w:tc>
          <w:tcPr>
            <w:tcW w:type="dxa" w:w="24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60–100 triệu</w:t>
            </w:r>
          </w:p>
        </w:tc>
      </w:tr>
      <w:tr>
        <w:trPr>
          <w:cantSplit/>
          <w:tblHeader w:val="false"/>
        </w:trPr>
        <w:tc>
          <w:tcPr>
            <w:tcW w:type="dxa" w:w="47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Không ban hành văn bản chỉ định nhân sự BVDLCN hoặc quyết định thành lập bộ phận BVDLCN; chỉ định nhân sự không đủ điều kiện</w:t>
            </w:r>
          </w:p>
        </w:tc>
        <w:tc>
          <w:tcPr>
            <w:tcW w:type="dxa" w:w="18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330 Đ57.2</w:t>
            </w:r>
          </w:p>
        </w:tc>
        <w:tc>
          <w:tcPr>
            <w:tcW w:type="dxa" w:w="24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20–30 triệu</w:t>
            </w:r>
          </w:p>
        </w:tc>
      </w:tr>
      <w:tr>
        <w:trPr>
          <w:cantSplit/>
          <w:tblHeader w:val="false"/>
        </w:trPr>
        <w:tc>
          <w:tcPr>
            <w:tcW w:type="dxa" w:w="47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Văn bản chỉ định nhân sự BVDLCN không nêu rõ chức năng, nhiệm vụ; không ký thỏa thuận bảo mật; không đào tạo</w:t>
            </w:r>
          </w:p>
        </w:tc>
        <w:tc>
          <w:tcPr>
            <w:tcW w:type="dxa" w:w="18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330 Đ57.1</w:t>
            </w:r>
          </w:p>
        </w:tc>
        <w:tc>
          <w:tcPr>
            <w:tcW w:type="dxa" w:w="24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Cảnh cáo hoặc 10–20 triệu</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Mức phạt về ANM ghi trong NĐ 330 là mức cho cá nhân; tổ chức bị phạt gấp hai lần. Mức phạt về BVDLCN ghi trong NĐ 330 là mức cho tổ chức (NĐ 330 Đ7.1). Ngoài ra, khi chưa có đơn vị chuyên trách ANM thì không có đơn vị đủ thẩm quyền thẩm định hồ sơ đề xuất cấp độ (NĐ 331 Đ18.1–18.2). Khi đó cả tiến độ phê duyệt cấp độ bị chậm theo.</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II. NỘI DUNG ĐỀ XUẤT</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 Mô hình tổ chức:</w:t>
      </w:r>
      <w:r>
        <w:rPr>
          <w:rFonts w:ascii="Times New Roman" w:cs="Times New Roman" w:eastAsia="Times New Roman" w:hAnsi="Times New Roman"/>
          <w:b w:val="false"/>
          <w:bCs w:val="false"/>
          <w:i w:val="false"/>
          <w:iCs w:val="false"/>
          <w:sz w:val="26"/>
          <w:szCs w:val="26"/>
        </w:rPr>
        <w:t xml:space="preserve"> đề xuất phương án </w:t>
      </w:r>
      <w:r>
        <w:rPr>
          <w:rFonts w:ascii="Times New Roman" w:cs="Times New Roman" w:eastAsia="Times New Roman" w:hAnsi="Times New Roman"/>
          <w:b w:val="false"/>
          <w:bCs w:val="false"/>
          <w:i w:val="false"/>
          <w:iCs w:val="false"/>
          <w:sz w:val="26"/>
          <w:szCs w:val="26"/>
          <w:highlight w:val="yellow"/>
        </w:rPr>
        <w:t xml:space="preserve">B</w:t>
      </w:r>
      <w:r>
        <w:rPr>
          <w:rFonts w:ascii="Times New Roman" w:cs="Times New Roman" w:eastAsia="Times New Roman" w:hAnsi="Times New Roman"/>
          <w:b w:val="false"/>
          <w:bCs w:val="false"/>
          <w:i w:val="false"/>
          <w:iCs w:val="false"/>
          <w:sz w:val="26"/>
          <w:szCs w:val="26"/>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144"/>
        <w:gridCol w:w="2961"/>
        <w:gridCol w:w="1957"/>
        <w:gridCol w:w="2963"/>
      </w:tblGrid>
      <w:tr>
        <w:trPr>
          <w:cantSplit/>
          <w:tblHeader/>
        </w:trPr>
        <w:tc>
          <w:tcPr>
            <w:tcW w:type="dxa" w:w="114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Phương án</w:t>
            </w:r>
          </w:p>
        </w:tc>
        <w:tc>
          <w:tcPr>
            <w:tcW w:type="dxa" w:w="296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Nội dung</w:t>
            </w:r>
          </w:p>
        </w:tc>
        <w:tc>
          <w:tcPr>
            <w:tcW w:type="dxa" w:w="195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Căn cứ</w:t>
            </w:r>
          </w:p>
        </w:tc>
        <w:tc>
          <w:tcPr>
            <w:tcW w:type="dxa" w:w="296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Đánh giá</w:t>
            </w:r>
          </w:p>
        </w:tc>
      </w:tr>
      <w:tr>
        <w:trPr>
          <w:cantSplit/>
          <w:tblHeader w:val="false"/>
        </w:trPr>
        <w:tc>
          <w:tcPr>
            <w:tcW w:type="dxa" w:w="11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A</w:t>
            </w:r>
          </w:p>
        </w:tc>
        <w:tc>
          <w:tcPr>
            <w:tcW w:type="dxa" w:w="29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Thành lập đơn vị chuyên trách ANM độc lập (phòng hoặc ban ANM)</w:t>
            </w:r>
          </w:p>
        </w:tc>
        <w:tc>
          <w:tcPr>
            <w:tcW w:type="dxa" w:w="19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331 Đ3.2, Đ31.1.b</w:t>
            </w:r>
          </w:p>
        </w:tc>
        <w:tc>
          <w:tcPr>
            <w:tcW w:type="dxa" w:w="29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Độc lập cao nhất; chi phí cao nhất</w:t>
            </w:r>
          </w:p>
        </w:tc>
      </w:tr>
      <w:tr>
        <w:trPr>
          <w:cantSplit/>
          <w:tblHeader w:val="false"/>
        </w:trPr>
        <w:tc>
          <w:tcPr>
            <w:tcW w:type="dxa" w:w="11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w:t>
            </w:r>
          </w:p>
        </w:tc>
        <w:tc>
          <w:tcPr>
            <w:tcW w:type="dxa" w:w="29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Chỉ định </w:t>
            </w:r>
            <w:r>
              <w:rPr>
                <w:rFonts w:ascii="Times New Roman" w:cs="Times New Roman" w:eastAsia="Times New Roman" w:hAnsi="Times New Roman"/>
                <w:b w:val="false"/>
                <w:bCs w:val="false"/>
                <w:i w:val="false"/>
                <w:iCs w:val="false"/>
                <w:sz w:val="22"/>
                <w:szCs w:val="22"/>
                <w:highlight w:val="yellow"/>
              </w:rPr>
              <w:t xml:space="preserve">Khối Công nghệ thông tin</w:t>
            </w:r>
            <w:r>
              <w:rPr>
                <w:rFonts w:ascii="Times New Roman" w:cs="Times New Roman" w:eastAsia="Times New Roman" w:hAnsi="Times New Roman"/>
                <w:b w:val="false"/>
                <w:bCs w:val="false"/>
                <w:i w:val="false"/>
                <w:iCs w:val="false"/>
                <w:sz w:val="22"/>
                <w:szCs w:val="22"/>
              </w:rPr>
              <w:t xml:space="preserve"> làm nhiệm vụ đơn vị chuyên trách ANM, đồng thời thành lập bộ phận chuyên trách ANM thuộc đơn vị này</w:t>
            </w:r>
          </w:p>
        </w:tc>
        <w:tc>
          <w:tcPr>
            <w:tcW w:type="dxa" w:w="19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331 Đ3.3, Đ31.1.c</w:t>
            </w:r>
          </w:p>
        </w:tc>
        <w:tc>
          <w:tcPr>
            <w:tcW w:type="dxa" w:w="29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Tận dụng nhân sự sẵn có; phải xử lý xung đột vai trò khi thẩm định và tự đánh giá</w:t>
            </w:r>
          </w:p>
        </w:tc>
      </w:tr>
      <w:tr>
        <w:trPr>
          <w:cantSplit/>
          <w:tblHeader w:val="false"/>
        </w:trPr>
        <w:tc>
          <w:tcPr>
            <w:tcW w:type="dxa" w:w="11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w:t>
            </w:r>
          </w:p>
        </w:tc>
        <w:tc>
          <w:tcPr>
            <w:tcW w:type="dxa" w:w="29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Như phương án B, thuê thêm dịch vụ giám sát và ứng cứu sự cố bên ngoài</w:t>
            </w:r>
          </w:p>
        </w:tc>
        <w:tc>
          <w:tcPr>
            <w:tcW w:type="dxa" w:w="19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331 Đ31.1.c; Luật 116 Đ28.2</w:t>
            </w:r>
          </w:p>
        </w:tc>
        <w:tc>
          <w:tcPr>
            <w:tcW w:type="dxa" w:w="29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Bổ sung năng lực nhanh; nhà cung cấp phải có giấy phép kinh doanh dịch vụ ANM (Luật 116 Đ29.1)</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 Chức năng, nhiệm vụ:</w:t>
      </w:r>
      <w:r>
        <w:rPr>
          <w:rFonts w:ascii="Times New Roman" w:cs="Times New Roman" w:eastAsia="Times New Roman" w:hAnsi="Times New Roman"/>
          <w:b w:val="false"/>
          <w:bCs w:val="false"/>
          <w:i w:val="false"/>
          <w:iCs w:val="false"/>
          <w:sz w:val="26"/>
          <w:szCs w:val="26"/>
        </w:rPr>
        <w:t xml:space="preserve"> thực hiện 05 nhóm nhiệm vụ tại NĐ 331 Đ32. Ngoài ra, bộ phận là đầu mối tiếp nhận, báo cáo sự cố (NĐ 331 Đ31.2.d), tổng hợp báo cáo năm (NĐ 331 Đ35.4.a) và làm thường trực Đội ứng cứu sự cố.</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3. Nhân sự đề xuất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72"/>
        <w:gridCol w:w="1801"/>
        <w:gridCol w:w="987"/>
        <w:gridCol w:w="3307"/>
        <w:gridCol w:w="2258"/>
      </w:tblGrid>
      <w:tr>
        <w:trPr>
          <w:cantSplit/>
          <w:tblHeader/>
        </w:trPr>
        <w:tc>
          <w:tcPr>
            <w:tcW w:type="dxa" w:w="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STT</w:t>
            </w:r>
          </w:p>
        </w:tc>
        <w:tc>
          <w:tcPr>
            <w:tcW w:type="dxa" w:w="180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Vị trí</w:t>
            </w:r>
          </w:p>
        </w:tc>
        <w:tc>
          <w:tcPr>
            <w:tcW w:type="dxa" w:w="9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Số lượng</w:t>
            </w:r>
          </w:p>
        </w:tc>
        <w:tc>
          <w:tcPr>
            <w:tcW w:type="dxa" w:w="330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Tiêu chuẩn chính</w:t>
            </w:r>
          </w:p>
        </w:tc>
        <w:tc>
          <w:tcPr>
            <w:tcW w:type="dxa" w:w="225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Nguồn</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w:t>
            </w:r>
          </w:p>
        </w:tc>
        <w:tc>
          <w:tcPr>
            <w:tcW w:type="dxa" w:w="18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Trưởng bộ phận chuyên trách ANM</w:t>
            </w:r>
          </w:p>
        </w:tc>
        <w:tc>
          <w:tcPr>
            <w:tcW w:type="dxa" w:w="9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01</w:t>
            </w:r>
          </w:p>
        </w:tc>
        <w:tc>
          <w:tcPr>
            <w:tcW w:type="dxa" w:w="33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tốt nghiệp đại học CNTT/ATTT, ≥ 03 năm kinh nghiệm an ninh mạng</w:t>
            </w:r>
          </w:p>
        </w:tc>
        <w:tc>
          <w:tcPr>
            <w:tcW w:type="dxa" w:w="22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Bổ nhiệm nội bộ</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2</w:t>
            </w:r>
          </w:p>
        </w:tc>
        <w:tc>
          <w:tcPr>
            <w:tcW w:type="dxa" w:w="18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Chuyên viên giám sát, ứng cứu sự cố</w:t>
            </w:r>
          </w:p>
        </w:tc>
        <w:tc>
          <w:tcPr>
            <w:tcW w:type="dxa" w:w="9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02</w:t>
            </w:r>
          </w:p>
        </w:tc>
        <w:tc>
          <w:tcPr>
            <w:tcW w:type="dxa" w:w="33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tốt nghiệp đại học CNTT/ATTT, ≥ 03 năm kinh nghiệm an ninh mạng</w:t>
            </w:r>
          </w:p>
        </w:tc>
        <w:tc>
          <w:tcPr>
            <w:tcW w:type="dxa" w:w="22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01 điều động từ Phòng Vận hành hệ thống, 01 tuyển mới</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3</w:t>
            </w:r>
          </w:p>
        </w:tc>
        <w:tc>
          <w:tcPr>
            <w:tcW w:type="dxa" w:w="18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Chuyên viên quản lý rủi ro, tuân thủ</w:t>
            </w:r>
          </w:p>
        </w:tc>
        <w:tc>
          <w:tcPr>
            <w:tcW w:type="dxa" w:w="9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01</w:t>
            </w:r>
          </w:p>
        </w:tc>
        <w:tc>
          <w:tcPr>
            <w:tcW w:type="dxa" w:w="33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tốt nghiệp đại học CNTT/ATTT, ≥ 03 năm kinh nghiệm an ninh mạng</w:t>
            </w:r>
          </w:p>
        </w:tc>
        <w:tc>
          <w:tcPr>
            <w:tcW w:type="dxa" w:w="22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Tuyển mới</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4</w:t>
            </w:r>
          </w:p>
        </w:tc>
        <w:tc>
          <w:tcPr>
            <w:tcW w:type="dxa" w:w="18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Nhân sự BVDLCN (nếu chỉ định nội bộ)</w:t>
            </w:r>
          </w:p>
        </w:tc>
        <w:tc>
          <w:tcPr>
            <w:tcW w:type="dxa" w:w="9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01</w:t>
            </w:r>
          </w:p>
        </w:tc>
        <w:tc>
          <w:tcPr>
            <w:tcW w:type="dxa" w:w="33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Cao đẳng trở lên; ít nhất 02 năm kinh nghiệm trong lĩnh vực liên quan; đã được đào tạo về BVDLCN (NĐ 356 Đ13.2)</w:t>
            </w:r>
          </w:p>
        </w:tc>
        <w:tc>
          <w:tcPr>
            <w:tcW w:type="dxa" w:w="22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Chỉ định nội bộ (Phòng Pháp chế)</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4. Bảo đảm tính độc lập</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Bộ phận chuyên trách ANM không trực tiếp quản trị, vận hành HTTT mà mình thẩm định. Nếu không tách được, </w:t>
      </w:r>
      <w:r>
        <w:rPr>
          <w:rFonts w:ascii="Times New Roman" w:cs="Times New Roman" w:eastAsia="Times New Roman" w:hAnsi="Times New Roman"/>
          <w:b w:val="false"/>
          <w:bCs w:val="false"/>
          <w:i w:val="false"/>
          <w:iCs w:val="false"/>
          <w:sz w:val="26"/>
          <w:szCs w:val="26"/>
          <w:highlight w:val="yellow"/>
        </w:rPr>
        <w:t xml:space="preserve">Phòng Vận hành hệ thống</w:t>
      </w:r>
      <w:r>
        <w:rPr>
          <w:rFonts w:ascii="Times New Roman" w:cs="Times New Roman" w:eastAsia="Times New Roman" w:hAnsi="Times New Roman"/>
          <w:b w:val="false"/>
          <w:bCs w:val="false"/>
          <w:i w:val="false"/>
          <w:iCs w:val="false"/>
          <w:sz w:val="26"/>
          <w:szCs w:val="26"/>
        </w:rPr>
        <w:t xml:space="preserve"> sẽ trình thành lập Hội đồng thẩm định độc lập hoặc giao đơn vị trực thuộc khác thẩm định (NĐ 331 Đ18.4).</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Việc tự đánh giá ANM giao cho </w:t>
      </w:r>
      <w:r>
        <w:rPr>
          <w:rFonts w:ascii="Times New Roman" w:cs="Times New Roman" w:eastAsia="Times New Roman" w:hAnsi="Times New Roman"/>
          <w:b w:val="false"/>
          <w:bCs w:val="false"/>
          <w:i w:val="false"/>
          <w:iCs w:val="false"/>
          <w:sz w:val="26"/>
          <w:szCs w:val="26"/>
          <w:highlight w:val="yellow"/>
        </w:rPr>
        <w:t xml:space="preserve">Ban Kiểm soát nội bộ</w:t>
      </w:r>
      <w:r>
        <w:rPr>
          <w:rFonts w:ascii="Times New Roman" w:cs="Times New Roman" w:eastAsia="Times New Roman" w:hAnsi="Times New Roman"/>
          <w:b w:val="false"/>
          <w:bCs w:val="false"/>
          <w:i w:val="false"/>
          <w:iCs w:val="false"/>
          <w:sz w:val="26"/>
          <w:szCs w:val="26"/>
        </w:rPr>
        <w:t xml:space="preserve">, là đơn vị độc lập với </w:t>
      </w:r>
      <w:r>
        <w:rPr>
          <w:rFonts w:ascii="Times New Roman" w:cs="Times New Roman" w:eastAsia="Times New Roman" w:hAnsi="Times New Roman"/>
          <w:b w:val="false"/>
          <w:bCs w:val="false"/>
          <w:i w:val="false"/>
          <w:iCs w:val="false"/>
          <w:sz w:val="26"/>
          <w:szCs w:val="26"/>
          <w:highlight w:val="yellow"/>
        </w:rPr>
        <w:t xml:space="preserve">Phòng Vận hành hệ thống</w:t>
      </w:r>
      <w:r>
        <w:rPr>
          <w:rFonts w:ascii="Times New Roman" w:cs="Times New Roman" w:eastAsia="Times New Roman" w:hAnsi="Times New Roman"/>
          <w:b w:val="false"/>
          <w:bCs w:val="false"/>
          <w:i w:val="false"/>
          <w:iCs w:val="false"/>
          <w:sz w:val="26"/>
          <w:szCs w:val="26"/>
        </w:rPr>
        <w:t xml:space="preserve"> (NĐ 331 Đ31.2.c).</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 Tách danh sách người thẩm định, người tự đánh giá và người vận hành cho từng HTTT.</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5. Nhân sự bảo vệ dữ liệu cá nhân (nếu phù hợp):</w:t>
      </w:r>
      <w:r>
        <w:rPr>
          <w:rFonts w:ascii="Times New Roman" w:cs="Times New Roman" w:eastAsia="Times New Roman" w:hAnsi="Times New Roman"/>
          <w:b w:val="false"/>
          <w:bCs w:val="false"/>
          <w:i w:val="false"/>
          <w:iCs w:val="false"/>
          <w:sz w:val="26"/>
          <w:szCs w:val="26"/>
        </w:rPr>
        <w:t xml:space="preserve"> đề xuất chỉ định </w:t>
      </w:r>
      <w:r>
        <w:rPr>
          <w:rFonts w:ascii="Times New Roman" w:cs="Times New Roman" w:eastAsia="Times New Roman" w:hAnsi="Times New Roman"/>
          <w:b w:val="false"/>
          <w:bCs w:val="false"/>
          <w:i w:val="false"/>
          <w:iCs w:val="false"/>
          <w:sz w:val="26"/>
          <w:szCs w:val="26"/>
          <w:highlight w:val="yellow"/>
        </w:rPr>
        <w:t xml:space="preserve">Chuyên viên bảo vệ DLCN (bà Phạm Thu Dung)</w:t>
      </w:r>
      <w:r>
        <w:rPr>
          <w:rFonts w:ascii="Times New Roman" w:cs="Times New Roman" w:eastAsia="Times New Roman" w:hAnsi="Times New Roman"/>
          <w:b w:val="false"/>
          <w:bCs w:val="false"/>
          <w:i w:val="false"/>
          <w:iCs w:val="false"/>
          <w:sz w:val="26"/>
          <w:szCs w:val="26"/>
        </w:rPr>
        <w:t xml:space="preserve"> thực hiện nhiệm vụ BVDLCN theo NĐ 356 Đ14. Việc chỉ định phải bằng văn bản chính thức, nêu rõ chức năng, nhiệm vụ, quyền hạn (NĐ 356 Đ13.1).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ký thỏa thuận trách nhiệm bảo mật với người được chỉ định (NĐ 356 Đ13.5) và bố trí đào tạo, bồi dưỡng (NĐ 356 Đ13.6). Nhân sự BVDLCN có thể thuộc bộ phận chuyên trách ANM hoặc đơn vị khác (ví dụ Pháp chế). Khi thuộc bộ phận ANM thì văn bản chỉ định nêu riêng nhiệm vụ BVDLCN.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III. KINH PHÍ DỰ KIẾN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72"/>
        <w:gridCol w:w="5170"/>
        <w:gridCol w:w="1531"/>
        <w:gridCol w:w="1652"/>
      </w:tblGrid>
      <w:tr>
        <w:trPr>
          <w:cantSplit/>
          <w:tblHeader/>
        </w:trPr>
        <w:tc>
          <w:tcPr>
            <w:tcW w:type="dxa" w:w="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STT</w:t>
            </w:r>
          </w:p>
        </w:tc>
        <w:tc>
          <w:tcPr>
            <w:tcW w:type="dxa" w:w="517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Nội dung</w:t>
            </w:r>
          </w:p>
        </w:tc>
        <w:tc>
          <w:tcPr>
            <w:tcW w:type="dxa" w:w="153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Kinh phí/năm (đồng)</w:t>
            </w:r>
          </w:p>
        </w:tc>
        <w:tc>
          <w:tcPr>
            <w:tcW w:type="dxa" w:w="165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Ghi chú</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w:t>
            </w:r>
          </w:p>
        </w:tc>
        <w:tc>
          <w:tcPr>
            <w:tcW w:type="dxa" w:w="51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Chi phí nhân sự tăng thêm (tuyển mới, phụ cấp kiêm nhiệm)</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480.000.000</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2</w:t>
            </w:r>
          </w:p>
        </w:tc>
        <w:tc>
          <w:tcPr>
            <w:tcW w:type="dxa" w:w="51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Đào tạo, chứng chỉ chuyên môn ANM</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90.000.000</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3</w:t>
            </w:r>
          </w:p>
        </w:tc>
        <w:tc>
          <w:tcPr>
            <w:tcW w:type="dxa" w:w="51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Đào tạo, bồi dưỡng nhân sự BVDLCN</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20.000.000</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356 Đ13.6</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4</w:t>
            </w:r>
          </w:p>
        </w:tc>
        <w:tc>
          <w:tcPr>
            <w:tcW w:type="dxa" w:w="51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Công cụ làm việc của bộ phận</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60.000.000</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5</w:t>
            </w:r>
          </w:p>
        </w:tc>
        <w:tc>
          <w:tcPr>
            <w:tcW w:type="dxa" w:w="51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Thuê dịch vụ bổ sung (nếu chọn phương án C)</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0</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51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rPr>
              <w:t xml:space="preserve">Tổng cộng</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highlight w:val="yellow"/>
              </w:rPr>
              <w:t xml:space="preserve">650.000.000</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Nguồn kinh phí: </w:t>
      </w:r>
      <w:r>
        <w:rPr>
          <w:rFonts w:ascii="Times New Roman" w:cs="Times New Roman" w:eastAsia="Times New Roman" w:hAnsi="Times New Roman"/>
          <w:b w:val="false"/>
          <w:bCs w:val="false"/>
          <w:i w:val="false"/>
          <w:iCs w:val="false"/>
          <w:sz w:val="26"/>
          <w:szCs w:val="26"/>
          <w:highlight w:val="yellow"/>
        </w:rPr>
        <w:t xml:space="preserve">Ngân sách hoạt động năm 2026 của Công ty</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IV. TIẾN ĐỘ</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72"/>
        <w:gridCol w:w="4676"/>
        <w:gridCol w:w="2266"/>
        <w:gridCol w:w="1411"/>
      </w:tblGrid>
      <w:tr>
        <w:trPr>
          <w:cantSplit/>
          <w:tblHeader/>
        </w:trPr>
        <w:tc>
          <w:tcPr>
            <w:tcW w:type="dxa" w:w="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STT</w:t>
            </w:r>
          </w:p>
        </w:tc>
        <w:tc>
          <w:tcPr>
            <w:tcW w:type="dxa" w:w="467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Công việc</w:t>
            </w:r>
          </w:p>
        </w:tc>
        <w:tc>
          <w:tcPr>
            <w:tcW w:type="dxa" w:w="226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Đơn vị chủ trì</w:t>
            </w:r>
          </w:p>
        </w:tc>
        <w:tc>
          <w:tcPr>
            <w:tcW w:type="dxa" w:w="141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Thời hạn</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w:t>
            </w:r>
          </w:p>
        </w:tc>
        <w:tc>
          <w:tcPr>
            <w:tcW w:type="dxa" w:w="46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Ban hành Quyết định thành lập (chỉ định) bộ phận chuyên trách ANM</w:t>
            </w:r>
          </w:p>
        </w:tc>
        <w:tc>
          <w:tcPr>
            <w:tcW w:type="dxa" w:w="22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Hành chính – Nhân sự</w:t>
            </w:r>
          </w:p>
        </w:tc>
        <w:tc>
          <w:tcPr>
            <w:tcW w:type="dxa" w:w="14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15/10/2026</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2</w:t>
            </w:r>
          </w:p>
        </w:tc>
        <w:tc>
          <w:tcPr>
            <w:tcW w:type="dxa" w:w="46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Ban hành văn bản chỉ định nhân sự BVDLCN; ký thỏa thuận bảo mật</w:t>
            </w:r>
          </w:p>
        </w:tc>
        <w:tc>
          <w:tcPr>
            <w:tcW w:type="dxa" w:w="22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Pháp chế</w:t>
            </w:r>
          </w:p>
        </w:tc>
        <w:tc>
          <w:tcPr>
            <w:tcW w:type="dxa" w:w="14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15/10/2026</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3</w:t>
            </w:r>
          </w:p>
        </w:tc>
        <w:tc>
          <w:tcPr>
            <w:tcW w:type="dxa" w:w="46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Điều động, tuyển dụng nhân sự</w:t>
            </w:r>
          </w:p>
        </w:tc>
        <w:tc>
          <w:tcPr>
            <w:tcW w:type="dxa" w:w="22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Hành chính – Nhân sự</w:t>
            </w:r>
          </w:p>
        </w:tc>
        <w:tc>
          <w:tcPr>
            <w:tcW w:type="dxa" w:w="14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31/12/2026</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4</w:t>
            </w:r>
          </w:p>
        </w:tc>
        <w:tc>
          <w:tcPr>
            <w:tcW w:type="dxa" w:w="46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Cập nhật đầu mối ANM, BVDLCN vào Quy chế và quy trình ứng phó sự cố</w:t>
            </w:r>
          </w:p>
        </w:tc>
        <w:tc>
          <w:tcPr>
            <w:tcW w:type="dxa" w:w="22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An ninh mạng</w:t>
            </w:r>
          </w:p>
        </w:tc>
        <w:tc>
          <w:tcPr>
            <w:tcW w:type="dxa" w:w="14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31/10/2026</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V. TỔ CHỨC THỰC HIỆN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w:t>
      </w:r>
      <w:r>
        <w:rPr>
          <w:rFonts w:ascii="Times New Roman" w:cs="Times New Roman" w:eastAsia="Times New Roman" w:hAnsi="Times New Roman"/>
          <w:b w:val="false"/>
          <w:bCs w:val="false"/>
          <w:i w:val="false"/>
          <w:iCs w:val="false"/>
          <w:sz w:val="26"/>
          <w:szCs w:val="26"/>
          <w:highlight w:val="yellow"/>
        </w:rPr>
        <w:t xml:space="preserve">Phòng Hành chính – Nhân sự</w:t>
      </w:r>
      <w:r>
        <w:rPr>
          <w:rFonts w:ascii="Times New Roman" w:cs="Times New Roman" w:eastAsia="Times New Roman" w:hAnsi="Times New Roman"/>
          <w:b w:val="false"/>
          <w:bCs w:val="false"/>
          <w:i w:val="false"/>
          <w:iCs w:val="false"/>
          <w:sz w:val="26"/>
          <w:szCs w:val="26"/>
        </w:rPr>
        <w:t xml:space="preserve">: soạn Quyết định, bản mô tả công việc; tổ chức tuyển dụng, điều động.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val="false"/>
          <w:bCs w:val="false"/>
          <w:i w:val="false"/>
          <w:iCs w:val="false"/>
          <w:sz w:val="26"/>
          <w:szCs w:val="26"/>
          <w:highlight w:val="yellow"/>
        </w:rPr>
        <w:t xml:space="preserve">Phòng Vận hành hệ thống</w:t>
      </w:r>
      <w:r>
        <w:rPr>
          <w:rFonts w:ascii="Times New Roman" w:cs="Times New Roman" w:eastAsia="Times New Roman" w:hAnsi="Times New Roman"/>
          <w:b w:val="false"/>
          <w:bCs w:val="false"/>
          <w:i w:val="false"/>
          <w:iCs w:val="false"/>
          <w:sz w:val="26"/>
          <w:szCs w:val="26"/>
        </w:rPr>
        <w:t xml:space="preserve">: đề xuất nhân sự cụ thể; xây dựng quy chế làm việc của bộ phận; đề xuất phương án bảo đảm độc lập.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w:t>
      </w:r>
      <w:r>
        <w:rPr>
          <w:rFonts w:ascii="Times New Roman" w:cs="Times New Roman" w:eastAsia="Times New Roman" w:hAnsi="Times New Roman"/>
          <w:b w:val="false"/>
          <w:bCs w:val="false"/>
          <w:i w:val="false"/>
          <w:iCs w:val="false"/>
          <w:sz w:val="26"/>
          <w:szCs w:val="26"/>
          <w:highlight w:val="yellow"/>
        </w:rPr>
        <w:t xml:space="preserve">Phòng Pháp chế</w:t>
      </w:r>
      <w:r>
        <w:rPr>
          <w:rFonts w:ascii="Times New Roman" w:cs="Times New Roman" w:eastAsia="Times New Roman" w:hAnsi="Times New Roman"/>
          <w:b w:val="false"/>
          <w:bCs w:val="false"/>
          <w:i w:val="false"/>
          <w:iCs w:val="false"/>
          <w:sz w:val="26"/>
          <w:szCs w:val="26"/>
        </w:rPr>
        <w:t xml:space="preserve">: rà soát pháp lý; soạn văn bản chỉ định nhân sự BVDLCN và thỏa thuận bảo mật.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w:t>
      </w:r>
      <w:r>
        <w:rPr>
          <w:rFonts w:ascii="Times New Roman" w:cs="Times New Roman" w:eastAsia="Times New Roman" w:hAnsi="Times New Roman"/>
          <w:b w:val="false"/>
          <w:bCs w:val="false"/>
          <w:i w:val="false"/>
          <w:iCs w:val="false"/>
          <w:sz w:val="26"/>
          <w:szCs w:val="26"/>
          <w:highlight w:val="yellow"/>
        </w:rPr>
        <w:t xml:space="preserve">Phòng Tài chính – Kế toán</w:t>
      </w:r>
      <w:r>
        <w:rPr>
          <w:rFonts w:ascii="Times New Roman" w:cs="Times New Roman" w:eastAsia="Times New Roman" w:hAnsi="Times New Roman"/>
          <w:b w:val="false"/>
          <w:bCs w:val="false"/>
          <w:i w:val="false"/>
          <w:iCs w:val="false"/>
          <w:sz w:val="26"/>
          <w:szCs w:val="26"/>
        </w:rPr>
        <w:t xml:space="preserve">: bố trí kinh phí.</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VI. KIẾN NGHỊ</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Kính trình </w:t>
      </w:r>
      <w:r>
        <w:rPr>
          <w:rFonts w:ascii="Times New Roman" w:cs="Times New Roman" w:eastAsia="Times New Roman" w:hAnsi="Times New Roman"/>
          <w:b w:val="false"/>
          <w:bCs w:val="false"/>
          <w:i w:val="false"/>
          <w:iCs w:val="false"/>
          <w:sz w:val="26"/>
          <w:szCs w:val="26"/>
          <w:highlight w:val="yellow"/>
        </w:rPr>
        <w:t xml:space="preserve">Tổng Giám đốc Công ty</w:t>
      </w:r>
      <w:r>
        <w:rPr>
          <w:rFonts w:ascii="Times New Roman" w:cs="Times New Roman" w:eastAsia="Times New Roman" w:hAnsi="Times New Roman"/>
          <w:b w:val="false"/>
          <w:bCs w:val="false"/>
          <w:i w:val="false"/>
          <w:iCs w:val="false"/>
          <w:sz w:val="26"/>
          <w:szCs w:val="26"/>
        </w:rPr>
        <w:t xml:space="preserve"> xem xét, phê duyệt: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Mô hình tổ chức theo phương án </w:t>
      </w:r>
      <w:r>
        <w:rPr>
          <w:rFonts w:ascii="Times New Roman" w:cs="Times New Roman" w:eastAsia="Times New Roman" w:hAnsi="Times New Roman"/>
          <w:b w:val="false"/>
          <w:bCs w:val="false"/>
          <w:i w:val="false"/>
          <w:iCs w:val="false"/>
          <w:sz w:val="26"/>
          <w:szCs w:val="26"/>
          <w:highlight w:val="yellow"/>
        </w:rPr>
        <w:t xml:space="preserve">B</w:t>
      </w:r>
      <w:r>
        <w:rPr>
          <w:rFonts w:ascii="Times New Roman" w:cs="Times New Roman" w:eastAsia="Times New Roman" w:hAnsi="Times New Roman"/>
          <w:b w:val="false"/>
          <w:bCs w:val="false"/>
          <w:i w:val="false"/>
          <w:iCs w:val="false"/>
          <w:sz w:val="26"/>
          <w:szCs w:val="26"/>
        </w:rPr>
        <w:t xml:space="preserve"> nêu tại Mục II.1.</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Nhân sự và kinh phí nêu tại Mục II.3 và Mục III.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Giao </w:t>
      </w:r>
      <w:r>
        <w:rPr>
          <w:rFonts w:ascii="Times New Roman" w:cs="Times New Roman" w:eastAsia="Times New Roman" w:hAnsi="Times New Roman"/>
          <w:b w:val="false"/>
          <w:bCs w:val="false"/>
          <w:i w:val="false"/>
          <w:iCs w:val="false"/>
          <w:sz w:val="26"/>
          <w:szCs w:val="26"/>
          <w:highlight w:val="yellow"/>
        </w:rPr>
        <w:t xml:space="preserve">Phòng Hành chính – Nhân sự</w:t>
      </w:r>
      <w:r>
        <w:rPr>
          <w:rFonts w:ascii="Times New Roman" w:cs="Times New Roman" w:eastAsia="Times New Roman" w:hAnsi="Times New Roman"/>
          <w:b w:val="false"/>
          <w:bCs w:val="false"/>
          <w:i w:val="false"/>
          <w:iCs w:val="false"/>
          <w:sz w:val="26"/>
          <w:szCs w:val="26"/>
        </w:rPr>
        <w:t xml:space="preserve"> chủ trì, phối hợp </w:t>
      </w:r>
      <w:r>
        <w:rPr>
          <w:rFonts w:ascii="Times New Roman" w:cs="Times New Roman" w:eastAsia="Times New Roman" w:hAnsi="Times New Roman"/>
          <w:b w:val="false"/>
          <w:bCs w:val="false"/>
          <w:i w:val="false"/>
          <w:iCs w:val="false"/>
          <w:sz w:val="26"/>
          <w:szCs w:val="26"/>
          <w:highlight w:val="yellow"/>
        </w:rPr>
        <w:t xml:space="preserve">Phòng Vận hành hệ thống</w:t>
      </w:r>
      <w:r>
        <w:rPr>
          <w:rFonts w:ascii="Times New Roman" w:cs="Times New Roman" w:eastAsia="Times New Roman" w:hAnsi="Times New Roman"/>
          <w:b w:val="false"/>
          <w:bCs w:val="false"/>
          <w:i w:val="false"/>
          <w:iCs w:val="false"/>
          <w:sz w:val="26"/>
          <w:szCs w:val="26"/>
        </w:rPr>
        <w:t xml:space="preserve"> trình ký Quyết định thành lập (chỉ định) bộ phận chuyên trách ANM trước </w:t>
      </w:r>
      <w:r>
        <w:rPr>
          <w:rFonts w:ascii="Times New Roman" w:cs="Times New Roman" w:eastAsia="Times New Roman" w:hAnsi="Times New Roman"/>
          <w:b w:val="false"/>
          <w:bCs w:val="false"/>
          <w:i w:val="false"/>
          <w:iCs w:val="false"/>
          <w:sz w:val="26"/>
          <w:szCs w:val="26"/>
          <w:highlight w:val="yellow"/>
        </w:rPr>
        <w:t xml:space="preserve">15/10/2026</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Chỉ định </w:t>
      </w:r>
      <w:r>
        <w:rPr>
          <w:rFonts w:ascii="Times New Roman" w:cs="Times New Roman" w:eastAsia="Times New Roman" w:hAnsi="Times New Roman"/>
          <w:b w:val="false"/>
          <w:bCs w:val="false"/>
          <w:i w:val="false"/>
          <w:iCs w:val="false"/>
          <w:sz w:val="26"/>
          <w:szCs w:val="26"/>
          <w:highlight w:val="yellow"/>
        </w:rPr>
        <w:t xml:space="preserve">Chuyên viên bảo vệ DLCN (bà Phạm Thu Dung)</w:t>
      </w:r>
      <w:r>
        <w:rPr>
          <w:rFonts w:ascii="Times New Roman" w:cs="Times New Roman" w:eastAsia="Times New Roman" w:hAnsi="Times New Roman"/>
          <w:b w:val="false"/>
          <w:bCs w:val="false"/>
          <w:i w:val="false"/>
          <w:iCs w:val="false"/>
          <w:sz w:val="26"/>
          <w:szCs w:val="26"/>
        </w:rPr>
        <w:t xml:space="preserve"> làm nhân sự BVDLCN; giao </w:t>
      </w:r>
      <w:r>
        <w:rPr>
          <w:rFonts w:ascii="Times New Roman" w:cs="Times New Roman" w:eastAsia="Times New Roman" w:hAnsi="Times New Roman"/>
          <w:b w:val="false"/>
          <w:bCs w:val="false"/>
          <w:i w:val="false"/>
          <w:iCs w:val="false"/>
          <w:sz w:val="26"/>
          <w:szCs w:val="26"/>
          <w:highlight w:val="yellow"/>
        </w:rPr>
        <w:t xml:space="preserve">Phòng Pháp chế</w:t>
      </w:r>
      <w:r>
        <w:rPr>
          <w:rFonts w:ascii="Times New Roman" w:cs="Times New Roman" w:eastAsia="Times New Roman" w:hAnsi="Times New Roman"/>
          <w:b w:val="false"/>
          <w:bCs w:val="false"/>
          <w:i w:val="false"/>
          <w:iCs w:val="false"/>
          <w:sz w:val="26"/>
          <w:szCs w:val="26"/>
        </w:rPr>
        <w:t xml:space="preserve"> trình ký văn bản chỉ định.</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bCs/>
                <w:i w:val="false"/>
                <w:iCs w:val="false"/>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Như trên;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Phòng Hành chính – Nhân sự</w:t>
            </w:r>
            <w:r>
              <w:rPr>
                <w:rFonts w:ascii="Times New Roman" w:cs="Times New Roman" w:eastAsia="Times New Roman" w:hAnsi="Times New Roman"/>
                <w:b w:val="false"/>
                <w:bCs w:val="false"/>
                <w:i w:val="false"/>
                <w:iCs w:val="false"/>
                <w:sz w:val="22"/>
                <w:szCs w:val="22"/>
              </w:rPr>
              <w:t xml:space="preserve">;</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Phòng Pháp chế</w:t>
            </w:r>
            <w:r>
              <w:rPr>
                <w:rFonts w:ascii="Times New Roman" w:cs="Times New Roman" w:eastAsia="Times New Roman" w:hAnsi="Times New Roman"/>
                <w:b w:val="false"/>
                <w:bCs w:val="false"/>
                <w:i w:val="false"/>
                <w:iCs w:val="false"/>
                <w:sz w:val="22"/>
                <w:szCs w:val="22"/>
              </w:rPr>
              <w:t xml:space="preserve">;</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Lưu: VT, </w:t>
            </w:r>
            <w:r>
              <w:rPr>
                <w:rFonts w:ascii="Times New Roman" w:cs="Times New Roman" w:eastAsia="Times New Roman" w:hAnsi="Times New Roman"/>
                <w:b w:val="false"/>
                <w:bCs w:val="false"/>
                <w:i w:val="false"/>
                <w:iCs w:val="false"/>
                <w:sz w:val="22"/>
                <w:szCs w:val="22"/>
                <w:highlight w:val="yellow"/>
              </w:rPr>
              <w:t xml:space="preserve">PVH</w:t>
            </w:r>
            <w:r>
              <w:rPr>
                <w:rFonts w:ascii="Times New Roman" w:cs="Times New Roman" w:eastAsia="Times New Roman" w:hAnsi="Times New Roman"/>
                <w:b w:val="false"/>
                <w:bCs w:val="false"/>
                <w:i w:val="false"/>
                <w:iCs w:val="false"/>
                <w:sz w:val="22"/>
                <w:szCs w:val="22"/>
              </w:rPr>
              <w:t xml:space="preserve">.</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TRƯỞNG PHÒNG VẬN HÀNH HỆ THỐNG</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Lê Minh Cường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9025"/>
      </w:tblGrid>
      <w:tr>
        <w:trPr>
          <w:cantSplit/>
          <w:tblHeader/>
        </w:trPr>
        <w:tc>
          <w:tcPr>
            <w:tcW w:type="dxa" w:w="902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Ý KIẾN PHÊ DUYỆT CỦA LÃNH ĐẠO</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 Đồng ý    ☐ Đồng ý, có điều chỉnh    ☐ Không đồng ý    ☐ Ý kiến khác</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Ý kiến cụ thể: ............................................................................................................</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Ngày ....../....../..........    </w:t>
            </w:r>
            <w:r>
              <w:rPr>
                <w:rFonts w:ascii="Times New Roman" w:cs="Times New Roman" w:eastAsia="Times New Roman" w:hAnsi="Times New Roman"/>
                <w:b w:val="false"/>
                <w:bCs w:val="false"/>
                <w:i w:val="false"/>
                <w:iCs w:val="false"/>
                <w:sz w:val="24"/>
                <w:szCs w:val="24"/>
                <w:highlight w:val="yellow"/>
              </w:rPr>
              <w:t xml:space="preserve">Tổng Giám đốc Công ty</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(ký, ghi rõ họ tên)</w:t>
            </w:r>
          </w:p>
        </w:tc>
      </w:tr>
    </w:tbl>
    <w:p>
      <w:pPr>
        <w:spacing w:after="60" w:before="0" w:line="276" w:lineRule="auto"/>
        <w:jc w:val="both"/>
      </w:pP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Tờ trình thành lập, chỉ định bộ phận chuyên trách an ninh mạng</dc:title>
  <dc:creator>vn-cyber-compliance</dc:creator>
  <cp:lastModifiedBy>Un-named</cp:lastModifiedBy>
  <cp:revision>1</cp:revision>
  <dcterms:created xsi:type="dcterms:W3CDTF">2026-09-28T04:07:53.706Z</dcterms:created>
  <dcterms:modified xsi:type="dcterms:W3CDTF">2026-09-28T04:07:53.706Z</dcterms:modified>
</cp:coreProperties>
</file>

<file path=docProps/custom.xml><?xml version="1.0" encoding="utf-8"?>
<Properties xmlns="http://schemas.openxmlformats.org/officeDocument/2006/custom-properties" xmlns:vt="http://schemas.openxmlformats.org/officeDocument/2006/docPropsVTypes"/>
</file>