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Phòng Vận hành hệ thống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 phiếu: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SL-02/2026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06/10/2026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PHIẾU SÀNG LỌC CẤP ĐỘ HỆ THỐNG THÔNG TIN (CẤP ĐỘ 1–2)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(Căn cứ Nghị định số 331/2026/NĐ-CP ngày 19 tháng 8 năm 2026 của Chính phủ về bảo vệ an ninh mạng đối với hệ thống thông tin)</w:t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A. Thông tin hệ thống thông tin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159"/>
        <w:gridCol w:w="5049"/>
        <w:gridCol w:w="1817"/>
      </w:tblGrid>
      <w:tr>
        <w:trPr>
          <w:cantSplit/>
          <w:tblHeader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Thông tin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Căn cứ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Mã hệ thống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HT-02-INTRANET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Tên hệ thống thông tin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Cổng thông tin nội bộ (Intranet) – văn phòng điện tử, thư điện tử nội bộ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Chủ quản hệ thống thông tin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Đ4.2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Đơn vị vận hành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Vận hành hệ thống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Đ5.1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Đơn vị chuyên trách về an ninh mạng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An ninh mạng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Đ3.2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Chức năng nghiệp vụ chính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Quản lý văn bản đến, đi; lịch công tác; thông báo nội bộ; danh bạ nhân viên; thư điện tử nội bộ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Đ7.1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Loại hình hệ thống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Phục vụ hoạt động nội bộ (điểm a khoản 2 Điều 9)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Đ9.2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Thành phần trong phạm vi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Máy chủ ứng dụng và CSDL Intranet (10.10.20.11–12); dịch vụ thư điện tử đám mây; đăng nhập qua Active Directory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Đ7.2.a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Hệ thống liên quan để ngoài phạm vi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HT-04-LAN (mạng, Active Directory – hồ sơ riêng, cấp độ 2); HT-03-ERP (liên kết qua đường dẫn, không trao đổi dữ liệu)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Đ7.2.b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Đối tượng sử dụng, số người dùng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Nhân viên Công ty, khoảng 120 tài khoản; không có người dùng bên ngoài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Đ7.1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Loại thông tin xử lý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Thông tin riêng (văn bản, thông báo nội bộ); thông tin cá nhân của nhân viên (họ tên, chức danh, điện thoại, email). Không có thông tin bí mật nhà nước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Đ9.1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chủ thể dữ liệu cá nhân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DLCN cơ bản: khoảng 120 chủ thể (nhân viên); DLCN nhạy cảm: 0 (chốt ngày 05/10/2026)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Đ12.2.b, Đ13.2.c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Vị trí triển khai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máy trụ sở (Tầng 3); thư điện tử dùng dịch vụ đám mây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Đ22.3.d</w:t>
            </w:r>
          </w:p>
        </w:tc>
      </w:tr>
      <w:tr>
        <w:trPr>
          <w:cantSplit/>
          <w:tblHeader w:val="false"/>
        </w:trPr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Tình trạng</w:t>
            </w:r>
          </w:p>
        </w:tc>
        <w:tc>
          <w:tcPr>
            <w:tcW w:type="dxa" w:w="5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Đang vận hành; chưa từng được xác định cấp độ</w:t>
            </w:r>
          </w:p>
        </w:tc>
        <w:tc>
          <w:tcPr>
            <w:tcW w:type="dxa" w:w="1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Đ19, Đ20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B. Câu hỏi phạm vi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72"/>
        <w:gridCol w:w="4996"/>
        <w:gridCol w:w="1806"/>
        <w:gridCol w:w="563"/>
        <w:gridCol w:w="988"/>
      </w:tblGrid>
      <w:tr>
        <w:trPr>
          <w:cantSplit/>
          <w:tblHeader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4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Câu hỏi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Căn cứ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Có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Không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B1</w:t>
            </w:r>
          </w:p>
        </w:tc>
        <w:tc>
          <w:tcPr>
            <w:tcW w:type="dxa" w:w="4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Hệ thống phục vụ hoạt động của cơ quan, tổ chức nhà nước?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Đ2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B2</w:t>
            </w:r>
          </w:p>
        </w:tc>
        <w:tc>
          <w:tcPr>
            <w:tcW w:type="dxa" w:w="4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Hệ thống cung cấp dịch vụ trực tuyến cho tổ chức, cá nhân bên ngoài?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Đ2, Đ3.5, Đ9.2.b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B3</w:t>
            </w:r>
          </w:p>
        </w:tc>
        <w:tc>
          <w:tcPr>
            <w:tcW w:type="dxa" w:w="4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Hệ thống chỉ phục vụ quản trị, vận hành nội bộ?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Đ9.2.a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B4</w:t>
            </w:r>
          </w:p>
        </w:tc>
        <w:tc>
          <w:tcPr>
            <w:tcW w:type="dxa" w:w="4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Hệ thống là hạ tầng thông tin (mạng, trung tâm dữ liệu, xác thực…) phục vụ hoạt động của tổ chức?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Đ9.2.c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B5</w:t>
            </w:r>
          </w:p>
        </w:tc>
        <w:tc>
          <w:tcPr>
            <w:tcW w:type="dxa" w:w="4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Đủ điều kiện là một HTTT: chức năng rõ, có xử lý dữ liệu, có người dùng, có đầu ra; một chủ quản; hoạt động độc lập?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Đ7.1, Đ8.1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B6</w:t>
            </w:r>
          </w:p>
        </w:tc>
        <w:tc>
          <w:tcPr>
            <w:tcW w:type="dxa" w:w="4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Phạm vi xác định theo chức năng, dòng dữ liệu, mức phụ thuộc, ảnh hưởng sự cố và không tách, gộp hình thức?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Đ7.2, Đ8.3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Kết luận phạm vi: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thuần nội bộ của doanh nghiệp, không cung cấp dịch vụ trực tuyến: thuộc diện được khuyến khích áp dụng Nghị định số 331/2026/NĐ-CP (Điều 2). Công ty vẫn xác định cấp độ để thực hiện nhiệm vụ tại điểm a khoản 1, khoản 3 Điều 10 Luật An ninh mạng.</w:t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C. Tiêu chí cấp độ 1, cấp độ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72"/>
        <w:gridCol w:w="5756"/>
        <w:gridCol w:w="1047"/>
        <w:gridCol w:w="563"/>
        <w:gridCol w:w="987"/>
      </w:tblGrid>
      <w:tr>
        <w:trPr>
          <w:cantSplit/>
          <w:tblHeader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5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Tiêu chí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Căn cứ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Có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Không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C1</w:t>
            </w:r>
          </w:p>
        </w:tc>
        <w:tc>
          <w:tcPr>
            <w:tcW w:type="dxa" w:w="5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Phục vụ hoạt động nội bộ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và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chỉ xử lý thông tin công cộng → cấp độ 1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Đ11.1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C2</w:t>
            </w:r>
          </w:p>
        </w:tc>
        <w:tc>
          <w:tcPr>
            <w:tcW w:type="dxa" w:w="5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Được đánh giá theo Khung quản lý rủi ro ANM ở mức cấp độ 1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Đ11.2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C3</w:t>
            </w:r>
          </w:p>
        </w:tc>
        <w:tc>
          <w:tcPr>
            <w:tcW w:type="dxa" w:w="5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Phục vụ hoạt động nội bộ, có xử lý thông tin riêng, thông tin cá nhân, không xử lý bí mật nhà nước → cấp độ 2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Đ12.1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C4</w:t>
            </w:r>
          </w:p>
        </w:tc>
        <w:tc>
          <w:tcPr>
            <w:tcW w:type="dxa" w:w="5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Cung cấp dịch vụ trực tuyến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không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thuộc danh mục ngành, nghề đầu tư kinh doanh có điều kiện → cấp độ 2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Đ12.2.a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C5</w:t>
            </w:r>
          </w:p>
        </w:tc>
        <w:tc>
          <w:tcPr>
            <w:tcW w:type="dxa" w:w="5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Dịch vụ trực tuyến khác, xử lý thông tin của dưới 100.000 chủ thể (DLCN cơ bản) hoặc dưới 10.000 chủ thể (DLCN nhạy cảm) → cấp độ 2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Đ12.2.b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C6</w:t>
            </w:r>
          </w:p>
        </w:tc>
        <w:tc>
          <w:tcPr>
            <w:tcW w:type="dxa" w:w="5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Hạ tầng thông tin phục vụ hoạt động của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một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cơ quan, tổ chức → cấp độ 2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Đ12.3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C7</w:t>
            </w:r>
          </w:p>
        </w:tc>
        <w:tc>
          <w:tcPr>
            <w:tcW w:type="dxa" w:w="5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 Thủ tướng Chính phủ quyết định hoặc được đánh giá theo Khung quản lý rủi ro ANM ở mức cấp độ 2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Đ12.4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D. Yếu tố đẩy lên cấp độ 3 trở lên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Có bất kỳ dòng "Có" nào → dừng, chuyển sang bộ hồ sơ đầy đủ.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72"/>
        <w:gridCol w:w="4698"/>
        <w:gridCol w:w="2104"/>
        <w:gridCol w:w="563"/>
        <w:gridCol w:w="988"/>
      </w:tblGrid>
      <w:tr>
        <w:trPr>
          <w:cantSplit/>
          <w:tblHeader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4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Yếu tố</w:t>
            </w:r>
          </w:p>
        </w:tc>
        <w:tc>
          <w:tcPr>
            <w:tcW w:type="dxa" w:w="2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Căn cứ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Có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Không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D1</w:t>
            </w:r>
          </w:p>
        </w:tc>
        <w:tc>
          <w:tcPr>
            <w:tcW w:type="dxa" w:w="4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Xử lý thông tin bí mật nhà nước, hoặc phục vụ quốc phòng, an ninh</w:t>
            </w:r>
          </w:p>
        </w:tc>
        <w:tc>
          <w:tcPr>
            <w:tcW w:type="dxa" w:w="2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Đ13.1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D2</w:t>
            </w:r>
          </w:p>
        </w:tc>
        <w:tc>
          <w:tcPr>
            <w:tcW w:type="dxa" w:w="4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Cung cấp dịch vụ trực tuyến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thuộc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danh mục ngành, nghề đầu tư kinh doanh có điều kiện</w:t>
            </w:r>
          </w:p>
        </w:tc>
        <w:tc>
          <w:tcPr>
            <w:tcW w:type="dxa" w:w="2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Đ13.2.a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D3</w:t>
            </w:r>
          </w:p>
        </w:tc>
        <w:tc>
          <w:tcPr>
            <w:tcW w:type="dxa" w:w="4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Giải quyết thủ tục hành chính</w:t>
            </w:r>
          </w:p>
        </w:tc>
        <w:tc>
          <w:tcPr>
            <w:tcW w:type="dxa" w:w="2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Đ13.2.b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D4</w:t>
            </w:r>
          </w:p>
        </w:tc>
        <w:tc>
          <w:tcPr>
            <w:tcW w:type="dxa" w:w="4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Dịch vụ trực tuyến xử lý thông tin của từ 100.000 chủ thể (DLCN cơ bản) hoặc từ 10.000 chủ thể (DLCN nhạy cảm) trở lên</w:t>
            </w:r>
          </w:p>
        </w:tc>
        <w:tc>
          <w:tcPr>
            <w:tcW w:type="dxa" w:w="2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Đ13.2.c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D5</w:t>
            </w:r>
          </w:p>
        </w:tc>
        <w:tc>
          <w:tcPr>
            <w:tcW w:type="dxa" w:w="4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Hạ tầng thông tin phục vụ các cơ quan, tổ chức trong phạm vi một bộ, ngành, một hoặc một số tỉnh</w:t>
            </w:r>
          </w:p>
        </w:tc>
        <w:tc>
          <w:tcPr>
            <w:tcW w:type="dxa" w:w="2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Đ13.3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D6</w:t>
            </w:r>
          </w:p>
        </w:tc>
        <w:tc>
          <w:tcPr>
            <w:tcW w:type="dxa" w:w="4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Điều khiển công nghiệp phục vụ công trình xây dựng cấp II, III hoặc IV (hoặc cao hơn)</w:t>
            </w:r>
          </w:p>
        </w:tc>
        <w:tc>
          <w:tcPr>
            <w:tcW w:type="dxa" w:w="2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Đ13.4; Đ14.3; Đ15.4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D7</w:t>
            </w:r>
          </w:p>
        </w:tc>
        <w:tc>
          <w:tcPr>
            <w:tcW w:type="dxa" w:w="4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 Thủ tướng Chính phủ quyết định hoặc Khung quản lý rủi ro xếp cấp độ 3 trở lên</w:t>
            </w:r>
          </w:p>
        </w:tc>
        <w:tc>
          <w:tcPr>
            <w:tcW w:type="dxa" w:w="2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Đ13.5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D8</w:t>
            </w:r>
          </w:p>
        </w:tc>
        <w:tc>
          <w:tcPr>
            <w:tcW w:type="dxa" w:w="4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Đánh giá rủi ro cho thấy mức tổn hại vượt cấp độ 2 (tổn hại đặc biệt nghiêm trọng tới quyền, lợi ích hợp pháp; tổn hại nghiêm trọng tới lợi ích công cộng; tổn hại tới trật tự, an toàn xã hội hoặc an ninh quốc gia)</w:t>
            </w:r>
          </w:p>
        </w:tc>
        <w:tc>
          <w:tcPr>
            <w:tcW w:type="dxa" w:w="2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Luật 116 Đ8.1.c; Đ10.5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D9</w:t>
            </w:r>
          </w:p>
        </w:tc>
        <w:tc>
          <w:tcPr>
            <w:tcW w:type="dxa" w:w="4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Phạm vi hệ thống bị tách hoặc gộp làm cấp độ thấp hơn so với phương án phản ánh đúng thực tế vận hành</w:t>
            </w:r>
          </w:p>
        </w:tc>
        <w:tc>
          <w:tcPr>
            <w:tcW w:type="dxa" w:w="2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Đ8.3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D10</w:t>
            </w:r>
          </w:p>
        </w:tc>
        <w:tc>
          <w:tcPr>
            <w:tcW w:type="dxa" w:w="4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Có dấu hiệu HTTT quan trọng về an ninh quốc gia</w:t>
            </w:r>
          </w:p>
        </w:tc>
        <w:tc>
          <w:tcPr>
            <w:tcW w:type="dxa" w:w="2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Đ16; Đ17</w:t>
            </w:r>
          </w:p>
        </w:tc>
        <w:tc>
          <w:tcPr>
            <w:tcW w:type="dxa" w:w="5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☐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☑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E. Kết luận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554"/>
        <w:gridCol w:w="5471"/>
      </w:tblGrid>
      <w:tr>
        <w:trPr>
          <w:cantSplit/>
          <w:tblHeader/>
        </w:trPr>
        <w:tc>
          <w:tcPr>
            <w:tcW w:type="dxa" w:w="3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Kết quả</w:t>
            </w:r>
          </w:p>
        </w:tc>
      </w:tr>
      <w:tr>
        <w:trPr>
          <w:cantSplit/>
          <w:tblHeader w:val="false"/>
        </w:trPr>
        <w:tc>
          <w:tcPr>
            <w:tcW w:type="dxa" w:w="3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Cấp độ đề xuất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highlight w:val="yellow"/>
              </w:rPr>
              <w:t xml:space="preserve">Cấp độ 2</w:t>
            </w:r>
          </w:p>
        </w:tc>
      </w:tr>
      <w:tr>
        <w:trPr>
          <w:cantSplit/>
          <w:tblHeader w:val="false"/>
        </w:trPr>
        <w:tc>
          <w:tcPr>
            <w:tcW w:type="dxa" w:w="3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Tiêu chí áp dụng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Khoản 1 Điều 12 Nghị định số 331/2026/NĐ-CP (hệ thống nội bộ có xử lý thông tin riêng, thông tin cá nhân, không xử lý thông tin bí mật nhà nước)</w:t>
            </w:r>
          </w:p>
        </w:tc>
      </w:tr>
      <w:tr>
        <w:trPr>
          <w:cantSplit/>
          <w:tblHeader w:val="false"/>
        </w:trPr>
        <w:tc>
          <w:tcPr>
            <w:tcW w:type="dxa" w:w="3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Khớp nhiều tiêu chí (áp dụng cấp cao nhất – Đ8.2)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Không – chỉ khớp một tiêu chí</w:t>
            </w:r>
          </w:p>
        </w:tc>
      </w:tr>
      <w:tr>
        <w:trPr>
          <w:cantSplit/>
          <w:tblHeader w:val="false"/>
        </w:trPr>
        <w:tc>
          <w:tcPr>
            <w:tcW w:type="dxa" w:w="3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Mức tổn hại dự kiến theo đánh giá rủi ro sơ bộ (Luật 116 Đ8.1)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Có thể làm tổn hại nghiêm trọng tới quyền và lợi ích hợp pháp của Công ty, nhân viên; phù hợp cấp độ 2 (điểm b khoản 1 Điều 8 Luật An ninh mạng)</w:t>
            </w:r>
          </w:p>
        </w:tc>
      </w:tr>
      <w:tr>
        <w:trPr>
          <w:cantSplit/>
          <w:tblHeader w:val="false"/>
        </w:trPr>
        <w:tc>
          <w:tcPr>
            <w:tcW w:type="dxa" w:w="3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Bộ mẫu áp dụng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Bộ mẫu HTTT cấp độ 1–2</w:t>
            </w:r>
          </w:p>
        </w:tc>
      </w:tr>
      <w:tr>
        <w:trPr>
          <w:cantSplit/>
          <w:tblHeader w:val="false"/>
        </w:trPr>
        <w:tc>
          <w:tcPr>
            <w:tcW w:type="dxa" w:w="3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Lưu ý khi lập hồ sơ</w:t>
            </w:r>
          </w:p>
        </w:tc>
        <w:tc>
          <w:tcPr>
            <w:tcW w:type="dxa" w:w="5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Xác minh vị trí máy chủ của dịch vụ thư điện tử đám mây; nếu đặt ngoài Việt Nam, rà soát nghĩa vụ chuyển DLCN xuyên biên giới (Điều 20 Luật Bảo vệ dữ liệu cá nhân).</w:t>
            </w:r>
          </w:p>
        </w:tc>
      </w:tr>
    </w:tbl>
    <w:p>
      <w:pPr>
        <w:spacing w:after="60" w:before="0" w:line="276" w:lineRule="auto"/>
        <w:jc w:val="both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800"/>
        <w:gridCol w:w="5225"/>
      </w:tblGrid>
      <w:tr>
        <w:trPr>
          <w:cantSplit/>
          <w:tblHeader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NGƯỜI LẬP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(Đơn vị vận hành)</w:t>
            </w:r>
          </w:p>
        </w:tc>
        <w:tc>
          <w:tcPr>
            <w:tcW w:type="dxa" w:w="5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XÁC NHẬN KẾT QUẢ SÀNG LỌC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(Đơn vị chuyên trách về an ninh mạng)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06/10/2026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(Ký, ghi rõ họ tên)</w:t>
            </w:r>
          </w:p>
          <w:p>
            <w:pPr>
              <w:keepNext w:val="false"/>
              <w:spacing w:after="0" w:before="0" w:line="240" w:lineRule="auto"/>
              <w:jc w:val="left"/>
            </w:pPr>
          </w:p>
          <w:p>
            <w:pPr>
              <w:keepNext w:val="false"/>
              <w:spacing w:after="0" w:before="0" w:line="240" w:lineRule="auto"/>
              <w:jc w:val="left"/>
            </w:pP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highlight w:val="yellow"/>
              </w:rPr>
              <w:t xml:space="preserve">Lê Minh Cường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Trưởng phòng Vận hành hệ thống</w:t>
            </w:r>
          </w:p>
        </w:tc>
        <w:tc>
          <w:tcPr>
            <w:tcW w:type="dxa" w:w="5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08/10/2026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(Ký, ghi rõ họ tên)</w:t>
            </w:r>
          </w:p>
          <w:p>
            <w:pPr>
              <w:keepNext w:val="false"/>
              <w:spacing w:after="0" w:before="0" w:line="240" w:lineRule="auto"/>
              <w:jc w:val="left"/>
            </w:pPr>
          </w:p>
          <w:p>
            <w:pPr>
              <w:keepNext w:val="false"/>
              <w:spacing w:after="0" w:before="0" w:line="240" w:lineRule="auto"/>
              <w:jc w:val="left"/>
            </w:pP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highlight w:val="yellow"/>
              </w:rPr>
              <w:t xml:space="preserve">Trần Thị Bình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Trưởng phòng An ninh mạng</w:t>
            </w:r>
          </w:p>
        </w:tc>
      </w:tr>
    </w:tbl>
    <w:p>
      <w:pPr>
        <w:spacing w:after="60" w:before="0" w:line="276" w:lineRule="auto"/>
        <w:jc w:val="both"/>
      </w:pP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— Phiếu sàng lọc cấp độ hệ thống thông tin (cấp độ 1–2)</dc:title>
  <dc:creator>vn-cyber-compliance</dc:creator>
  <cp:lastModifiedBy>Un-named</cp:lastModifiedBy>
  <cp:revision>1</cp:revision>
  <dcterms:created xsi:type="dcterms:W3CDTF">2026-09-28T04:07:54.185Z</dcterms:created>
  <dcterms:modified xsi:type="dcterms:W3CDTF">2026-09-28T04:07:54.185Z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