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40/2026/QĐ-TURBO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01</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phân công nhiệm vụ bảo đảm an ninh mạng đối với các hệ thống thông tin cấp độ 1, cấp độ 2</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Trưởng 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Chỉ định đơn vị chuyên trách về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định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là đơn vị chuyên trách về an ninh mạng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theo khoản 2 Điều 3 Nghị định số 331/2026/NĐ-CP, đối với các hệ thống thông tin được đề xuất cấp độ 1, cấp độ 2 nêu tại Phụ lục kèm theo Quyết định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có nhiệm vụ:</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Tiếp nhận văn bản đề nghị và hồ sơ đề xuất cấp độ do đơn vị vận hành gửi; phản hồi, hướng dẫn bổ sung hồ sơ chưa hợp lệ trong thời hạn tối đa 05 ngày làm việc kể từ ngày nhận hồ sơ (khoản 2 Điều 23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Thẩm định hồ sơ đề xuất cấp độ theo các nội dung quy định tại khoản 1 Điều 23 Nghị định số 331/2026/NĐ-CP, hoàn thành trong thời hạn </w:t>
      </w:r>
      <w:r>
        <w:rPr>
          <w:rFonts w:ascii="Times New Roman" w:cs="Times New Roman" w:eastAsia="Times New Roman" w:hAnsi="Times New Roman"/>
          <w:b w:val="false"/>
          <w:bCs w:val="false"/>
          <w:i w:val="false"/>
          <w:iCs w:val="false"/>
          <w:sz w:val="26"/>
          <w:szCs w:val="26"/>
          <w:highlight w:val="yellow"/>
        </w:rPr>
        <w:t xml:space="preserve">10 ngày làm việc</w:t>
      </w:r>
      <w:r>
        <w:rPr>
          <w:rFonts w:ascii="Times New Roman" w:cs="Times New Roman" w:eastAsia="Times New Roman" w:hAnsi="Times New Roman"/>
          <w:b w:val="false"/>
          <w:bCs w:val="false"/>
          <w:i w:val="false"/>
          <w:iCs w:val="false"/>
          <w:sz w:val="26"/>
          <w:szCs w:val="26"/>
        </w:rPr>
        <w:t xml:space="preserve"> kể từ ngày nhận đủ hồ sơ hợp lệ; kết quả thẩm định lập thành biên bản;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Phê duyệt đề xuất cấp độ đối với hệ thống thông tin được đề xuất cấp độ 1, cấp độ 2 theo khoản 1 Điều 18 và điểm a khoản 3 Điều 20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Báo cáo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kết quả thẩm định, phê duyệt trong thời hạn </w:t>
      </w:r>
      <w:r>
        <w:rPr>
          <w:rFonts w:ascii="Times New Roman" w:cs="Times New Roman" w:eastAsia="Times New Roman" w:hAnsi="Times New Roman"/>
          <w:b w:val="false"/>
          <w:bCs w:val="false"/>
          <w:i w:val="false"/>
          <w:iCs w:val="false"/>
          <w:sz w:val="26"/>
          <w:szCs w:val="26"/>
          <w:highlight w:val="yellow"/>
        </w:rPr>
        <w:t xml:space="preserve">03 ngày làm việc</w:t>
      </w:r>
      <w:r>
        <w:rPr>
          <w:rFonts w:ascii="Times New Roman" w:cs="Times New Roman" w:eastAsia="Times New Roman" w:hAnsi="Times New Roman"/>
          <w:b w:val="false"/>
          <w:bCs w:val="false"/>
          <w:i w:val="false"/>
          <w:iCs w:val="false"/>
          <w:sz w:val="26"/>
          <w:szCs w:val="26"/>
        </w:rPr>
        <w:t xml:space="preserve"> kể từ ngày ký quyết định phê duyệt;</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đ) Tham mưu ban hành, sửa đổi Quy chế bảo đảm an ninh mạng; tổ chức thực thi, đôn đốc, kiểm tra, giám sát công tác bảo vệ an ninh mạng; phối hợp với lực lượng chuyên trách bảo vệ an ninh mạng trong kiểm tra, đánh giá, giám sát, ứng cứu sự cố (khoản 1, khoản 2 Điều 32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e) Phối hợp với đơn vị vận hành dò quét điểm yếu, lỗ hổng bảo mật; chủ trì tự đánh giá an ninh mạng định kỳ với tư cách bộ phận độc lập với đơn vị trực tiếp vận hành (khoản 5 Điều 32, điểm c khoản 2 Điều 31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g) Tổng hợp báo cáo định kỳ hằng năm gửi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trước ngày 20 tháng 12 (điểm a khoản 4 Điều 35 Nghị định số 331/2026/NĐ-CP); kiểm tra, giám sát việc thực hiện các quyết định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Giao </w:t>
      </w:r>
      <w:r>
        <w:rPr>
          <w:rFonts w:ascii="Times New Roman" w:cs="Times New Roman" w:eastAsia="Times New Roman" w:hAnsi="Times New Roman"/>
          <w:b w:val="false"/>
          <w:bCs w:val="false"/>
          <w:i w:val="false"/>
          <w:iCs w:val="false"/>
          <w:sz w:val="26"/>
          <w:szCs w:val="26"/>
          <w:highlight w:val="yellow"/>
        </w:rPr>
        <w:t xml:space="preserve">Trưởng phòng An ninh mạng</w:t>
      </w:r>
      <w:r>
        <w:rPr>
          <w:rFonts w:ascii="Times New Roman" w:cs="Times New Roman" w:eastAsia="Times New Roman" w:hAnsi="Times New Roman"/>
          <w:b w:val="false"/>
          <w:bCs w:val="false"/>
          <w:i w:val="false"/>
          <w:iCs w:val="false"/>
          <w:sz w:val="26"/>
          <w:szCs w:val="26"/>
        </w:rPr>
        <w:t xml:space="preserve"> ký các văn bản sau nhân danh đơn vị chuyên trách về an ninh mạng: biên bản thẩm định; quyết định phê duyệt cấp độ hệ thống thông tin cấp độ 1, cấp độ 2; báo cáo chủ quản kết quả phê duyệt. Văn bản được đăng ký số, phát hành và lưu theo quy chế văn thư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Trường hợp qua thẩm định xét thấy hệ thống thông tin phải được đề xuất cấp độ 3 trở lên,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dừng việc phê duyệt, báo cáo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và hướng dẫn đơn vị vận hành thực hiện theo khoản 2 hoặc khoản 3 Điều 18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Giao đơn vị vận hành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Giao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là đơn vị vận hành các hệ thống thông tin nêu tại Phụ lục kèm theo Quyết định này (khoản 1 Điều 5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có nhiệm vụ:</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Thực hiện đánh giá rủi ro an ninh mạng khi xác định cấp độ lần đầu và khi có thay đổi theo khoản 2 Điều 10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Lập phiếu sàng lọc cấp độ, lập hồ sơ đề xuất cấp độ theo Điều 21 Nghị định số 331/2026/NĐ-CP và gửi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kèm văn bản đề nghị thẩm định, phê duyệt (Mẫu số 01) theo điểm a, điểm b khoản 1 Điều 20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Thực hiện các biện pháp bảo vệ an ninh mạng theo phương án đã được phê duyệt và Quy chế bảo đảm an ninh mạng; định kỳ đánh giá hiệu quả các biện pháp bảo vệ, báo cáo điều chỉnh khi cần thiết (khoản 1, khoản 3 Điều 33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Phối hợp với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xử lý, khắc phục điểm yếu, lỗ hổng bảo mật (khoản 4 Điều 33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đ) Gửi báo cáo định kỳ hằng năm tới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trước ngày 20 tháng 12 (điểm a khoản 4 Điều 35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e) Đề nghị xác định lại cấp độ khi hệ thống thay đổi chức năng, phạm vi phục vụ, đối tượng sử dụng, loại thông tin, công nghệ hoặc mở rộng, kết nối với hệ thống khác (Điều 25; điểm b, điểm c khoản 2 Điều 10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không tham gia thẩm định hồ sơ đề xuất cấp độ do mình lập.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Phương án thẩm định độc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Trường hợp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đồng thời được giao quản lý, vận hành hệ thống thông tin nêu tại Phụ lục, việc thẩm định hồ sơ đề xuất cấp độ của hệ thống đó thực hiện theo một trong các phương án sau (khoản 4 Điều 18 Nghị định số 331/2026/NĐ-CP):</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trình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giao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chủ trì, tổ chức thẩm định;</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trình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thành lập Hội đồng thẩm định độc lập.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Tình trạng tại thời điểm ban hành Quyết định này: </w:t>
      </w:r>
      <w:r>
        <w:rPr>
          <w:rFonts w:ascii="Times New Roman" w:cs="Times New Roman" w:eastAsia="Times New Roman" w:hAnsi="Times New Roman"/>
          <w:b w:val="false"/>
          <w:bCs w:val="false"/>
          <w:i w:val="false"/>
          <w:iCs w:val="false"/>
          <w:sz w:val="26"/>
          <w:szCs w:val="26"/>
          <w:highlight w:val="yellow"/>
        </w:rPr>
        <w:t xml:space="preserve">không phát sinh, do Phòng An ninh mạng không được giao quản lý, vận hành hệ thống thông tin nào nêu tại Phụ lục. Khi phát sinh, Phòng An ninh mạng trình Tổng Giám đốc quyết định phương án trước khi tiếp nhận hồ sơ.</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Đầu mối ứng phó sự cố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Người chủ chốt quản lý quy trình ứng phó sự cố an ninh mạng: </w:t>
      </w:r>
      <w:r>
        <w:rPr>
          <w:rFonts w:ascii="Times New Roman" w:cs="Times New Roman" w:eastAsia="Times New Roman" w:hAnsi="Times New Roman"/>
          <w:b w:val="false"/>
          <w:bCs w:val="false"/>
          <w:i w:val="false"/>
          <w:iCs w:val="false"/>
          <w:sz w:val="26"/>
          <w:szCs w:val="26"/>
          <w:highlight w:val="yellow"/>
        </w:rPr>
        <w:t xml:space="preserve">Trần Thị Bình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Trưởng phòng An ninh mạng</w:t>
      </w:r>
      <w:r>
        <w:rPr>
          <w:rFonts w:ascii="Times New Roman" w:cs="Times New Roman" w:eastAsia="Times New Roman" w:hAnsi="Times New Roman"/>
          <w:b w:val="false"/>
          <w:bCs w:val="false"/>
          <w:i w:val="false"/>
          <w:iCs w:val="false"/>
          <w:sz w:val="26"/>
          <w:szCs w:val="26"/>
        </w:rPr>
        <w:t xml:space="preserve">; người dự phòng: </w:t>
      </w:r>
      <w:r>
        <w:rPr>
          <w:rFonts w:ascii="Times New Roman" w:cs="Times New Roman" w:eastAsia="Times New Roman" w:hAnsi="Times New Roman"/>
          <w:b w:val="false"/>
          <w:bCs w:val="false"/>
          <w:i w:val="false"/>
          <w:iCs w:val="false"/>
          <w:sz w:val="26"/>
          <w:szCs w:val="26"/>
          <w:highlight w:val="yellow"/>
        </w:rPr>
        <w:t xml:space="preserve">Đỗ Văn Giang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Phòng An ninh mạng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Kênh tiếp nhận báo cáo sự cố nội bộ: </w:t>
      </w:r>
      <w:r>
        <w:rPr>
          <w:rFonts w:ascii="Times New Roman" w:cs="Times New Roman" w:eastAsia="Times New Roman" w:hAnsi="Times New Roman"/>
          <w:b w:val="false"/>
          <w:bCs w:val="false"/>
          <w:i w:val="false"/>
          <w:iCs w:val="false"/>
          <w:sz w:val="26"/>
          <w:szCs w:val="26"/>
          <w:highlight w:val="yellow"/>
        </w:rPr>
        <w:t xml:space="preserve">máy lẻ 5699 hoặc email suco@example.vn</w:t>
      </w:r>
      <w:r>
        <w:rPr>
          <w:rFonts w:ascii="Times New Roman" w:cs="Times New Roman" w:eastAsia="Times New Roman" w:hAnsi="Times New Roman"/>
          <w:b w:val="false"/>
          <w:bCs w:val="false"/>
          <w:i w:val="false"/>
          <w:iCs w:val="false"/>
          <w:sz w:val="26"/>
          <w:szCs w:val="26"/>
        </w:rPr>
        <w:t xml:space="preserve">. Người chủ chốt (hoặc người dự phòng khi người chủ chốt vắng mặt) làm đầu mối liên hệ với lực lượng chuyên trách bảo vệ an ninh mạng thuộc Bộ Công an.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Đầu mối có trách nhiệm tham mưu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thực hiện báo cáo sự cố theo điểm d khoản 2 Điều 31 Nghị định số 331/2026/NĐ-CP (thông báo ban đầu sự cố nghiêm trọng trong 24 giờ; báo cáo nguyên nhân, phạm vi ảnh hưởng, biện pháp khắc phục trong 72 giờ kể từ khi phát hiện); phối hợp với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thông báo vi phạm quy định về bảo vệ dữ liệu cá nhân chậm nhất 72 giờ kể từ khi phát hiện (khoản 1 Điều 23 Luật Bảo vệ dữ liệu cá nhân số 91/2025/QH15).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Thông tin liên hệ của đầu mối và của các cơ quan, tổ chức hỗ trợ ứng phó sự cố được rà soát, cập nhật tối thiểu 01 lần/năm và ngay khi có thay đổi.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Người phụ trách tài sản, tài khoản và nhân sự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Ông Lê Minh Cường, Trưởng phòng Vận hành hệ thống,</w:t>
      </w:r>
      <w:r>
        <w:rPr>
          <w:rFonts w:ascii="Times New Roman" w:cs="Times New Roman" w:eastAsia="Times New Roman" w:hAnsi="Times New Roman"/>
          <w:b w:val="false"/>
          <w:bCs w:val="false"/>
          <w:i w:val="false"/>
          <w:iCs w:val="false"/>
          <w:sz w:val="26"/>
          <w:szCs w:val="26"/>
        </w:rPr>
        <w:t xml:space="preserve"> chịu trách nhiệm lập, cập nhật danh mục tài sản phần cứng, phần mềm, tài sản thông tin; quản lý tài khoản và quyền truy cập của các hệ thống thông tin nêu tại Phụ lục; tổ chức kiểm kê, rà soát tối thiểu 01 lần/năm.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Nhân sự vận hành, quản trị hệ thống và bảo vệ an ninh mạng phải ký cam kết bảo mật thông tin trong quá trình làm việc và sau khi nghỉ việc.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hoạt động độc lập về chuyên môn với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và báo cáo trực tiếp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thông báo cho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ngay khi người lao động nghỉ việc hoặc thay đổi công việc để thu hồi thiết bị, thẻ truy cập và vô hiệu hóa quyền truy cập, quyền quản trị.</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Hiệu lực và trách nhiệm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kể từ ngày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Trưởng phòng An ninh mạng, Trưởng phòng Vận hành hệ thống, Trưởng phòng Hành chính – Nhân sự, Trưởng Ban Kiểm soát nội bộ và các cá nhân có tên tại Điều 4, Điều 5</w:t>
      </w:r>
      <w:r>
        <w:rPr>
          <w:rFonts w:ascii="Times New Roman" w:cs="Times New Roman" w:eastAsia="Times New Roman" w:hAnsi="Times New Roman"/>
          <w:b w:val="false"/>
          <w:bCs w:val="false"/>
          <w:i w:val="false"/>
          <w:iCs w:val="false"/>
          <w:sz w:val="26"/>
          <w:szCs w:val="26"/>
        </w:rPr>
        <w:t xml:space="preserve">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6;</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Hội đồng quản trị (để báo cáo)</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DANH MỤC HỆ THỐNG THÔNG TIN ÁP DỤNG</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Quyết định số </w:t>
      </w:r>
      <w:r>
        <w:rPr>
          <w:rFonts w:ascii="Times New Roman" w:cs="Times New Roman" w:eastAsia="Times New Roman" w:hAnsi="Times New Roman"/>
          <w:b w:val="false"/>
          <w:bCs w:val="false"/>
          <w:i/>
          <w:iCs/>
          <w:sz w:val="26"/>
          <w:szCs w:val="26"/>
          <w:highlight w:val="yellow"/>
        </w:rPr>
        <w:t xml:space="preserve">40/2026/QĐ-TURBO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01</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iCs/>
          <w:sz w:val="26"/>
          <w:szCs w:val="26"/>
          <w:highlight w:val="yellow"/>
        </w:rPr>
        <w:t xml:space="preserve">10</w:t>
      </w: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iCs/>
          <w:sz w:val="26"/>
          <w:szCs w:val="26"/>
          <w:highlight w:val="yellow"/>
        </w:rPr>
        <w:t xml:space="preserve">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894"/>
        <w:gridCol w:w="3695"/>
        <w:gridCol w:w="1168"/>
        <w:gridCol w:w="1596"/>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36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Tên hệ thống thông tin</w:t>
            </w:r>
          </w:p>
        </w:tc>
        <w:tc>
          <w:tcPr>
            <w:tcW w:type="dxa" w:w="11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Cấp độ dự kiến</w:t>
            </w:r>
          </w:p>
        </w:tc>
        <w:tc>
          <w:tcPr>
            <w:tcW w:type="dxa" w:w="15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vận hành</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3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Cổng thông tin nội bộ (Intranet) – văn phòng điện tử, thư điện tử nội bộ</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w:t>
            </w:r>
          </w:p>
        </w:tc>
        <w:tc>
          <w:tcPr>
            <w:tcW w:type="dxa" w:w="1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3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kế toán – nhân sự nội bộ (ERP)</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w:t>
            </w:r>
          </w:p>
        </w:tc>
        <w:tc>
          <w:tcPr>
            <w:tcW w:type="dxa" w:w="1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3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Hạ tầng mạng nội bộ trụ sở (LAN, Wi-Fi, Active Directory)</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w:t>
            </w:r>
          </w:p>
        </w:tc>
        <w:tc>
          <w:tcPr>
            <w:tcW w:type="dxa" w:w="1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HT-05-BANGTIN</w:t>
            </w:r>
          </w:p>
        </w:tc>
        <w:tc>
          <w:tcPr>
            <w:tcW w:type="dxa" w:w="3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màn hình bảng tin điện tử tại sảnh</w:t>
            </w:r>
          </w:p>
        </w:tc>
        <w:tc>
          <w:tcPr>
            <w:tcW w:type="dxa" w:w="11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1</w:t>
            </w:r>
          </w:p>
        </w:tc>
        <w:tc>
          <w:tcPr>
            <w:tcW w:type="dxa" w:w="1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Cấp độ dự kiến theo kết quả sàng lọc; cấp độ chính thức theo quyết định phê duyệt. Bổ sung, điều chỉnh danh mục khi có hệ thống mới hoặc khi xác định lại cấp độ.</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Quyết định phân công nhiệm vụ bảo đảm an ninh mạng đối với HTTT cấp độ 1, cấp độ 2</dc:title>
  <dc:creator>vn-cyber-compliance</dc:creator>
  <cp:lastModifiedBy>Un-named</cp:lastModifiedBy>
  <cp:revision>1</cp:revision>
  <dcterms:created xsi:type="dcterms:W3CDTF">2026-09-28T04:07:54.244Z</dcterms:created>
  <dcterms:modified xsi:type="dcterms:W3CDTF">2026-09-28T04:07:54.244Z</dcterms:modified>
</cp:coreProperties>
</file>

<file path=docProps/custom.xml><?xml version="1.0" encoding="utf-8"?>
<Properties xmlns="http://schemas.openxmlformats.org/officeDocument/2006/custom-properties" xmlns:vt="http://schemas.openxmlformats.org/officeDocument/2006/docPropsVTypes"/>
</file>