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41/2026/QĐ-TURBO</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05 tháng 10 năm 2026</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QUYẾT ĐỊNH</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Ban hành Quy chế bảo đảm an ninh mạng hệ thống thông tin cấp độ 1, cấp độ 2 của </w:t>
      </w:r>
      <w:r>
        <w:rPr>
          <w:rFonts w:ascii="Times New Roman" w:cs="Times New Roman" w:eastAsia="Times New Roman" w:hAnsi="Times New Roman"/>
          <w:b/>
          <w:bCs/>
          <w:i w:val="false"/>
          <w:iCs w:val="false"/>
          <w:sz w:val="26"/>
          <w:szCs w:val="26"/>
          <w:highlight w:val="yellow"/>
        </w:rPr>
        <w:t xml:space="preserve">Công ty cổ phần Giải pháp Công nghệ TURBO</w:t>
      </w:r>
    </w:p>
    <w:p>
      <w:pPr>
        <w:keepNext/>
        <w:spacing w:after="180" w:before="120" w:line="240" w:lineRule="auto"/>
        <w:jc w:val="center"/>
      </w:pPr>
      <w:r>
        <w:rPr>
          <w:rFonts w:ascii="Times New Roman" w:cs="Times New Roman" w:eastAsia="Times New Roman" w:hAnsi="Times New Roman"/>
          <w:b/>
          <w:bCs/>
          <w:i w:val="false"/>
          <w:iCs w:val="false"/>
          <w:sz w:val="28"/>
          <w:szCs w:val="28"/>
          <w:highlight w:val="yellow"/>
        </w:rPr>
        <w:t xml:space="preserve">TỔNG GIÁM ĐỐC</w:t>
      </w:r>
      <w:r>
        <w:rPr>
          <w:rFonts w:ascii="Times New Roman" w:cs="Times New Roman" w:eastAsia="Times New Roman" w:hAnsi="Times New Roman"/>
          <w:b/>
          <w:bCs/>
          <w:i w:val="false"/>
          <w:iCs w:val="false"/>
          <w:sz w:val="28"/>
          <w:szCs w:val="28"/>
        </w:rPr>
        <w:t xml:space="preserve"> </w:t>
      </w:r>
      <w:r>
        <w:rPr>
          <w:rFonts w:ascii="Times New Roman" w:cs="Times New Roman" w:eastAsia="Times New Roman" w:hAnsi="Times New Roman"/>
          <w:b/>
          <w:bCs/>
          <w:i w:val="false"/>
          <w:iCs w:val="false"/>
          <w:sz w:val="28"/>
          <w:szCs w:val="28"/>
          <w:highlight w:val="yellow"/>
        </w:rPr>
        <w:t xml:space="preserve">CÔNG TY CỔ PHẦN GIẢI PHÁP CÔNG NGHỆ TURBO</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An ninh mạng số 116/2025/QH15;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331/2026/NĐ-CP của Chính phủ về bảo vệ an ninh mạng đối với hệ thống thông tin;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Tiêu chuẩn quốc gia TCVN 14423:2026 An ninh mạng – Hệ thống thông tin – Yêu cầu cơ bản;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w:t>
      </w:r>
      <w:r>
        <w:rPr>
          <w:rFonts w:ascii="Times New Roman" w:cs="Times New Roman" w:eastAsia="Times New Roman" w:hAnsi="Times New Roman"/>
          <w:b w:val="false"/>
          <w:bCs w:val="false"/>
          <w:i/>
          <w:iCs/>
          <w:sz w:val="26"/>
          <w:szCs w:val="26"/>
          <w:highlight w:val="yellow"/>
        </w:rPr>
        <w:t xml:space="preserve">Điều lệ Công ty cổ phần Giải pháp Công nghệ TURBO</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Quyết định số </w:t>
      </w:r>
      <w:r>
        <w:rPr>
          <w:rFonts w:ascii="Times New Roman" w:cs="Times New Roman" w:eastAsia="Times New Roman" w:hAnsi="Times New Roman"/>
          <w:b w:val="false"/>
          <w:bCs w:val="false"/>
          <w:i/>
          <w:iCs/>
          <w:sz w:val="26"/>
          <w:szCs w:val="26"/>
          <w:highlight w:val="yellow"/>
        </w:rPr>
        <w:t xml:space="preserve">40/2026/QĐ-TURBO</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01/10/2026</w:t>
      </w:r>
      <w:r>
        <w:rPr>
          <w:rFonts w:ascii="Times New Roman" w:cs="Times New Roman" w:eastAsia="Times New Roman" w:hAnsi="Times New Roman"/>
          <w:b w:val="false"/>
          <w:bCs w:val="false"/>
          <w:i/>
          <w:iCs/>
          <w:sz w:val="26"/>
          <w:szCs w:val="26"/>
        </w:rPr>
        <w:t xml:space="preserve"> về phân công nhiệm vụ bảo đảm an ninh mạng;</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Theo đề nghị của Trưởng </w:t>
      </w:r>
      <w:r>
        <w:rPr>
          <w:rFonts w:ascii="Times New Roman" w:cs="Times New Roman" w:eastAsia="Times New Roman" w:hAnsi="Times New Roman"/>
          <w:b w:val="false"/>
          <w:bCs w:val="false"/>
          <w:i/>
          <w:iCs/>
          <w:sz w:val="26"/>
          <w:szCs w:val="26"/>
          <w:highlight w:val="yellow"/>
        </w:rPr>
        <w:t xml:space="preserve">Phòng An ninh mạng</w:t>
      </w:r>
      <w:r>
        <w:rPr>
          <w:rFonts w:ascii="Times New Roman" w:cs="Times New Roman" w:eastAsia="Times New Roman" w:hAnsi="Times New Roman"/>
          <w:b w:val="false"/>
          <w:bCs w:val="false"/>
          <w:i/>
          <w:iCs/>
          <w:sz w:val="26"/>
          <w:szCs w:val="26"/>
        </w:rPr>
        <w:t xml:space="preserve">.</w:t>
      </w:r>
    </w:p>
    <w:p>
      <w:pPr>
        <w:keepNext/>
        <w:spacing w:after="180" w:before="120" w:line="240" w:lineRule="auto"/>
        <w:jc w:val="center"/>
      </w:pPr>
      <w:r>
        <w:rPr>
          <w:rFonts w:ascii="Times New Roman" w:cs="Times New Roman" w:eastAsia="Times New Roman" w:hAnsi="Times New Roman"/>
          <w:b/>
          <w:bCs/>
          <w:i w:val="false"/>
          <w:iCs w:val="false"/>
          <w:sz w:val="28"/>
          <w:szCs w:val="28"/>
        </w:rPr>
        <w:t xml:space="preserve">QUYẾT ĐỊNH:</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w:t>
      </w:r>
      <w:r>
        <w:rPr>
          <w:rFonts w:ascii="Times New Roman" w:cs="Times New Roman" w:eastAsia="Times New Roman" w:hAnsi="Times New Roman"/>
          <w:b w:val="false"/>
          <w:bCs w:val="false"/>
          <w:i w:val="false"/>
          <w:iCs w:val="false"/>
          <w:sz w:val="26"/>
          <w:szCs w:val="26"/>
        </w:rPr>
        <w:t xml:space="preserve"> Ban hành kèm theo Quyết định này Quy chế bảo đảm an ninh mạng hệ thống thông tin cấp độ 1, cấp độ 2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w:t>
      </w:r>
      <w:r>
        <w:rPr>
          <w:rFonts w:ascii="Times New Roman" w:cs="Times New Roman" w:eastAsia="Times New Roman" w:hAnsi="Times New Roman"/>
          <w:b w:val="false"/>
          <w:bCs w:val="false"/>
          <w:i w:val="false"/>
          <w:iCs w:val="false"/>
          <w:sz w:val="26"/>
          <w:szCs w:val="26"/>
        </w:rPr>
        <w:t xml:space="preserve"> Quyết định này có hiệu lực kể từ ngày ký.</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Phòng An ninh mạng, Phòng Vận hành hệ thống, Ban Kiểm soát nội bộ, Phòng Hành chính – Nhân sự và các đơn vị, cá nhân có liên quan</w:t>
      </w:r>
      <w:r>
        <w:rPr>
          <w:rFonts w:ascii="Times New Roman" w:cs="Times New Roman" w:eastAsia="Times New Roman" w:hAnsi="Times New Roman"/>
          <w:b w:val="false"/>
          <w:bCs w:val="false"/>
          <w:i w:val="false"/>
          <w:iCs w:val="false"/>
          <w:sz w:val="26"/>
          <w:szCs w:val="26"/>
        </w:rPr>
        <w:t xml:space="preserve"> chịu trách nhiệm thi hành Quyết định này.</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val="false"/>
                <w:bCs w:val="false"/>
                <w:i/>
                <w:iCs/>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Điều 3;</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Hội đồng quản trị (để báo cáo);</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Phòng An ninh mạng</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TỔNG GIÁM ĐỐC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Nguyễn Văn An</w:t>
            </w:r>
          </w:p>
        </w:tc>
      </w:tr>
    </w:tbl>
    <w:p>
      <w:r>
        <w:br w:type="page"/>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QUY CHẾ</w:t>
      </w:r>
    </w:p>
    <w:p>
      <w:pPr>
        <w:keepNext/>
        <w:spacing w:after="0" w:before="0" w:line="240" w:lineRule="auto"/>
        <w:jc w:val="center"/>
      </w:pPr>
      <w:r>
        <w:rPr>
          <w:rFonts w:ascii="Times New Roman" w:cs="Times New Roman" w:eastAsia="Times New Roman" w:hAnsi="Times New Roman"/>
          <w:b/>
          <w:bCs/>
          <w:i w:val="false"/>
          <w:iCs w:val="false"/>
          <w:sz w:val="26"/>
          <w:szCs w:val="26"/>
        </w:rPr>
        <w:t xml:space="preserve">Bảo đảm an ninh mạng hệ thống thông tin cấp độ 1, cấp độ 2 của </w:t>
      </w:r>
      <w:r>
        <w:rPr>
          <w:rFonts w:ascii="Times New Roman" w:cs="Times New Roman" w:eastAsia="Times New Roman" w:hAnsi="Times New Roman"/>
          <w:b/>
          <w:bCs/>
          <w:i w:val="false"/>
          <w:iCs w:val="false"/>
          <w:sz w:val="26"/>
          <w:szCs w:val="26"/>
          <w:highlight w:val="yellow"/>
        </w:rPr>
        <w:t xml:space="preserve">Công ty cổ phần Giải pháp Công nghệ TURBO</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(Ban hành kèm theo Quyết định số </w:t>
      </w:r>
      <w:r>
        <w:rPr>
          <w:rFonts w:ascii="Times New Roman" w:cs="Times New Roman" w:eastAsia="Times New Roman" w:hAnsi="Times New Roman"/>
          <w:b w:val="false"/>
          <w:bCs w:val="false"/>
          <w:i/>
          <w:iCs/>
          <w:sz w:val="26"/>
          <w:szCs w:val="26"/>
          <w:highlight w:val="yellow"/>
        </w:rPr>
        <w:t xml:space="preserve">41/2026/QĐ-TURBO</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05/10/2026</w:t>
      </w:r>
      <w:r>
        <w:rPr>
          <w:rFonts w:ascii="Times New Roman" w:cs="Times New Roman" w:eastAsia="Times New Roman" w:hAnsi="Times New Roman"/>
          <w:b w:val="false"/>
          <w:bCs w:val="false"/>
          <w:i/>
          <w:iCs/>
          <w:sz w:val="26"/>
          <w:szCs w:val="26"/>
        </w:rPr>
        <w:t xml:space="preserve"> của </w:t>
      </w:r>
      <w:r>
        <w:rPr>
          <w:rFonts w:ascii="Times New Roman" w:cs="Times New Roman" w:eastAsia="Times New Roman" w:hAnsi="Times New Roman"/>
          <w:b w:val="false"/>
          <w:bCs w:val="false"/>
          <w:i/>
          <w:iCs/>
          <w:sz w:val="26"/>
          <w:szCs w:val="26"/>
          <w:highlight w:val="yellow"/>
        </w:rPr>
        <w:t xml:space="preserve">Tổng Giám đốc Công ty</w:t>
      </w:r>
      <w:r>
        <w:rPr>
          <w:rFonts w:ascii="Times New Roman" w:cs="Times New Roman" w:eastAsia="Times New Roman" w:hAnsi="Times New Roman"/>
          <w:b w:val="false"/>
          <w:bCs w:val="false"/>
          <w:i/>
          <w:iCs/>
          <w:sz w:val="26"/>
          <w:szCs w:val="26"/>
        </w:rPr>
        <w:t xml:space="preserve">)</w:t>
      </w:r>
    </w:p>
    <w:p>
      <w:pPr>
        <w:keepNext/>
        <w:spacing w:after="120" w:before="180" w:line="240" w:lineRule="auto"/>
        <w:jc w:val="center"/>
      </w:pPr>
      <w:r>
        <w:rPr>
          <w:rFonts w:ascii="Times New Roman" w:cs="Times New Roman" w:eastAsia="Times New Roman" w:hAnsi="Times New Roman"/>
          <w:b/>
          <w:bCs/>
          <w:i w:val="false"/>
          <w:iCs w:val="false"/>
          <w:caps/>
          <w:sz w:val="26"/>
          <w:szCs w:val="26"/>
        </w:rPr>
        <w:t xml:space="preserve">Chương I. QUY ĐỊNH CHUNG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 Phạm vi điều chỉnh, đối tượng áp dụng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Quy chế này quy định việc bảo đảm an ninh mạng (ANM) trong thiết kế, xây dựng, quản lý, vận hành, sử dụng, nâng cấp, kết thúc, hủy bỏ các hệ thống thông tin (HTTT) cấp độ 1, cấp độ 2 thuộc chủ quản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(Công ty) nêu tại Phụ lục.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Áp dụng đối với các đơn vị, người lao động của Công ty và nhà cung cấp, đối tác có kết nối, truy cập hoặc xử lý dữ liệu của các HTTT này (thông qua hợp đồng, cam kết).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 Giải thích từ ngữ, chữ viết tắt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val="false"/>
          <w:bCs w:val="false"/>
          <w:i/>
          <w:iCs/>
          <w:sz w:val="26"/>
          <w:szCs w:val="26"/>
        </w:rPr>
        <w:t xml:space="preserve">Đơn vị chuyên trách ANM</w:t>
      </w:r>
      <w:r>
        <w:rPr>
          <w:rFonts w:ascii="Times New Roman" w:cs="Times New Roman" w:eastAsia="Times New Roman" w:hAnsi="Times New Roman"/>
          <w:b w:val="false"/>
          <w:bCs w:val="false"/>
          <w:i w:val="false"/>
          <w:iCs w:val="false"/>
          <w:sz w:val="26"/>
          <w:szCs w:val="26"/>
        </w:rPr>
        <w:t xml:space="preserve"> là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đơn vị vận hành</w:t>
      </w:r>
      <w:r>
        <w:rPr>
          <w:rFonts w:ascii="Times New Roman" w:cs="Times New Roman" w:eastAsia="Times New Roman" w:hAnsi="Times New Roman"/>
          <w:b w:val="false"/>
          <w:bCs w:val="false"/>
          <w:i w:val="false"/>
          <w:iCs w:val="false"/>
          <w:sz w:val="26"/>
          <w:szCs w:val="26"/>
        </w:rPr>
        <w:t xml:space="preserve"> là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bộ phận đánh giá độc lập</w:t>
      </w:r>
      <w:r>
        <w:rPr>
          <w:rFonts w:ascii="Times New Roman" w:cs="Times New Roman" w:eastAsia="Times New Roman" w:hAnsi="Times New Roman"/>
          <w:b w:val="false"/>
          <w:bCs w:val="false"/>
          <w:i w:val="false"/>
          <w:iCs w:val="false"/>
          <w:sz w:val="26"/>
          <w:szCs w:val="26"/>
        </w:rPr>
        <w:t xml:space="preserve"> là </w:t>
      </w:r>
      <w:r>
        <w:rPr>
          <w:rFonts w:ascii="Times New Roman" w:cs="Times New Roman" w:eastAsia="Times New Roman" w:hAnsi="Times New Roman"/>
          <w:b w:val="false"/>
          <w:bCs w:val="false"/>
          <w:i w:val="false"/>
          <w:iCs w:val="false"/>
          <w:sz w:val="26"/>
          <w:szCs w:val="26"/>
          <w:highlight w:val="yellow"/>
        </w:rPr>
        <w:t xml:space="preserve">Ban Kiểm soát nội bộ</w:t>
      </w:r>
      <w:r>
        <w:rPr>
          <w:rFonts w:ascii="Times New Roman" w:cs="Times New Roman" w:eastAsia="Times New Roman" w:hAnsi="Times New Roman"/>
          <w:b w:val="false"/>
          <w:bCs w:val="false"/>
          <w:i w:val="false"/>
          <w:iCs w:val="false"/>
          <w:sz w:val="26"/>
          <w:szCs w:val="26"/>
        </w:rPr>
        <w:t xml:space="preserve"> (khoản 2 Điều 3, Điều 5, điểm c khoản 2 Điều 31 Nghị định 331).</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val="false"/>
          <w:bCs w:val="false"/>
          <w:i/>
          <w:iCs/>
          <w:sz w:val="26"/>
          <w:szCs w:val="26"/>
        </w:rPr>
        <w:t xml:space="preserve">Sự cố ANM</w:t>
      </w:r>
      <w:r>
        <w:rPr>
          <w:rFonts w:ascii="Times New Roman" w:cs="Times New Roman" w:eastAsia="Times New Roman" w:hAnsi="Times New Roman"/>
          <w:b w:val="false"/>
          <w:bCs w:val="false"/>
          <w:i w:val="false"/>
          <w:iCs w:val="false"/>
          <w:sz w:val="26"/>
          <w:szCs w:val="26"/>
        </w:rPr>
        <w:t xml:space="preserve"> hiểu theo khoản 17 Điều 2 Luật An ninh mạng. </w:t>
      </w:r>
      <w:r>
        <w:rPr>
          <w:rFonts w:ascii="Times New Roman" w:cs="Times New Roman" w:eastAsia="Times New Roman" w:hAnsi="Times New Roman"/>
          <w:b w:val="false"/>
          <w:bCs w:val="false"/>
          <w:i/>
          <w:iCs/>
          <w:sz w:val="26"/>
          <w:szCs w:val="26"/>
        </w:rPr>
        <w:t xml:space="preserve">Dữ liệu quan trọng</w:t>
      </w:r>
      <w:r>
        <w:rPr>
          <w:rFonts w:ascii="Times New Roman" w:cs="Times New Roman" w:eastAsia="Times New Roman" w:hAnsi="Times New Roman"/>
          <w:b w:val="false"/>
          <w:bCs w:val="false"/>
          <w:i w:val="false"/>
          <w:iCs w:val="false"/>
          <w:sz w:val="26"/>
          <w:szCs w:val="26"/>
        </w:rPr>
        <w:t xml:space="preserve"> là dữ liệu mức "Hạn chế" theo khoản 1 Điều 9 Quy chế này.</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val="false"/>
          <w:bCs w:val="false"/>
          <w:i/>
          <w:iCs/>
          <w:sz w:val="26"/>
          <w:szCs w:val="26"/>
        </w:rPr>
        <w:t xml:space="preserve">Luật 116</w:t>
      </w:r>
      <w:r>
        <w:rPr>
          <w:rFonts w:ascii="Times New Roman" w:cs="Times New Roman" w:eastAsia="Times New Roman" w:hAnsi="Times New Roman"/>
          <w:b w:val="false"/>
          <w:bCs w:val="false"/>
          <w:i w:val="false"/>
          <w:iCs w:val="false"/>
          <w:sz w:val="26"/>
          <w:szCs w:val="26"/>
        </w:rPr>
        <w:t xml:space="preserve"> là Luật An ninh mạng số 116/2025/QH15; </w:t>
      </w:r>
      <w:r>
        <w:rPr>
          <w:rFonts w:ascii="Times New Roman" w:cs="Times New Roman" w:eastAsia="Times New Roman" w:hAnsi="Times New Roman"/>
          <w:b w:val="false"/>
          <w:bCs w:val="false"/>
          <w:i/>
          <w:iCs/>
          <w:sz w:val="26"/>
          <w:szCs w:val="26"/>
        </w:rPr>
        <w:t xml:space="preserve">Nghị định 331</w:t>
      </w:r>
      <w:r>
        <w:rPr>
          <w:rFonts w:ascii="Times New Roman" w:cs="Times New Roman" w:eastAsia="Times New Roman" w:hAnsi="Times New Roman"/>
          <w:b w:val="false"/>
          <w:bCs w:val="false"/>
          <w:i w:val="false"/>
          <w:iCs w:val="false"/>
          <w:sz w:val="26"/>
          <w:szCs w:val="26"/>
        </w:rPr>
        <w:t xml:space="preserve"> là Nghị định số 331/2026/NĐ-CP; </w:t>
      </w:r>
      <w:r>
        <w:rPr>
          <w:rFonts w:ascii="Times New Roman" w:cs="Times New Roman" w:eastAsia="Times New Roman" w:hAnsi="Times New Roman"/>
          <w:b w:val="false"/>
          <w:bCs w:val="false"/>
          <w:i/>
          <w:iCs/>
          <w:sz w:val="26"/>
          <w:szCs w:val="26"/>
        </w:rPr>
        <w:t xml:space="preserve">TCVN 14423</w:t>
      </w:r>
      <w:r>
        <w:rPr>
          <w:rFonts w:ascii="Times New Roman" w:cs="Times New Roman" w:eastAsia="Times New Roman" w:hAnsi="Times New Roman"/>
          <w:b w:val="false"/>
          <w:bCs w:val="false"/>
          <w:i w:val="false"/>
          <w:iCs w:val="false"/>
          <w:sz w:val="26"/>
          <w:szCs w:val="26"/>
        </w:rPr>
        <w:t xml:space="preserve"> là TCVN 14423:2026.</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 Nguyên tắc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Bảo đảm ANM thường xuyên, liên tục từ thiết kế đến hủy bỏ; tuân thủ tiêu chuẩn, quy chuẩn kỹ thuật; dùng chung giải pháp bảo vệ giữa các HTTT khi phù hợp (khoản 1, 2 Điều 6; điểm a khoản 5 Điều 30 Nghị định 331).</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Mỗi HTTT đáp ứng tối thiểu yêu cầu tại TCVN 14423 mục 3 (cấp độ 1) hoặc mục 4 (cấp độ 2). Không áp dụng một yêu cầu phải có biện pháp thay thế được đơn vị chuyên trách ANM chấp thuận bằng văn bản.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4. Nhiệm vụ bảo vệ ANM</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Công ty thực hiện đầy đủ 6 nhiệm vụ tại khoản 1, 3 Điều 10 Luật 116: (a) xác định cấp độ HTTT — Điều 22; (b) đánh giá, quản lý rủi ro — Điều 16; (c) đôn đốc, giám sát, kiểm tra — Điều 20; (d) triển khai biện pháp bảo vệ — Chương III; (đ) chế độ báo cáo — Điều 21; (e) tuyên truyền, nâng cao nhận thức — Điều 11.</w:t>
      </w:r>
    </w:p>
    <w:p>
      <w:pPr>
        <w:keepNext/>
        <w:spacing w:after="120" w:before="180" w:line="240" w:lineRule="auto"/>
        <w:jc w:val="center"/>
      </w:pPr>
      <w:r>
        <w:rPr>
          <w:rFonts w:ascii="Times New Roman" w:cs="Times New Roman" w:eastAsia="Times New Roman" w:hAnsi="Times New Roman"/>
          <w:b/>
          <w:bCs/>
          <w:i w:val="false"/>
          <w:iCs w:val="false"/>
          <w:caps/>
          <w:sz w:val="26"/>
          <w:szCs w:val="26"/>
        </w:rPr>
        <w:t xml:space="preserve">Chương II. TỔ CHỨC, TRÁCH NHIỆM</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5. Chủ quản HTTT</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 trực tiếp chỉ đạo, chịu trách nhiệm trước pháp luật về công tác bảo vệ ANM; bố trí bộ phận, nhân sự chuyên trách phù hợp cấp độ; bảo đảm kinh phí hằng năm; chịu trách nhiệm về tính trung thực của kết quả đánh giá (khoản 1, 2 Điều 31 Nghị định 331).</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6. Đơn vị chuyên trách ANM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Tham mưu, tổ chức thực thi, đôn đốc, kiểm tra, giám sát công tác bảo vệ ANM; phối hợp lực lượng chuyên trách bảo vệ ANM; phối hợp đơn vị vận hành dò quét lỗ hổng, quản lý rủi ro (Điều 32 Nghị định 331).</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Thẩm định, phê duyệt Hồ sơ đề xuất cấp độ HTTT cấp độ 1, 2 và báo cáo chủ quản (khoản 1 Điều 18 Nghị định 331) theo phân cấp tại Quyết định số </w:t>
      </w:r>
      <w:r>
        <w:rPr>
          <w:rFonts w:ascii="Times New Roman" w:cs="Times New Roman" w:eastAsia="Times New Roman" w:hAnsi="Times New Roman"/>
          <w:b w:val="false"/>
          <w:bCs w:val="false"/>
          <w:i w:val="false"/>
          <w:iCs w:val="false"/>
          <w:sz w:val="26"/>
          <w:szCs w:val="26"/>
          <w:highlight w:val="yellow"/>
        </w:rPr>
        <w:t xml:space="preserve">40/2026/QĐ-TURBO</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Là đầu mối tiếp nhận, điều phối ứng phó sự cố; đầu mối chính và dự phòng theo Quyết định số </w:t>
      </w:r>
      <w:r>
        <w:rPr>
          <w:rFonts w:ascii="Times New Roman" w:cs="Times New Roman" w:eastAsia="Times New Roman" w:hAnsi="Times New Roman"/>
          <w:b w:val="false"/>
          <w:bCs w:val="false"/>
          <w:i w:val="false"/>
          <w:iCs w:val="false"/>
          <w:sz w:val="26"/>
          <w:szCs w:val="26"/>
          <w:highlight w:val="yellow"/>
        </w:rPr>
        <w:t xml:space="preserve">40/2026/QĐ-TURBO</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7. Đơn vị vận hành</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Lập Hồ sơ đề xuất cấp độ; triển khai biện pháp theo phương án đã phê duyệt; định kỳ đánh giá hiệu quả biện pháp, báo cáo chủ quản; phối hợp khắc phục điểm yếu, lỗ hổng; quản lý danh mục tài sản, tài khoản (Điều 33 Nghị định 331).</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8. Người sử dụng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Chỉ dùng tài khoản, thiết bị, phần mềm được cấp phép; giữ bí mật mật khẩu, không dùng chung tài khoản; không tắt phần mềm phòng chống mã độc; không kết nối thiết bị cá nhân chưa đăng ký; không đưa dữ liệu "Nội bộ", "Hạn chế" ra ngoài khi chưa được phép.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Tham gia đào tạo nhận thức hằng năm; báo ngay dấu hiệu sự cố qua </w:t>
      </w:r>
      <w:r>
        <w:rPr>
          <w:rFonts w:ascii="Times New Roman" w:cs="Times New Roman" w:eastAsia="Times New Roman" w:hAnsi="Times New Roman"/>
          <w:b w:val="false"/>
          <w:bCs w:val="false"/>
          <w:i w:val="false"/>
          <w:iCs w:val="false"/>
          <w:sz w:val="26"/>
          <w:szCs w:val="26"/>
          <w:highlight w:val="yellow"/>
        </w:rPr>
        <w:t xml:space="preserve">máy lẻ 5699 hoặc email suco@example.vn</w:t>
      </w:r>
      <w:r>
        <w:rPr>
          <w:rFonts w:ascii="Times New Roman" w:cs="Times New Roman" w:eastAsia="Times New Roman" w:hAnsi="Times New Roman"/>
          <w:b w:val="false"/>
          <w:bCs w:val="false"/>
          <w:i w:val="false"/>
          <w:iCs w:val="false"/>
          <w:sz w:val="26"/>
          <w:szCs w:val="26"/>
        </w:rPr>
        <w:t xml:space="preserve">.</w:t>
      </w:r>
    </w:p>
    <w:p>
      <w:pPr>
        <w:keepNext/>
        <w:spacing w:after="120" w:before="180" w:line="240" w:lineRule="auto"/>
        <w:jc w:val="center"/>
      </w:pPr>
      <w:r>
        <w:rPr>
          <w:rFonts w:ascii="Times New Roman" w:cs="Times New Roman" w:eastAsia="Times New Roman" w:hAnsi="Times New Roman"/>
          <w:b/>
          <w:bCs/>
          <w:i w:val="false"/>
          <w:iCs w:val="false"/>
          <w:caps/>
          <w:sz w:val="26"/>
          <w:szCs w:val="26"/>
        </w:rPr>
        <w:t xml:space="preserve">Chương III. BIỆN PHÁP QUẢN LÝ VÀ KỸ THUẬT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9. Chính sách ANM</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(điểm a khoản 3 Điều 30 Nghị định 331)</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Thông tin được phân loại theo khoản 1 Điều 9 Nghị định 331 và theo 3 mức nội bộ: Công khai / Nội bộ / Hạn chế (TCVN 14423 mục 4.4.2.1). Không xử lý thông tin bí mật nhà nước trên các HTTT thuộc Quy chế này.</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Hệ thống quy định ANM gồm Quy chế này, quy trình ứng phó sự cố và các tài liệu kỹ thuật (danh mục tài sản, cấu hình chuẩn, sơ đồ mạng); rà soát, cập nhật ít nhất 01 lần/năm hoặc khi có thay đổi ảnh hưởng.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10. Tổ chức bảo đảm ANM</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(điểm b khoản 3 Điều 30)</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Phân công theo Chương II và Quyết định số </w:t>
      </w:r>
      <w:r>
        <w:rPr>
          <w:rFonts w:ascii="Times New Roman" w:cs="Times New Roman" w:eastAsia="Times New Roman" w:hAnsi="Times New Roman"/>
          <w:b w:val="false"/>
          <w:bCs w:val="false"/>
          <w:i w:val="false"/>
          <w:iCs w:val="false"/>
          <w:sz w:val="26"/>
          <w:szCs w:val="26"/>
          <w:highlight w:val="yellow"/>
        </w:rPr>
        <w:t xml:space="preserve">40/2026/QĐ-TURBO</w:t>
      </w:r>
      <w:r>
        <w:rPr>
          <w:rFonts w:ascii="Times New Roman" w:cs="Times New Roman" w:eastAsia="Times New Roman" w:hAnsi="Times New Roman"/>
          <w:b w:val="false"/>
          <w:bCs w:val="false"/>
          <w:i w:val="false"/>
          <w:iCs w:val="false"/>
          <w:sz w:val="26"/>
          <w:szCs w:val="26"/>
        </w:rPr>
        <w:t xml:space="preserve">. Lực lượng ứng phó sự cố gồm 01 người chủ chốt và ít nhất 01 người dự phòng, có phân vai rõ (TCVN 14423 mục 3.15.2.1, 4.15.2.1).</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11. Bảo đảm nguồn nhân lực</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(điểm c khoản 3 Điều 30; khoản 3 Điều 31 Nghị định 331)</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Có nhân sự (cấp 1) hoặc bộ phận (cấp 2) phụ trách vận hành, quản trị, bảo vệ ANM, có trình độ phù hợp và ký cam kết bảo mật trong và sau khi nghỉ việc; với cấp 2, bảo đảm độc lập chuyên môn giữa vận hành và bảo vệ ANM (TCVN 14423 mục 3.13, 4.13).</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Đào tạo nhận thức ANM cho toàn bộ người dùng; tuyên truyền, phổ biến; diễn tập ứng phó sự cố nội bộ 01 lần/năm.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Khi người lao động nghỉ việc, chuyển công tác: thu hồi thẻ, thiết bị, dữ liệu; vô hiệu hóa mọi quyền ra vào, truy cập, quản trị ngay trong ngày (TCVN 14423 mục 4.13.2.2).</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12. Quản lý thiết kế, xây dựng</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(điểm d khoản 3 Điều 30)</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HTTT xây mới, mở rộng, nâng cấp: lồng ghép thuyết minh đề xuất cấp độ vào hồ sơ dự án/kế hoạch thuê dịch vụ (Điều 19 Nghị định 331); triển khai đầy đủ phương án ANM đã phê duyệt và kiểm thử, nghiệm thu trước khi vận hành (khoản 6 Điều 30; TCVN 14423 mục 3.12.2.3).</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Phần mềm thuê phát triển cho HTTT cấp 2: hợp đồng có cam kết bảo mật; yêu cầu bàn giao mã nguồn hoặc bằng chứng đánh giá an toàn độc lập (TCVN 14423 mục 4.3.2.3).</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13. Quản lý vận hành</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(điểm đ khoản 3 Điều 30)</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bCs/>
          <w:i w:val="false"/>
          <w:iCs w:val="false"/>
          <w:sz w:val="26"/>
          <w:szCs w:val="26"/>
        </w:rPr>
        <w:t xml:space="preserve">Tài sản:</w:t>
      </w:r>
      <w:r>
        <w:rPr>
          <w:rFonts w:ascii="Times New Roman" w:cs="Times New Roman" w:eastAsia="Times New Roman" w:hAnsi="Times New Roman"/>
          <w:b w:val="false"/>
          <w:bCs w:val="false"/>
          <w:i w:val="false"/>
          <w:iCs w:val="false"/>
          <w:sz w:val="26"/>
          <w:szCs w:val="26"/>
        </w:rPr>
        <w:t xml:space="preserve"> danh mục phần cứng, phần mềm, tài sản thông tin có người chịu trách nhiệm; chỉ cài phần mềm được phê duyệt, ngoại lệ phải có biện pháp kiểm soát; phát hiện, xử lý tài sản trái phép (TCVN 14423 mục 3.2–3.4, 4.2–4.4).</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bCs/>
          <w:i w:val="false"/>
          <w:iCs w:val="false"/>
          <w:sz w:val="26"/>
          <w:szCs w:val="26"/>
        </w:rPr>
        <w:t xml:space="preserve">Tài khoản:</w:t>
      </w:r>
      <w:r>
        <w:rPr>
          <w:rFonts w:ascii="Times New Roman" w:cs="Times New Roman" w:eastAsia="Times New Roman" w:hAnsi="Times New Roman"/>
          <w:b w:val="false"/>
          <w:bCs w:val="false"/>
          <w:i w:val="false"/>
          <w:iCs w:val="false"/>
          <w:sz w:val="26"/>
          <w:szCs w:val="26"/>
        </w:rPr>
        <w:t xml:space="preserve"> danh sách mọi tài khoản quản trị, tác nghiệp, kỹ thuật, dịch vụ (nếu có); cấp, thay đổi, thu hồi quyền theo yêu cầu được phê duyệt; đổi hoặc vô hiệu tài khoản mặc định; tách tài khoản quản trị với tài khoản tác nghiệp (mục 3.6, 4.6).</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bCs/>
          <w:i w:val="false"/>
          <w:iCs w:val="false"/>
          <w:sz w:val="26"/>
          <w:szCs w:val="26"/>
        </w:rPr>
        <w:t xml:space="preserve">Lỗ hổng, bản vá:</w:t>
      </w:r>
      <w:r>
        <w:rPr>
          <w:rFonts w:ascii="Times New Roman" w:cs="Times New Roman" w:eastAsia="Times New Roman" w:hAnsi="Times New Roman"/>
          <w:b w:val="false"/>
          <w:bCs w:val="false"/>
          <w:i w:val="false"/>
          <w:iCs w:val="false"/>
          <w:sz w:val="26"/>
          <w:szCs w:val="26"/>
        </w:rPr>
        <w:t xml:space="preserve"> quy trình phát hiện, đánh giá mức nghiêm trọng, khắc phục theo ưu tiên và kiểm tra lại; cấp 2: có phương án vá cho mọi tài sản, kiểm thử và chuẩn bị phương án khôi phục trước khi vá hệ thống có dữ liệu quan trọng (mục 3.7, 4.7).</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w:t>
      </w:r>
      <w:r>
        <w:rPr>
          <w:rFonts w:ascii="Times New Roman" w:cs="Times New Roman" w:eastAsia="Times New Roman" w:hAnsi="Times New Roman"/>
          <w:b/>
          <w:bCs/>
          <w:i w:val="false"/>
          <w:iCs w:val="false"/>
          <w:sz w:val="26"/>
          <w:szCs w:val="26"/>
        </w:rPr>
        <w:t xml:space="preserve">Nhà cung cấp:</w:t>
      </w:r>
      <w:r>
        <w:rPr>
          <w:rFonts w:ascii="Times New Roman" w:cs="Times New Roman" w:eastAsia="Times New Roman" w:hAnsi="Times New Roman"/>
          <w:b w:val="false"/>
          <w:bCs w:val="false"/>
          <w:i w:val="false"/>
          <w:iCs w:val="false"/>
          <w:sz w:val="26"/>
          <w:szCs w:val="26"/>
        </w:rPr>
        <w:t xml:space="preserve"> danh sách, phân loại, văn bản phân định trách nhiệm (mục 3.14, 4.14); hợp đồng thuê dịch vụ quy định trách nhiệm quản trị dữ liệu, kiểm soát truy cập, bảo đảm ANM (điểm a khoản 3 Điều 5 Nghị định 331).</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w:t>
      </w:r>
      <w:r>
        <w:rPr>
          <w:rFonts w:ascii="Times New Roman" w:cs="Times New Roman" w:eastAsia="Times New Roman" w:hAnsi="Times New Roman"/>
          <w:b/>
          <w:bCs/>
          <w:i w:val="false"/>
          <w:iCs w:val="false"/>
          <w:sz w:val="26"/>
          <w:szCs w:val="26"/>
        </w:rPr>
        <w:t xml:space="preserve">Thay đổi:</w:t>
      </w:r>
      <w:r>
        <w:rPr>
          <w:rFonts w:ascii="Times New Roman" w:cs="Times New Roman" w:eastAsia="Times New Roman" w:hAnsi="Times New Roman"/>
          <w:b w:val="false"/>
          <w:bCs w:val="false"/>
          <w:i w:val="false"/>
          <w:iCs w:val="false"/>
          <w:sz w:val="26"/>
          <w:szCs w:val="26"/>
        </w:rPr>
        <w:t xml:space="preserve"> mọi thay đổi cấu hình, hạ tầng được đăng ký, phê duyệt, có phương án hoàn tác (mục 3.12.2.2).</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14. Yêu cầu kỹ thuật tối thiểu</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(khoản 4 Điều 30 Nghị định 331)</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bCs/>
          <w:i w:val="false"/>
          <w:iCs w:val="false"/>
          <w:sz w:val="26"/>
          <w:szCs w:val="26"/>
        </w:rPr>
        <w:t xml:space="preserve">An toàn mạng:</w:t>
      </w:r>
      <w:r>
        <w:rPr>
          <w:rFonts w:ascii="Times New Roman" w:cs="Times New Roman" w:eastAsia="Times New Roman" w:hAnsi="Times New Roman"/>
          <w:b w:val="false"/>
          <w:bCs w:val="false"/>
          <w:i w:val="false"/>
          <w:iCs w:val="false"/>
          <w:sz w:val="26"/>
          <w:szCs w:val="26"/>
        </w:rPr>
        <w:t xml:space="preserve"> duy trì sơ đồ mạng; tường lửa có chức năng phòng chống xâm nhập (hoặc tương đương), cập nhật mẫu tấn công; dự phòng thiết bị mạng chính; chặn cổng, dịch vụ không cung cấp; truy cập từ xa qua VPN (hoặc tương đương) có xác thực. Cấp 2 thêm: phân vùng tối thiểu (máy chủ, DMZ cung cấp dịch vụ, không dây nếu có, nội bộ, biên); WAF nếu có ứng dụng web; giới hạn địa chỉ được phép quản trị; xác thực bổ sung và kiểm tra thiết bị trước khi truy cập từ xa (TCVN 14423 mục 3.12, 4.12).</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bCs/>
          <w:i w:val="false"/>
          <w:iCs w:val="false"/>
          <w:sz w:val="26"/>
          <w:szCs w:val="26"/>
        </w:rPr>
        <w:t xml:space="preserve">An toàn máy chủ, máy trạm:</w:t>
      </w:r>
      <w:r>
        <w:rPr>
          <w:rFonts w:ascii="Times New Roman" w:cs="Times New Roman" w:eastAsia="Times New Roman" w:hAnsi="Times New Roman"/>
          <w:b w:val="false"/>
          <w:bCs w:val="false"/>
          <w:i w:val="false"/>
          <w:iCs w:val="false"/>
          <w:sz w:val="26"/>
          <w:szCs w:val="26"/>
        </w:rPr>
        <w:t xml:space="preserve"> cấu hình chuẩn tăng cường bảo mật, giao thức an toàn, tường lửa trên máy; cấp 2 tắt giao thức, dịch vụ không dùng và chống đăng nhập tự động trên tài sản xử lý dữ liệu quan trọng; phần mềm phòng chống mã độc bảo vệ thời gian thực, tự cập nhật; tắt tự chạy thiết bị lưu trữ ngoài (mục 3.5, 3.10, 4.5, 4.10).</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bCs/>
          <w:i w:val="false"/>
          <w:iCs w:val="false"/>
          <w:sz w:val="26"/>
          <w:szCs w:val="26"/>
        </w:rPr>
        <w:t xml:space="preserve">An toàn ứng dụng:</w:t>
      </w:r>
      <w:r>
        <w:rPr>
          <w:rFonts w:ascii="Times New Roman" w:cs="Times New Roman" w:eastAsia="Times New Roman" w:hAnsi="Times New Roman"/>
          <w:b w:val="false"/>
          <w:bCs w:val="false"/>
          <w:i w:val="false"/>
          <w:iCs w:val="false"/>
          <w:sz w:val="26"/>
          <w:szCs w:val="26"/>
        </w:rPr>
        <w:t xml:space="preserve"> trình duyệt, dịch vụ thư điện tử trong danh sách được phép, còn hỗ trợ, được vá; lọc tên miền độc hại; khóa phiên, khóa đăng nhập sai theo Điều 15 (mục 3.9, 4.9).</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w:t>
      </w:r>
      <w:r>
        <w:rPr>
          <w:rFonts w:ascii="Times New Roman" w:cs="Times New Roman" w:eastAsia="Times New Roman" w:hAnsi="Times New Roman"/>
          <w:b/>
          <w:bCs/>
          <w:i w:val="false"/>
          <w:iCs w:val="false"/>
          <w:sz w:val="26"/>
          <w:szCs w:val="26"/>
        </w:rPr>
        <w:t xml:space="preserve">An toàn dữ liệu:</w:t>
      </w:r>
      <w:r>
        <w:rPr>
          <w:rFonts w:ascii="Times New Roman" w:cs="Times New Roman" w:eastAsia="Times New Roman" w:hAnsi="Times New Roman"/>
          <w:b w:val="false"/>
          <w:bCs w:val="false"/>
          <w:i w:val="false"/>
          <w:iCs w:val="false"/>
          <w:sz w:val="26"/>
          <w:szCs w:val="26"/>
        </w:rPr>
        <w:t xml:space="preserve"> mã hóa thông tin xác thực khi lưu; cấp 2 mã hóa cả dữ liệu không công khai (trừ trường hợp có biện pháp tương đương); sao lưu theo loại dữ liệu với tần suất: </w:t>
      </w:r>
      <w:r>
        <w:rPr>
          <w:rFonts w:ascii="Times New Roman" w:cs="Times New Roman" w:eastAsia="Times New Roman" w:hAnsi="Times New Roman"/>
          <w:b w:val="false"/>
          <w:bCs w:val="false"/>
          <w:i w:val="false"/>
          <w:iCs w:val="false"/>
          <w:sz w:val="26"/>
          <w:szCs w:val="26"/>
          <w:highlight w:val="yellow"/>
        </w:rPr>
        <w:t xml:space="preserve">cơ sở dữ liệu ERP hằng ngày; dữ liệu Intranet và tệp cấu hình thiết bị hằng tuần; bản dự phòng hệ điều hành máy chủ hằng tháng</w:t>
      </w:r>
      <w:r>
        <w:rPr>
          <w:rFonts w:ascii="Times New Roman" w:cs="Times New Roman" w:eastAsia="Times New Roman" w:hAnsi="Times New Roman"/>
          <w:b w:val="false"/>
          <w:bCs w:val="false"/>
          <w:i w:val="false"/>
          <w:iCs w:val="false"/>
          <w:sz w:val="26"/>
          <w:szCs w:val="26"/>
        </w:rPr>
        <w:t xml:space="preserve">; bảo vệ bản sao lưu; cấp 2 lưu bản sao trên hạ tầng tách biệt, có định danh, phiên bản (mục 3.4.2.4, 3.11, 4.4.2.4, 4.11).</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w:t>
      </w:r>
      <w:r>
        <w:rPr>
          <w:rFonts w:ascii="Times New Roman" w:cs="Times New Roman" w:eastAsia="Times New Roman" w:hAnsi="Times New Roman"/>
          <w:b/>
          <w:bCs/>
          <w:i w:val="false"/>
          <w:iCs w:val="false"/>
          <w:sz w:val="26"/>
          <w:szCs w:val="26"/>
        </w:rPr>
        <w:t xml:space="preserve">Nhật ký:</w:t>
      </w:r>
      <w:r>
        <w:rPr>
          <w:rFonts w:ascii="Times New Roman" w:cs="Times New Roman" w:eastAsia="Times New Roman" w:hAnsi="Times New Roman"/>
          <w:b w:val="false"/>
          <w:bCs w:val="false"/>
          <w:i w:val="false"/>
          <w:iCs w:val="false"/>
          <w:sz w:val="26"/>
          <w:szCs w:val="26"/>
        </w:rPr>
        <w:t xml:space="preserve"> ghi nhật ký truy cập và cảnh báo thiết bị bảo mật; đồng bộ thời gian (NTP); cấp 2 thêm nhật ký ứng dụng với trường tối thiểu (nguồn, đích, tài khoản, thời điểm, hành vi). Công ty lưu nhật ký tối thiểu </w:t>
      </w:r>
      <w:r>
        <w:rPr>
          <w:rFonts w:ascii="Times New Roman" w:cs="Times New Roman" w:eastAsia="Times New Roman" w:hAnsi="Times New Roman"/>
          <w:b w:val="false"/>
          <w:bCs w:val="false"/>
          <w:i w:val="false"/>
          <w:iCs w:val="false"/>
          <w:sz w:val="26"/>
          <w:szCs w:val="26"/>
          <w:highlight w:val="yellow"/>
        </w:rPr>
        <w:t xml:space="preserve">06 tháng</w:t>
      </w:r>
      <w:r>
        <w:rPr>
          <w:rFonts w:ascii="Times New Roman" w:cs="Times New Roman" w:eastAsia="Times New Roman" w:hAnsi="Times New Roman"/>
          <w:b w:val="false"/>
          <w:bCs w:val="false"/>
          <w:i w:val="false"/>
          <w:iCs w:val="false"/>
          <w:sz w:val="26"/>
          <w:szCs w:val="26"/>
        </w:rPr>
        <w:t xml:space="preserve"> (mục 3.8, 4.8).</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15. Tham số theo cấp độ</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255"/>
        <w:gridCol w:w="1738"/>
        <w:gridCol w:w="1738"/>
        <w:gridCol w:w="2294"/>
      </w:tblGrid>
      <w:tr>
        <w:trPr>
          <w:cantSplit/>
          <w:tblHeader/>
        </w:trPr>
        <w:tc>
          <w:tcPr>
            <w:tcW w:type="dxa" w:w="325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Tham số</w:t>
            </w:r>
          </w:p>
        </w:tc>
        <w:tc>
          <w:tcPr>
            <w:tcW w:type="dxa" w:w="17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Cấp 1</w:t>
            </w:r>
          </w:p>
        </w:tc>
        <w:tc>
          <w:tcPr>
            <w:tcW w:type="dxa" w:w="17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Cấp 2</w:t>
            </w:r>
          </w:p>
        </w:tc>
        <w:tc>
          <w:tcPr>
            <w:tcW w:type="dxa" w:w="229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Căn cứ TCVN 14423</w:t>
            </w:r>
          </w:p>
        </w:tc>
      </w:tr>
      <w:tr>
        <w:trPr>
          <w:cantSplit/>
          <w:tblHeader w:val="false"/>
        </w:trPr>
        <w:tc>
          <w:tcPr>
            <w:tcW w:type="dxa" w:w="3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Khóa phiên: máy người dùng / phiên quản trị, thiết bị di động</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15 / ≤ 05 phút</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15 / ≤ 05 phút</w:t>
            </w:r>
          </w:p>
        </w:tc>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3.5.2.2, 4.5.2.2</w:t>
            </w:r>
          </w:p>
        </w:tc>
      </w:tr>
      <w:tr>
        <w:trPr>
          <w:cantSplit/>
          <w:tblHeader w:val="false"/>
        </w:trPr>
        <w:tc>
          <w:tcPr>
            <w:tcW w:type="dxa" w:w="3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Khóa phiên phần mềm nghiệp vụ xử lý dữ liệu quan trọng</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15 phút</w:t>
            </w:r>
          </w:p>
        </w:tc>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4.5.2.2</w:t>
            </w:r>
          </w:p>
        </w:tc>
      </w:tr>
      <w:tr>
        <w:trPr>
          <w:cantSplit/>
          <w:tblHeader w:val="false"/>
        </w:trPr>
        <w:tc>
          <w:tcPr>
            <w:tcW w:type="dxa" w:w="3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Đăng nhập sai trước khi khóa: máy xách tay, điện thoại / phần mềm nghiệp vụ dữ liệu quan trọng</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10 lần / —</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10 / ≤ 05 lần</w:t>
            </w:r>
          </w:p>
        </w:tc>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3.5.2.2, 4.5.2.2</w:t>
            </w:r>
          </w:p>
        </w:tc>
      </w:tr>
      <w:tr>
        <w:trPr>
          <w:cantSplit/>
          <w:tblHeader w:val="false"/>
        </w:trPr>
        <w:tc>
          <w:tcPr>
            <w:tcW w:type="dxa" w:w="3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Độ dài mật khẩu: có MFA / không MFA (đủ 4 loại ký tự)</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08 / ≥ 14 ký tự</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08 / ≥ 14 ký tự</w:t>
            </w:r>
          </w:p>
        </w:tc>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3.6.2.2, 4.6.2.2</w:t>
            </w:r>
          </w:p>
        </w:tc>
      </w:tr>
      <w:tr>
        <w:trPr>
          <w:cantSplit/>
          <w:tblHeader w:val="false"/>
        </w:trPr>
        <w:tc>
          <w:tcPr>
            <w:tcW w:type="dxa" w:w="3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Đổi mật khẩu tài khoản quản trị</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01 lần/02 tháng</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01 lần/02 tháng</w:t>
            </w:r>
          </w:p>
        </w:tc>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3.6.2.2, 4.6.2.2</w:t>
            </w:r>
          </w:p>
        </w:tc>
      </w:tr>
      <w:tr>
        <w:trPr>
          <w:cantSplit/>
          <w:tblHeader w:val="false"/>
        </w:trPr>
        <w:tc>
          <w:tcPr>
            <w:tcW w:type="dxa" w:w="3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Thời hạn hiệu lực mật khẩu người dùng</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tự chọn</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90 ngày</w:t>
            </w:r>
          </w:p>
        </w:tc>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4.6.2.2</w:t>
            </w:r>
          </w:p>
        </w:tc>
      </w:tr>
      <w:tr>
        <w:trPr>
          <w:cantSplit/>
          <w:tblHeader w:val="false"/>
        </w:trPr>
        <w:tc>
          <w:tcPr>
            <w:tcW w:type="dxa" w:w="3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MFA: truy cập từ bên ngoài, bên thứ ba, Internet; tài khoản quản trị</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bắt buộc</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bắt buộc</w:t>
            </w:r>
          </w:p>
        </w:tc>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3.6.2.4, 4.6.2.4</w:t>
            </w:r>
          </w:p>
        </w:tc>
      </w:tr>
      <w:tr>
        <w:trPr>
          <w:cantSplit/>
          <w:tblHeader w:val="false"/>
        </w:trPr>
        <w:tc>
          <w:tcPr>
            <w:tcW w:type="dxa" w:w="3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Vô hiệu tài khoản không hoạt động</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45 ngày</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45 ngày</w:t>
            </w:r>
          </w:p>
        </w:tc>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3.6.2.3, 4.6.2.3</w:t>
            </w:r>
          </w:p>
        </w:tc>
      </w:tr>
      <w:tr>
        <w:trPr>
          <w:cantSplit/>
          <w:tblHeader w:val="false"/>
        </w:trPr>
        <w:tc>
          <w:tcPr>
            <w:tcW w:type="dxa" w:w="3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Rà soát tài khoản; kiểm tra phân quyền dữ liệu</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01 lần/năm</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01 lần/năm</w:t>
            </w:r>
          </w:p>
        </w:tc>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3.6.2.1, 3.4.2.1, 4.6.2.1, 4.4.2.1</w:t>
            </w:r>
          </w:p>
        </w:tc>
      </w:tr>
      <w:tr>
        <w:trPr>
          <w:cantSplit/>
          <w:tblHeader w:val="false"/>
        </w:trPr>
        <w:tc>
          <w:tcPr>
            <w:tcW w:type="dxa" w:w="3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Kiểm kê tài sản; phát hiện phần cứng, phần mềm trái phép</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01 lần/năm</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01 lần/năm</w:t>
            </w:r>
          </w:p>
        </w:tc>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3.2, 3.3, 4.2, 4.3</w:t>
            </w:r>
          </w:p>
        </w:tc>
      </w:tr>
      <w:tr>
        <w:trPr>
          <w:cantSplit/>
          <w:tblHeader w:val="false"/>
        </w:trPr>
        <w:tc>
          <w:tcPr>
            <w:tcW w:type="dxa" w:w="3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Rà quét lỗ hổng</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01 lần/năm</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01 lần/năm</w:t>
            </w:r>
          </w:p>
        </w:tc>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3.7.2.1, 4.7.2.1</w:t>
            </w:r>
          </w:p>
        </w:tc>
      </w:tr>
      <w:tr>
        <w:trPr>
          <w:cantSplit/>
          <w:tblHeader w:val="false"/>
        </w:trPr>
        <w:tc>
          <w:tcPr>
            <w:tcW w:type="dxa" w:w="3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Vá hệ điều hành, ứng dụng máy người dùng</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01 lần/tháng</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01 lần/tháng</w:t>
            </w:r>
          </w:p>
        </w:tc>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3.7.2.2, 4.7.2.2</w:t>
            </w:r>
          </w:p>
        </w:tc>
      </w:tr>
      <w:tr>
        <w:trPr>
          <w:cantSplit/>
          <w:tblHeader w:val="false"/>
        </w:trPr>
        <w:tc>
          <w:tcPr>
            <w:tcW w:type="dxa" w:w="3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Lưu nhật ký (tối thiểu)</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tự chọn</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01 tháng (</w:t>
            </w:r>
            <w:r>
              <w:rPr>
                <w:rFonts w:ascii="Times New Roman" w:cs="Times New Roman" w:eastAsia="Times New Roman" w:hAnsi="Times New Roman"/>
                <w:b w:val="false"/>
                <w:bCs w:val="false"/>
                <w:i/>
                <w:iCs/>
                <w:sz w:val="22"/>
                <w:szCs w:val="22"/>
              </w:rPr>
              <w:t xml:space="preserve">)</w:t>
            </w:r>
          </w:p>
        </w:tc>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4.8.2.1</w:t>
            </w:r>
          </w:p>
        </w:tc>
      </w:tr>
      <w:tr>
        <w:trPr>
          <w:cantSplit/>
          <w:tblHeader w:val="false"/>
        </w:trPr>
        <w:tc>
          <w:tcPr>
            <w:tcW w:type="dxa" w:w="3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Rà soát nhật ký</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01 lần/năm</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01 lần/năm</w:t>
            </w:r>
          </w:p>
        </w:tc>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3.8.2.1, 4.8.2.1</w:t>
            </w:r>
          </w:p>
        </w:tc>
      </w:tr>
      <w:tr>
        <w:trPr>
          <w:cantSplit/>
          <w:tblHeader w:val="false"/>
        </w:trPr>
        <w:tc>
          <w:tcPr>
            <w:tcW w:type="dxa" w:w="3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Khôi phục thử bản sao lưu</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06 tháng/lần</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06 tháng/lần</w:t>
            </w:r>
          </w:p>
        </w:tc>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3.11.2.1, 4.11.2.1</w:t>
            </w:r>
          </w:p>
        </w:tc>
      </w:tr>
      <w:tr>
        <w:trPr>
          <w:cantSplit/>
          <w:tblHeader w:val="false"/>
        </w:trPr>
        <w:tc>
          <w:tcPr>
            <w:tcW w:type="dxa" w:w="3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Cập nhật sơ đồ mạng</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01 lần/năm</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01 lần/năm</w:t>
            </w:r>
          </w:p>
        </w:tc>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3.12.2.1, 4.12.2.1</w:t>
            </w:r>
          </w:p>
        </w:tc>
      </w:tr>
      <w:tr>
        <w:trPr>
          <w:cantSplit/>
          <w:tblHeader w:val="false"/>
        </w:trPr>
        <w:tc>
          <w:tcPr>
            <w:tcW w:type="dxa" w:w="3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Đào tạo nhận thức toàn bộ người dùng</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01 lần/năm</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01 lần/năm</w:t>
            </w:r>
          </w:p>
        </w:tc>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3.13.2.2, 4.13.2.2</w:t>
            </w:r>
          </w:p>
        </w:tc>
      </w:tr>
      <w:tr>
        <w:trPr>
          <w:cantSplit/>
          <w:tblHeader w:val="false"/>
        </w:trPr>
        <w:tc>
          <w:tcPr>
            <w:tcW w:type="dxa" w:w="3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Cập nhật danh sách nhà cung cấp</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01 lần/năm</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01 lần/năm</w:t>
            </w:r>
          </w:p>
        </w:tc>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3.14.2, 4.14.2</w:t>
            </w:r>
          </w:p>
        </w:tc>
      </w:tr>
      <w:tr>
        <w:trPr>
          <w:cantSplit/>
          <w:tblHeader w:val="false"/>
        </w:trPr>
        <w:tc>
          <w:tcPr>
            <w:tcW w:type="dxa" w:w="3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Cập nhật quy trình sự cố, xác minh danh bạ đầu mối</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01 lần/năm</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01 lần/năm</w:t>
            </w:r>
          </w:p>
        </w:tc>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3.15.2, 4.15.2</w:t>
            </w:r>
          </w:p>
        </w:tc>
      </w:tr>
      <w:tr>
        <w:trPr>
          <w:cantSplit/>
          <w:tblHeader w:val="false"/>
        </w:trPr>
        <w:tc>
          <w:tcPr>
            <w:tcW w:type="dxa" w:w="32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Rà soát quy trình quản lý rủi ro và các quy định khác</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01 lần/năm</w:t>
            </w:r>
          </w:p>
        </w:tc>
        <w:tc>
          <w:tcPr>
            <w:tcW w:type="dxa" w:w="1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01 lần/năm</w:t>
            </w:r>
          </w:p>
        </w:tc>
        <w:tc>
          <w:tcPr>
            <w:tcW w:type="dxa" w:w="22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3.1, 4.1 và các mục "đánh giá, cập nhật"</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w:t>
      </w:r>
      <w:r>
        <w:rPr>
          <w:rFonts w:ascii="Times New Roman" w:cs="Times New Roman" w:eastAsia="Times New Roman" w:hAnsi="Times New Roman"/>
          <w:b w:val="false"/>
          <w:bCs w:val="false"/>
          <w:i w:val="false"/>
          <w:iCs w:val="false"/>
          <w:sz w:val="26"/>
          <w:szCs w:val="26"/>
        </w:rPr>
        <w:t xml:space="preserve">) HTTT dùng để cung cấp dịch vụ trên mạng viễn thông, Internet, dịch vụ gia tăng trên không gian mạng: nhật ký hệ thống phải truy xuất được ít nhất 12 tháng (điểm c khoản 6 Điều 16 Nghị định số 333/2026/NĐ-CP), thay cho mức 01 tháng. "—": TCVN 14423 không yêu cầu ở cấp độ đó.</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16. Quản lý rủi ro ANM</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(điểm e khoản 3 Điều 30; Điều 10 Nghị định 331)</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Đánh giá rủi ro khi xác định cấp độ lần đầu; khi thay đổi chức năng, phạm vi, đối tượng, loại thông tin, công nghệ; khi mở rộng, kết nối, chia sẻ dữ liệu; sau sự cố nghiêm trọng; theo yêu cầu cơ quan có thẩm quyền (khoản 2 Điều 10); nội dung tối thiểu theo khoản 3 Điều 10.</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Quy trình gồm 4 bước: xác định, phân tích, đánh giá, xử lý rủi ro; rà soát 01 lần/năm (TCVN 14423 mục 3.1, 4.1). Rủi ro cao hơn cấp độ đã xác định: đề xuất cấp độ cao hơn (khoản 5 Điều 10). Lưu hồ sơ để cung cấp khi thanh tra, kiểm tra (khoản 6 Điều 10).</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17. Kết thúc vận hành, thanh lý, hủy bỏ</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(điểm g khoản 3 Điều 30)</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Đơn vị vận hành lập kế hoạch kết thúc gồm dữ liệu cần chuyển, lưu, xóa; tài khoản, kết nối, khóa mã cần thu hồi; thông báo bên liên quan; cập nhật Phụ lục và báo cáo năm. Đơn vị chuyên trách ANM thẩm tra, chủ quản phê duyệt.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Xóa sạch dữ liệu không khôi phục được trước khi thanh lý, chuyển giao, đổi mục đích thiết bị (TCVN 14423 mục 4.2.2.3; khuyến nghị cả cấp 1); lập biên bản. Kết thúc hợp đồng nhà cung cấp: thu hồi quyền, yêu cầu trả lại hoặc xóa dữ liệu có xác nhận.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18. An ninh vật lý (khuyến nghị)</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Không thuộc yêu cầu cơ bản (khoản 2 Điều 30 Nghị định 331). Công ty khuyến nghị áp dụng TCVN 14423 Phụ lục A tại </w:t>
      </w:r>
      <w:r>
        <w:rPr>
          <w:rFonts w:ascii="Times New Roman" w:cs="Times New Roman" w:eastAsia="Times New Roman" w:hAnsi="Times New Roman"/>
          <w:b w:val="false"/>
          <w:bCs w:val="false"/>
          <w:i w:val="false"/>
          <w:iCs w:val="false"/>
          <w:sz w:val="26"/>
          <w:szCs w:val="26"/>
          <w:highlight w:val="yellow"/>
        </w:rPr>
        <w:t xml:space="preserve">phòng máy chủ Tầng 3 trụ sở Công ty</w:t>
      </w:r>
      <w:r>
        <w:rPr>
          <w:rFonts w:ascii="Times New Roman" w:cs="Times New Roman" w:eastAsia="Times New Roman" w:hAnsi="Times New Roman"/>
          <w:b w:val="false"/>
          <w:bCs w:val="false"/>
          <w:i w:val="false"/>
          <w:iCs w:val="false"/>
          <w:sz w:val="26"/>
          <w:szCs w:val="26"/>
        </w:rPr>
        <w:t xml:space="preserve">: kiểm soát ra vào, tủ rack cố định có nhãn, phòng cháy chữa cháy, nguồn điện ổn áp (A.1); với HTTT cấp 2 thêm camera, chống sét, báo cháy và chữa cháy tự động, điều hòa, UPS cho thiết bị mạng chính và máy chủ quan trọng (A.2).</w:t>
      </w:r>
    </w:p>
    <w:p>
      <w:pPr>
        <w:keepNext/>
        <w:spacing w:after="120" w:before="180" w:line="240" w:lineRule="auto"/>
        <w:jc w:val="center"/>
      </w:pPr>
      <w:r>
        <w:rPr>
          <w:rFonts w:ascii="Times New Roman" w:cs="Times New Roman" w:eastAsia="Times New Roman" w:hAnsi="Times New Roman"/>
          <w:b/>
          <w:bCs/>
          <w:i w:val="false"/>
          <w:iCs w:val="false"/>
          <w:caps/>
          <w:sz w:val="26"/>
          <w:szCs w:val="26"/>
        </w:rPr>
        <w:t xml:space="preserve">Chương IV. SỰ CỐ, KIỂM TRA, BÁO CÁO</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19. Ứng phó sự cố ANM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Tiếp nhận, phân loại, xử lý theo quy trình ứng phó sự cố của Công ty. Đơn vị chuyên trách ANM báo cáo cơ quan chuyên trách của Bộ Công an: </w:t>
      </w:r>
      <w:r>
        <w:rPr>
          <w:rFonts w:ascii="Times New Roman" w:cs="Times New Roman" w:eastAsia="Times New Roman" w:hAnsi="Times New Roman"/>
          <w:b/>
          <w:bCs/>
          <w:i w:val="false"/>
          <w:iCs w:val="false"/>
          <w:sz w:val="26"/>
          <w:szCs w:val="26"/>
        </w:rPr>
        <w:t xml:space="preserve">thông báo ban đầu trong 24 giờ</w:t>
      </w:r>
      <w:r>
        <w:rPr>
          <w:rFonts w:ascii="Times New Roman" w:cs="Times New Roman" w:eastAsia="Times New Roman" w:hAnsi="Times New Roman"/>
          <w:b w:val="false"/>
          <w:bCs w:val="false"/>
          <w:i w:val="false"/>
          <w:iCs w:val="false"/>
          <w:sz w:val="26"/>
          <w:szCs w:val="26"/>
        </w:rPr>
        <w:t xml:space="preserve"> với sự cố nghiêm trọng; </w:t>
      </w:r>
      <w:r>
        <w:rPr>
          <w:rFonts w:ascii="Times New Roman" w:cs="Times New Roman" w:eastAsia="Times New Roman" w:hAnsi="Times New Roman"/>
          <w:b/>
          <w:bCs/>
          <w:i w:val="false"/>
          <w:iCs w:val="false"/>
          <w:sz w:val="26"/>
          <w:szCs w:val="26"/>
        </w:rPr>
        <w:t xml:space="preserve">báo cáo nguyên nhân, phạm vi ảnh hưởng, biện pháp khắc phục trong 72 giờ</w:t>
      </w:r>
      <w:r>
        <w:rPr>
          <w:rFonts w:ascii="Times New Roman" w:cs="Times New Roman" w:eastAsia="Times New Roman" w:hAnsi="Times New Roman"/>
          <w:b w:val="false"/>
          <w:bCs w:val="false"/>
          <w:i w:val="false"/>
          <w:iCs w:val="false"/>
          <w:sz w:val="26"/>
          <w:szCs w:val="26"/>
        </w:rPr>
        <w:t xml:space="preserve"> kể từ khi phát hiện; </w:t>
      </w:r>
      <w:r>
        <w:rPr>
          <w:rFonts w:ascii="Times New Roman" w:cs="Times New Roman" w:eastAsia="Times New Roman" w:hAnsi="Times New Roman"/>
          <w:b/>
          <w:bCs/>
          <w:i w:val="false"/>
          <w:iCs w:val="false"/>
          <w:sz w:val="26"/>
          <w:szCs w:val="26"/>
        </w:rPr>
        <w:t xml:space="preserve">báo cáo ngay</w:t>
      </w:r>
      <w:r>
        <w:rPr>
          <w:rFonts w:ascii="Times New Roman" w:cs="Times New Roman" w:eastAsia="Times New Roman" w:hAnsi="Times New Roman"/>
          <w:b w:val="false"/>
          <w:bCs w:val="false"/>
          <w:i w:val="false"/>
          <w:iCs w:val="false"/>
          <w:sz w:val="26"/>
          <w:szCs w:val="26"/>
        </w:rPr>
        <w:t xml:space="preserve"> nếu có dấu hiệu xâm phạm an ninh quốc gia, trật tự, an toàn xã hội hoặc gián đoạn nghiêm trọng (điểm d khoản 2 Điều 31 Nghị định 331; điểm c khoản 1 Điều 40 Luật 116).</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Vi phạm về bảo vệ dữ liệu cá nhân có thể gây tổn hại: </w:t>
      </w:r>
      <w:r>
        <w:rPr>
          <w:rFonts w:ascii="Times New Roman" w:cs="Times New Roman" w:eastAsia="Times New Roman" w:hAnsi="Times New Roman"/>
          <w:b w:val="false"/>
          <w:bCs w:val="false"/>
          <w:i w:val="false"/>
          <w:iCs w:val="false"/>
          <w:sz w:val="26"/>
          <w:szCs w:val="26"/>
          <w:highlight w:val="yellow"/>
        </w:rPr>
        <w:t xml:space="preserve">Chuyên viên bảo vệ DLCN (bà Phạm Thu Dung)</w:t>
      </w:r>
      <w:r>
        <w:rPr>
          <w:rFonts w:ascii="Times New Roman" w:cs="Times New Roman" w:eastAsia="Times New Roman" w:hAnsi="Times New Roman"/>
          <w:b w:val="false"/>
          <w:bCs w:val="false"/>
          <w:i w:val="false"/>
          <w:iCs w:val="false"/>
          <w:sz w:val="26"/>
          <w:szCs w:val="26"/>
        </w:rPr>
        <w:t xml:space="preserve"> thông báo cơ quan chuyên trách bảo vệ dữ liệu cá nhân chậm nhất 72 giờ kể từ khi phát hiện (khoản 1 Điều 23 Luật Bảo vệ dữ liệu cá nhân số 91/2025/QH15).</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Với HTTT cấp 2: duy trì đầu mối liên hệ với cơ quan quản lý nhà nước về ANM và cơ quan điều hành Liên minh ứng phó, khắc phục sự cố ANM quốc gia (TCVN 14423 mục 4.15.2.1).</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20. Kiểm tra, tự đánh giá</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Kiểm tra, giám sát, đánh giá hiệu quả biện pháp: định kỳ hằng năm; thường xuyên qua giám sát; đột xuất khi có dấu hiệu vi phạm; theo yêu cầu cơ quan có thẩm quyền (điểm a khoản 5 Điều 28 Nghị định 331).</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Tự đánh giá tổng thể hằng năm do </w:t>
      </w:r>
      <w:r>
        <w:rPr>
          <w:rFonts w:ascii="Times New Roman" w:cs="Times New Roman" w:eastAsia="Times New Roman" w:hAnsi="Times New Roman"/>
          <w:b w:val="false"/>
          <w:bCs w:val="false"/>
          <w:i w:val="false"/>
          <w:iCs w:val="false"/>
          <w:sz w:val="26"/>
          <w:szCs w:val="26"/>
          <w:highlight w:val="yellow"/>
        </w:rPr>
        <w:t xml:space="preserve">Ban Kiểm soát nội bộ</w:t>
      </w:r>
      <w:r>
        <w:rPr>
          <w:rFonts w:ascii="Times New Roman" w:cs="Times New Roman" w:eastAsia="Times New Roman" w:hAnsi="Times New Roman"/>
          <w:b w:val="false"/>
          <w:bCs w:val="false"/>
          <w:i w:val="false"/>
          <w:iCs w:val="false"/>
          <w:sz w:val="26"/>
          <w:szCs w:val="26"/>
        </w:rPr>
        <w:t xml:space="preserve"> thực hiện, độc lập với đơn vị vận hành, theo biểu mẫu, tiêu chí do cơ quan có thẩm quyền ban hành (điểm c khoản 2 Điều 31 Nghị định 331); hoàn thành trước ngày 15/12 để làm số liệu báo cáo năm.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Đơn vị vận hành định kỳ đánh giá hiệu quả biện pháp, báo cáo chủ quản điều chỉnh (khoản 3 Điều 33 Nghị định 331).</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21. Chế độ báo cáo</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Báo cáo định kỳ hằng năm theo Mẫu số 08: số liệu tính từ 15/12 năm trước đến 14/12 năm báo cáo; đơn vị chuyên trách ANM, đơn vị vận hành gửi chủ quản </w:t>
      </w:r>
      <w:r>
        <w:rPr>
          <w:rFonts w:ascii="Times New Roman" w:cs="Times New Roman" w:eastAsia="Times New Roman" w:hAnsi="Times New Roman"/>
          <w:b/>
          <w:bCs/>
          <w:i w:val="false"/>
          <w:iCs w:val="false"/>
          <w:sz w:val="26"/>
          <w:szCs w:val="26"/>
        </w:rPr>
        <w:t xml:space="preserve">trước ngày 20/12</w:t>
      </w:r>
      <w:r>
        <w:rPr>
          <w:rFonts w:ascii="Times New Roman" w:cs="Times New Roman" w:eastAsia="Times New Roman" w:hAnsi="Times New Roman"/>
          <w:b w:val="false"/>
          <w:bCs w:val="false"/>
          <w:i w:val="false"/>
          <w:iCs w:val="false"/>
          <w:sz w:val="26"/>
          <w:szCs w:val="26"/>
        </w:rPr>
        <w:t xml:space="preserve">; chủ quản gửi Bộ Công an </w:t>
      </w:r>
      <w:r>
        <w:rPr>
          <w:rFonts w:ascii="Times New Roman" w:cs="Times New Roman" w:eastAsia="Times New Roman" w:hAnsi="Times New Roman"/>
          <w:b/>
          <w:bCs/>
          <w:i w:val="false"/>
          <w:iCs w:val="false"/>
          <w:sz w:val="26"/>
          <w:szCs w:val="26"/>
        </w:rPr>
        <w:t xml:space="preserve">trước ngày 25/12</w:t>
      </w:r>
      <w:r>
        <w:rPr>
          <w:rFonts w:ascii="Times New Roman" w:cs="Times New Roman" w:eastAsia="Times New Roman" w:hAnsi="Times New Roman"/>
          <w:b w:val="false"/>
          <w:bCs w:val="false"/>
          <w:i w:val="false"/>
          <w:iCs w:val="false"/>
          <w:sz w:val="26"/>
          <w:szCs w:val="26"/>
        </w:rPr>
        <w:t xml:space="preserve"> (khoản 3, 4 Điều 35 Nghị định 331); nội dung theo Điều 36. Báo cáo đột xuất theo đề nghị của cơ quan có thẩm quyền.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22. Xác định, xác định lại cấp độ</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Đơn vị vận hành lập Hồ sơ đề xuất cấp độ, gửi đơn vị chuyên trách ANM kèm văn bản đề nghị (Mẫu số 01).</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Đơn vị chuyên trách ANM: hướng dẫn bổ sung hồ sơ chưa hợp lệ trong 05 ngày làm việc (khoản 2 Điều 23 Nghị định 331); </w:t>
      </w:r>
      <w:r>
        <w:rPr>
          <w:rFonts w:ascii="Times New Roman" w:cs="Times New Roman" w:eastAsia="Times New Roman" w:hAnsi="Times New Roman"/>
          <w:b/>
          <w:bCs/>
          <w:i w:val="false"/>
          <w:iCs w:val="false"/>
          <w:sz w:val="26"/>
          <w:szCs w:val="26"/>
        </w:rPr>
        <w:t xml:space="preserve">thẩm định trong 10 ngày làm việc</w:t>
      </w:r>
      <w:r>
        <w:rPr>
          <w:rFonts w:ascii="Times New Roman" w:cs="Times New Roman" w:eastAsia="Times New Roman" w:hAnsi="Times New Roman"/>
          <w:b w:val="false"/>
          <w:bCs w:val="false"/>
          <w:i w:val="false"/>
          <w:iCs w:val="false"/>
          <w:sz w:val="26"/>
          <w:szCs w:val="26"/>
        </w:rPr>
        <w:t xml:space="preserve"> kể từ khi nhận đủ hồ sơ hợp lệ (thời hạn nội bộ của Công ty) theo nội dung tại khoản 1 Điều 23; ban hành quyết định phê duyệt trong 07 ngày làm việc (khoản 2 Điều 24) và báo cáo chủ quản (khoản 1 Điều 18).</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Xác định lại cấp độ theo trình tự như lần đầu (Điều 25 Nghị định 331) khi có thay đổi tại điểm b, c, d, đ khoản 2 Điều 10 Nghị định 331 hoặc kết quả đánh giá rủi ro cho thấy cấp độ không còn phù hợp.</w:t>
      </w:r>
    </w:p>
    <w:p>
      <w:pPr>
        <w:keepNext/>
        <w:spacing w:after="120" w:before="180" w:line="240" w:lineRule="auto"/>
        <w:jc w:val="center"/>
      </w:pPr>
      <w:r>
        <w:rPr>
          <w:rFonts w:ascii="Times New Roman" w:cs="Times New Roman" w:eastAsia="Times New Roman" w:hAnsi="Times New Roman"/>
          <w:b/>
          <w:bCs/>
          <w:i w:val="false"/>
          <w:iCs w:val="false"/>
          <w:caps/>
          <w:sz w:val="26"/>
          <w:szCs w:val="26"/>
        </w:rPr>
        <w:t xml:space="preserve">Chương V. ĐIỀU KHOẢN THI HÀNH</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23. Tổ chức thực hiện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Quy chế có hiệu lực kể từ ngày ký Quyết định ban hành.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phổ biến Quy chế tới toàn bộ người lao động (có ký nhận), kiểm tra việc thực hiện hằng năm.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Vi phạm Quy chế bị xử lý theo </w:t>
      </w:r>
      <w:r>
        <w:rPr>
          <w:rFonts w:ascii="Times New Roman" w:cs="Times New Roman" w:eastAsia="Times New Roman" w:hAnsi="Times New Roman"/>
          <w:b w:val="false"/>
          <w:bCs w:val="false"/>
          <w:i w:val="false"/>
          <w:iCs w:val="false"/>
          <w:sz w:val="26"/>
          <w:szCs w:val="26"/>
          <w:highlight w:val="yellow"/>
        </w:rPr>
        <w:t xml:space="preserve">Nội quy lao động của Công ty</w:t>
      </w:r>
      <w:r>
        <w:rPr>
          <w:rFonts w:ascii="Times New Roman" w:cs="Times New Roman" w:eastAsia="Times New Roman" w:hAnsi="Times New Roman"/>
          <w:b w:val="false"/>
          <w:bCs w:val="false"/>
          <w:i w:val="false"/>
          <w:iCs w:val="false"/>
          <w:sz w:val="26"/>
          <w:szCs w:val="26"/>
        </w:rPr>
        <w:t xml:space="preserve">; gây thiệt hại phải bồi thường theo quy định.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Quy chế được rà soát 01 lần/năm và khi pháp luật thay đổi, khi phê duyệt hoặc xác định lại cấp độ, sau sự cố nghiêm trọng.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đề xuất sửa đổi,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 quyết định.</w:t>
      </w:r>
    </w:p>
    <w:p>
      <w:pPr>
        <w:keepNext/>
        <w:spacing w:after="180" w:before="120" w:line="240" w:lineRule="auto"/>
        <w:jc w:val="center"/>
      </w:pPr>
      <w:r>
        <w:rPr>
          <w:rFonts w:ascii="Times New Roman" w:cs="Times New Roman" w:eastAsia="Times New Roman" w:hAnsi="Times New Roman"/>
          <w:b/>
          <w:bCs/>
          <w:i w:val="false"/>
          <w:iCs w:val="false"/>
          <w:sz w:val="26"/>
          <w:szCs w:val="26"/>
        </w:rPr>
        <w:t xml:space="preserve">Phụ lục. DANH MỤC HTTT ÁP DỤNG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30"/>
        <w:gridCol w:w="1740"/>
        <w:gridCol w:w="3332"/>
        <w:gridCol w:w="772"/>
        <w:gridCol w:w="1543"/>
        <w:gridCol w:w="1008"/>
      </w:tblGrid>
      <w:tr>
        <w:trPr>
          <w:cantSplit/>
          <w:tblHeader/>
        </w:trPr>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17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Mã</w:t>
            </w:r>
          </w:p>
        </w:tc>
        <w:tc>
          <w:tcPr>
            <w:tcW w:type="dxa" w:w="333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Tên HTTT</w:t>
            </w:r>
          </w:p>
        </w:tc>
        <w:tc>
          <w:tcPr>
            <w:tcW w:type="dxa" w:w="7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Cấp độ đề xuất</w:t>
            </w:r>
          </w:p>
        </w:tc>
        <w:tc>
          <w:tcPr>
            <w:tcW w:type="dxa" w:w="154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Tiêu chí (Nghị định 331)</w:t>
            </w:r>
          </w:p>
        </w:tc>
        <w:tc>
          <w:tcPr>
            <w:tcW w:type="dxa" w:w="10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QĐ phê duyệt (ghi sau)</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HT-02-INTRANET</w:t>
            </w:r>
          </w:p>
        </w:tc>
        <w:tc>
          <w:tcPr>
            <w:tcW w:type="dxa" w:w="33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Cổng thông tin nội bộ (Intranet) – văn phòng điện tử, thư điện tử nội bộ</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w:t>
            </w:r>
          </w:p>
        </w:tc>
        <w:tc>
          <w:tcPr>
            <w:tcW w:type="dxa" w:w="15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Khoản 1 Điều 12</w:t>
            </w:r>
          </w:p>
        </w:tc>
        <w:tc>
          <w:tcPr>
            <w:tcW w:type="dxa" w:w="10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HT-03-ERP</w:t>
            </w:r>
          </w:p>
        </w:tc>
        <w:tc>
          <w:tcPr>
            <w:tcW w:type="dxa" w:w="33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Hệ thống kế toán – nhân sự nội bộ (ERP)</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w:t>
            </w:r>
          </w:p>
        </w:tc>
        <w:tc>
          <w:tcPr>
            <w:tcW w:type="dxa" w:w="15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Khoản 1 Điều 12</w:t>
            </w:r>
          </w:p>
        </w:tc>
        <w:tc>
          <w:tcPr>
            <w:tcW w:type="dxa" w:w="10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HT-04-LAN</w:t>
            </w:r>
          </w:p>
        </w:tc>
        <w:tc>
          <w:tcPr>
            <w:tcW w:type="dxa" w:w="33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Hạ tầng mạng nội bộ trụ sở (LAN, Wi-Fi, Active Directory)</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w:t>
            </w:r>
          </w:p>
        </w:tc>
        <w:tc>
          <w:tcPr>
            <w:tcW w:type="dxa" w:w="15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Khoản 3 Điều 12</w:t>
            </w:r>
          </w:p>
        </w:tc>
        <w:tc>
          <w:tcPr>
            <w:tcW w:type="dxa" w:w="10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HT-05-BANGTIN</w:t>
            </w:r>
          </w:p>
        </w:tc>
        <w:tc>
          <w:tcPr>
            <w:tcW w:type="dxa" w:w="33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Hệ thống màn hình bảng tin điện tử tại sảnh</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1</w:t>
            </w:r>
          </w:p>
        </w:tc>
        <w:tc>
          <w:tcPr>
            <w:tcW w:type="dxa" w:w="15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Khoản 1 Điều 11</w:t>
            </w:r>
          </w:p>
        </w:tc>
        <w:tc>
          <w:tcPr>
            <w:tcW w:type="dxa" w:w="10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chế bảo đảm an ninh mạng (rút gọn cho hệ thống thông tin cấp độ 1, cấp độ 2)</dc:title>
  <dc:creator>vn-cyber-compliance</dc:creator>
  <cp:lastModifiedBy>Un-named</cp:lastModifiedBy>
  <cp:revision>1</cp:revision>
  <dcterms:created xsi:type="dcterms:W3CDTF">2026-09-28T04:07:54.275Z</dcterms:created>
  <dcterms:modified xsi:type="dcterms:W3CDTF">2026-09-28T04:07:54.275Z</dcterms:modified>
</cp:coreProperties>
</file>

<file path=docProps/custom.xml><?xml version="1.0" encoding="utf-8"?>
<Properties xmlns="http://schemas.openxmlformats.org/officeDocument/2006/custom-properties" xmlns:vt="http://schemas.openxmlformats.org/officeDocument/2006/docPropsVTypes"/>
</file>