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{{chỉ định nhân sự/thành lập bộ phận}} bảo vệ dữ liệu cá nhân</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Xét đề nghị của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{{Chỉ định/Thành lập}} bộ phận, nhân sự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{{Chọn một hoặc kết hợp}}:</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(a) Chỉ định nhân sự:</w:t>
      </w:r>
      <w:r>
        <w:rPr>
          <w:rFonts w:ascii="Times New Roman" w:cs="Times New Roman" w:eastAsia="Times New Roman" w:hAnsi="Times New Roman"/>
          <w:b w:val="false"/>
          <w:bCs w:val="false"/>
          <w:i w:val="false"/>
          <w:iCs w:val="false"/>
          <w:sz w:val="26"/>
          <w:szCs w:val="26"/>
        </w:rPr>
        <w:t xml:space="preserve"> Chỉ định Ông/Bà </w:t>
      </w:r>
      <w:r>
        <w:rPr>
          <w:rFonts w:ascii="Times New Roman" w:cs="Times New Roman" w:eastAsia="Times New Roman" w:hAnsi="Times New Roman"/>
          <w:b/>
          <w:bCs/>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bảo vệ dữ liệu cá nhân</w:t>
      </w:r>
      <w:r>
        <w:rPr>
          <w:rFonts w:ascii="Times New Roman" w:cs="Times New Roman" w:eastAsia="Times New Roman" w:hAnsi="Times New Roman"/>
          <w:b w:val="false"/>
          <w:bCs w:val="false"/>
          <w:i w:val="false"/>
          <w:iCs w:val="false"/>
          <w:sz w:val="26"/>
          <w:szCs w:val="26"/>
        </w:rPr>
        <w:t xml:space="preserve">, làm nhân sự bảo vệ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theo khoản 2 Điều 33 Luật Bảo vệ dữ liệu cá nhân số 91/2025/QH15 và Điều 13 Nghị định số 356/2025/NĐ-CP. Người dự phòng khi nhân sự chính vắng mặt: Ông/Bà </w:t>
      </w:r>
      <w:r>
        <w:rPr>
          <w:rFonts w:ascii="Times New Roman" w:cs="Times New Roman" w:eastAsia="Times New Roman" w:hAnsi="Times New Roman"/>
          <w:b w:val="false"/>
          <w:bCs w:val="false"/>
          <w:i w:val="false"/>
          <w:iCs w:val="false"/>
          <w:sz w:val="26"/>
          <w:szCs w:val="26"/>
          <w:highlight w:val="yellow"/>
        </w:rPr>
        <w:t xml:space="preserve">Trần Thị Mai</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 Thành lập bộ phận:</w:t>
      </w:r>
      <w:r>
        <w:rPr>
          <w:rFonts w:ascii="Times New Roman" w:cs="Times New Roman" w:eastAsia="Times New Roman" w:hAnsi="Times New Roman"/>
          <w:b w:val="false"/>
          <w:bCs w:val="false"/>
          <w:i w:val="false"/>
          <w:iCs w:val="false"/>
          <w:sz w:val="26"/>
          <w:szCs w:val="26"/>
        </w:rPr>
        <w:t xml:space="preserve"> Thành lập </w:t>
      </w:r>
      <w:r>
        <w:rPr>
          <w:rFonts w:ascii="Times New Roman" w:cs="Times New Roman" w:eastAsia="Times New Roman" w:hAnsi="Times New Roman"/>
          <w:b/>
          <w:bCs/>
          <w:i w:val="false"/>
          <w:iCs w:val="false"/>
          <w:sz w:val="26"/>
          <w:szCs w:val="26"/>
          <w:highlight w:val="yellow"/>
        </w:rPr>
        <w:t xml:space="preserve">Tổ Bảo vệ dữ liệu cá nhân</w:t>
      </w:r>
      <w:r>
        <w:rPr>
          <w:rFonts w:ascii="Times New Roman" w:cs="Times New Roman" w:eastAsia="Times New Roman" w:hAnsi="Times New Roman"/>
          <w:b w:val="false"/>
          <w:bCs w:val="false"/>
          <w:i w:val="false"/>
          <w:iCs w:val="false"/>
          <w:sz w:val="26"/>
          <w:szCs w:val="26"/>
        </w:rPr>
        <w:t xml:space="preserve"> trực thuộc </w:t>
      </w:r>
      <w:r>
        <w:rPr>
          <w:rFonts w:ascii="Times New Roman" w:cs="Times New Roman" w:eastAsia="Times New Roman" w:hAnsi="Times New Roman"/>
          <w:b w:val="false"/>
          <w:bCs w:val="false"/>
          <w:i w:val="false"/>
          <w:iCs w:val="false"/>
          <w:sz w:val="26"/>
          <w:szCs w:val="26"/>
          <w:highlight w:val="yellow"/>
        </w:rPr>
        <w:t xml:space="preserve">Ban Pháp chế – Tuân thủ</w:t>
      </w:r>
      <w:r>
        <w:rPr>
          <w:rFonts w:ascii="Times New Roman" w:cs="Times New Roman" w:eastAsia="Times New Roman" w:hAnsi="Times New Roman"/>
          <w:b w:val="false"/>
          <w:bCs w:val="false"/>
          <w:i w:val="false"/>
          <w:iCs w:val="false"/>
          <w:sz w:val="26"/>
          <w:szCs w:val="26"/>
        </w:rPr>
        <w:t xml:space="preserve">, là bộ phận bảo vệ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gồm các thành viên tại Phụ lục I kèm theo Quyết định này. Trưởng bộ phận: Ông/Bà </w:t>
      </w:r>
      <w:r>
        <w:rPr>
          <w:rFonts w:ascii="Times New Roman" w:cs="Times New Roman" w:eastAsia="Times New Roman" w:hAnsi="Times New Roman"/>
          <w:b/>
          <w:bCs/>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(c) Thuê dịch vụ:</w:t>
      </w:r>
      <w:r>
        <w:rPr>
          <w:rFonts w:ascii="Times New Roman" w:cs="Times New Roman" w:eastAsia="Times New Roman" w:hAnsi="Times New Roman"/>
          <w:b w:val="false"/>
          <w:bCs w:val="false"/>
          <w:i w:val="false"/>
          <w:iCs w:val="false"/>
          <w:sz w:val="26"/>
          <w:szCs w:val="26"/>
        </w:rPr>
        <w:t xml:space="preserve"> Sử dụng dịch vụ bảo vệ dữ liệu cá nhân của </w:t>
      </w:r>
      <w:r>
        <w:rPr>
          <w:rFonts w:ascii="Times New Roman" w:cs="Times New Roman" w:eastAsia="Times New Roman" w:hAnsi="Times New Roman"/>
          <w:b w:val="false"/>
          <w:bCs w:val="false"/>
          <w:i w:val="false"/>
          <w:iCs w:val="false"/>
          <w:sz w:val="26"/>
          <w:szCs w:val="26"/>
          <w:highlight w:val="yellow"/>
        </w:rPr>
        <w:t xml:space="preserve">Không thuê</w:t>
      </w:r>
      <w:r>
        <w:rPr>
          <w:rFonts w:ascii="Times New Roman" w:cs="Times New Roman" w:eastAsia="Times New Roman" w:hAnsi="Times New Roman"/>
          <w:b w:val="false"/>
          <w:bCs w:val="false"/>
          <w:i w:val="false"/>
          <w:iCs w:val="false"/>
          <w:sz w:val="26"/>
          <w:szCs w:val="26"/>
        </w:rPr>
        <w:t xml:space="preserve"> theo Hợp đồng số </w:t>
      </w:r>
      <w:r>
        <w:rPr>
          <w:rFonts w:ascii="Times New Roman" w:cs="Times New Roman" w:eastAsia="Times New Roman" w:hAnsi="Times New Roman"/>
          <w:b w:val="false"/>
          <w:bCs w:val="false"/>
          <w:i w:val="false"/>
          <w:iCs w:val="false"/>
          <w:sz w:val="26"/>
          <w:szCs w:val="26"/>
          <w:highlight w:val="yellow"/>
        </w:rPr>
        <w:t xml:space="preserve">Không áp dụng</w:t>
      </w:r>
      <w:r>
        <w:rPr>
          <w:rFonts w:ascii="Times New Roman" w:cs="Times New Roman" w:eastAsia="Times New Roman" w:hAnsi="Times New Roman"/>
          <w:b w:val="false"/>
          <w:bCs w:val="false"/>
          <w:i w:val="false"/>
          <w:iCs w:val="false"/>
          <w:sz w:val="26"/>
          <w:szCs w:val="26"/>
        </w:rPr>
        <w:t xml:space="preserve">; nhân sự nội bộ làm đầu mối phối hợp: Ông/Bà </w:t>
      </w:r>
      <w:r>
        <w:rPr>
          <w:rFonts w:ascii="Times New Roman" w:cs="Times New Roman" w:eastAsia="Times New Roman" w:hAnsi="Times New Roman"/>
          <w:b w:val="false"/>
          <w:bCs w:val="false"/>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iCs/>
          <w:sz w:val="26"/>
          <w:szCs w:val="26"/>
        </w:rPr>
        <w:t xml:space="preserve">[Chỉ áp dụng khi kinh doanh dịch vụ xử lý dữ liệu cá nhân — M3/M4]</w:t>
      </w:r>
      <w:r>
        <w:rPr>
          <w:rFonts w:ascii="Times New Roman" w:cs="Times New Roman" w:eastAsia="Times New Roman" w:hAnsi="Times New Roman"/>
          <w:b w:val="false"/>
          <w:bCs w:val="false"/>
          <w:i w:val="false"/>
          <w:iCs w:val="false"/>
          <w:sz w:val="26"/>
          <w:szCs w:val="26"/>
        </w:rPr>
        <w:t xml:space="preserve"> Giao Ông/Bà </w:t>
      </w:r>
      <w:r>
        <w:rPr>
          <w:rFonts w:ascii="Times New Roman" w:cs="Times New Roman" w:eastAsia="Times New Roman" w:hAnsi="Times New Roman"/>
          <w:b/>
          <w:bCs/>
          <w:i w:val="false"/>
          <w:iCs w:val="false"/>
          <w:sz w:val="26"/>
          <w:szCs w:val="26"/>
          <w:highlight w:val="yellow"/>
        </w:rPr>
        <w:t xml:space="preserve">Lê Quang Huy</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Giám đốc Kỹ thuật nền tảng</w:t>
      </w:r>
      <w:r>
        <w:rPr>
          <w:rFonts w:ascii="Times New Roman" w:cs="Times New Roman" w:eastAsia="Times New Roman" w:hAnsi="Times New Roman"/>
          <w:b w:val="false"/>
          <w:bCs w:val="false"/>
          <w:i w:val="false"/>
          <w:iCs w:val="false"/>
          <w:sz w:val="26"/>
          <w:szCs w:val="26"/>
        </w:rPr>
        <w:t xml:space="preserve">, là người đứng đầu phụ trách chuyên môn về xử lý dữ liệu cá nhân theo điểm a khoản 2 Điều 22 Nghị định số 356/2025/NĐ-CP. Người được giao là công dân Việt Nam, thường trú tại Việt Nam.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Phạm vi: toàn bộ hoạt động xử lý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gồm:</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Dữ liệu cá nhân của người lao động, ứng viên, cộng tác viên; khách hàng, đối tác và người liên hệ của khách hàng; khách đến trụ sở, văn phòng;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Dữ liệu cá nhân xử lý thay mặt khách hàng khi lắp đặt, cấu hình, đăng ký khuôn mặt, bảo hành, hỗ trợ từ xa sản phẩm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(M2)</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Dữ liệu cá nhân của người dùng cuối (hình ảnh, video, đặc trưng khuôn mặt, biển số xe, nhật ký nhận diện, nhật ký ra vào, chấm công) được xử lý trên nền tảng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(M3)</w:t>
      </w:r>
      <w:r>
        <w:rPr>
          <w:rFonts w:ascii="Times New Roman" w:cs="Times New Roman" w:eastAsia="Times New Roman" w:hAnsi="Times New Roman"/>
          <w:b w:val="false"/>
          <w:bCs w:val="false"/>
          <w:i w:val="false"/>
          <w:iCs w:val="false"/>
          <w:sz w:val="26"/>
          <w:szCs w:val="26"/>
        </w:rPr>
        <w:t xml:space="preserve"> hoặc trong dịch vụ vận hành thay khách hàng </w:t>
      </w:r>
      <w:r>
        <w:rPr>
          <w:rFonts w:ascii="Times New Roman" w:cs="Times New Roman" w:eastAsia="Times New Roman" w:hAnsi="Times New Roman"/>
          <w:b w:val="false"/>
          <w:bCs w:val="false"/>
          <w:i/>
          <w:iCs/>
          <w:sz w:val="26"/>
          <w:szCs w:val="26"/>
        </w:rPr>
        <w:t xml:space="preserve">(M4)</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Dữ liệu dùng để huấn luyện, kiểm thử, cải tiến mô hình trí tuệ nhân tạo </w:t>
      </w:r>
      <w:r>
        <w:rPr>
          <w:rFonts w:ascii="Times New Roman" w:cs="Times New Roman" w:eastAsia="Times New Roman" w:hAnsi="Times New Roman"/>
          <w:b w:val="false"/>
          <w:bCs w:val="false"/>
          <w:i/>
          <w:iCs/>
          <w:sz w:val="26"/>
          <w:szCs w:val="26"/>
        </w:rPr>
        <w:t xml:space="preserve">(M5, nếu có)</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Chức năng, nhiệm vụ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{{Bộ phận/Nhân sự}} bảo vệ dữ liệu cá nhân có các nhiệm vụ sau (Điều 14 Nghị định số 356/2025/NĐ-CP):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Tổ chức xây dựng </w:t>
      </w:r>
      <w:r>
        <w:rPr>
          <w:rFonts w:ascii="Times New Roman" w:cs="Times New Roman" w:eastAsia="Times New Roman" w:hAnsi="Times New Roman"/>
          <w:b w:val="false"/>
          <w:bCs w:val="false"/>
          <w:i/>
          <w:iCs/>
          <w:sz w:val="26"/>
          <w:szCs w:val="26"/>
        </w:rPr>
        <w:t xml:space="preserve">(đối với nhân sự: tham mưu xây dựng)</w:t>
      </w:r>
      <w:r>
        <w:rPr>
          <w:rFonts w:ascii="Times New Roman" w:cs="Times New Roman" w:eastAsia="Times New Roman" w:hAnsi="Times New Roman"/>
          <w:b w:val="false"/>
          <w:bCs w:val="false"/>
          <w:i w:val="false"/>
          <w:iCs w:val="false"/>
          <w:sz w:val="26"/>
          <w:szCs w:val="26"/>
        </w:rPr>
        <w:t xml:space="preserve"> chính sách, quy trình, quy định, biểu mẫu để tuân thủ pháp luật về bảo vệ dữ liệu cá nhân, gồm tối thiểu: Chính sách bảo vệ dữ liệu cá nhân; quy trình tiếp nhận yêu cầu của chủ thể dữ liệu; Sổ đăng ký hoạt động xử lý dữ liệu cá nhân; quy trình xử lý sự cố, vi phạm dữ liệu cá nhân có nhánh dữ liệu sinh trắc học; phụ lục xử lý dữ liệu cá nhân mẫu cho hợp đồng với khách hàng;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Tổ chức </w:t>
      </w:r>
      <w:r>
        <w:rPr>
          <w:rFonts w:ascii="Times New Roman" w:cs="Times New Roman" w:eastAsia="Times New Roman" w:hAnsi="Times New Roman"/>
          <w:b w:val="false"/>
          <w:bCs w:val="false"/>
          <w:i/>
          <w:iCs/>
          <w:sz w:val="26"/>
          <w:szCs w:val="26"/>
        </w:rPr>
        <w:t xml:space="preserve">(tham gia)</w:t>
      </w:r>
      <w:r>
        <w:rPr>
          <w:rFonts w:ascii="Times New Roman" w:cs="Times New Roman" w:eastAsia="Times New Roman" w:hAnsi="Times New Roman"/>
          <w:b w:val="false"/>
          <w:bCs w:val="false"/>
          <w:i w:val="false"/>
          <w:iCs w:val="false"/>
          <w:sz w:val="26"/>
          <w:szCs w:val="26"/>
        </w:rPr>
        <w:t xml:space="preserve"> triển khai thực hiện các quyền của chủ thể dữ liệu cá nhân; với dữ liệu xử lý thay mặt khách hàng, hỗ trợ khách hàng thực hiện yêu cầu của chủ thể trong thời hạn khách hàng xác định;</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Định kỳ tổ chức </w:t>
      </w:r>
      <w:r>
        <w:rPr>
          <w:rFonts w:ascii="Times New Roman" w:cs="Times New Roman" w:eastAsia="Times New Roman" w:hAnsi="Times New Roman"/>
          <w:b w:val="false"/>
          <w:bCs w:val="false"/>
          <w:i/>
          <w:iCs/>
          <w:sz w:val="26"/>
          <w:szCs w:val="26"/>
        </w:rPr>
        <w:t xml:space="preserve">(tham gia)</w:t>
      </w:r>
      <w:r>
        <w:rPr>
          <w:rFonts w:ascii="Times New Roman" w:cs="Times New Roman" w:eastAsia="Times New Roman" w:hAnsi="Times New Roman"/>
          <w:b w:val="false"/>
          <w:bCs w:val="false"/>
          <w:i w:val="false"/>
          <w:iCs w:val="false"/>
          <w:sz w:val="26"/>
          <w:szCs w:val="26"/>
        </w:rPr>
        <w:t xml:space="preserve"> đánh giá thực trạng tuân thủ pháp luật về bảo vệ dữ liệu cá nhân, lập báo cáo đánh giá mức độ thực hiện nghĩa vụ; trong đó có đánh giá tuân thủ định kỳ 01 năm/lần đối với hệ thống trí tuệ nhân tạo (điểm đ khoản 5 Điều 10 Nghị định số 356/2025/NĐ-CP) và đối với dịch vụ điện toán đám mây (điểm d khoản 3 Điều 12) </w:t>
      </w:r>
      <w:r>
        <w:rPr>
          <w:rFonts w:ascii="Times New Roman" w:cs="Times New Roman" w:eastAsia="Times New Roman" w:hAnsi="Times New Roman"/>
          <w:b w:val="false"/>
          <w:bCs w:val="false"/>
          <w:i/>
          <w:iCs/>
          <w:sz w:val="26"/>
          <w:szCs w:val="26"/>
        </w:rPr>
        <w:t xml:space="preserve">(M3/M4)</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Lập hồ sơ đánh giá tác động xử lý dữ liệu cá nhân, hồ sơ đánh giá tác động chuyển dữ liệu cá nhân xuyên biên giới </w:t>
      </w:r>
      <w:r>
        <w:rPr>
          <w:rFonts w:ascii="Times New Roman" w:cs="Times New Roman" w:eastAsia="Times New Roman" w:hAnsi="Times New Roman"/>
          <w:b w:val="false"/>
          <w:bCs w:val="false"/>
          <w:i/>
          <w:iCs/>
          <w:sz w:val="26"/>
          <w:szCs w:val="26"/>
        </w:rPr>
        <w:t xml:space="preserve">(nếu có)</w:t>
      </w:r>
      <w:r>
        <w:rPr>
          <w:rFonts w:ascii="Times New Roman" w:cs="Times New Roman" w:eastAsia="Times New Roman" w:hAnsi="Times New Roman"/>
          <w:b w:val="false"/>
          <w:bCs w:val="false"/>
          <w:i w:val="false"/>
          <w:iCs w:val="false"/>
          <w:sz w:val="26"/>
          <w:szCs w:val="26"/>
        </w:rPr>
        <w:t xml:space="preserve">; tiếp nhận và báo cáo vi phạm về bảo vệ dữ liệu cá nhân; thực hiện các yêu cầu khác của cơ quan có thẩm quyền;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đ) Xây dựng kế hoạch và triển khai đào tạo, bồi dưỡng định kỳ về bảo vệ dữ liệu cá nhân cho người lao động, trong đó bắt buộc với kỹ thuật viên lắp đặt, nhân viên hỗ trợ khách hàng, quản trị viên nền tảng và nhóm phát triển mô hình;</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e) Tổ chức </w:t>
      </w:r>
      <w:r>
        <w:rPr>
          <w:rFonts w:ascii="Times New Roman" w:cs="Times New Roman" w:eastAsia="Times New Roman" w:hAnsi="Times New Roman"/>
          <w:b w:val="false"/>
          <w:bCs w:val="false"/>
          <w:i/>
          <w:iCs/>
          <w:sz w:val="26"/>
          <w:szCs w:val="26"/>
        </w:rPr>
        <w:t xml:space="preserve">(tham gia)</w:t>
      </w:r>
      <w:r>
        <w:rPr>
          <w:rFonts w:ascii="Times New Roman" w:cs="Times New Roman" w:eastAsia="Times New Roman" w:hAnsi="Times New Roman"/>
          <w:b w:val="false"/>
          <w:bCs w:val="false"/>
          <w:i w:val="false"/>
          <w:iCs w:val="false"/>
          <w:sz w:val="26"/>
          <w:szCs w:val="26"/>
        </w:rPr>
        <w:t xml:space="preserve"> triển khai các biện pháp kỹ thuật bảo mật dữ liệu cá nhân, tiêu chuẩn, quy chuẩn bảo vệ dữ liệu cá nhân và kế hoạch ứng cứu khẩn cấp sự cố bảo vệ dữ liệu cá nhân, đặc biệt đối với cơ sở dữ liệu đặc trưng khuôn mặt, kho video và khóa mã hóa;</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g) Nghiên cứu và đề xuất các quyết định liên quan đến bảo vệ dữ liệu cá nhân, gồm ý kiến bắt buộc trước khi: phát hành tính năng mới có xử lý dữ liệu sinh trắc học hoặc phân tích hành vi; thay đổi vị trí máy chủ hoặc nhà cung cấp hạ tầng; dùng dữ liệu cho huấn luyện mô hình; ký hợp đồng với đại lý, nhà thầu phụ có tiếp cận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Nhiệm vụ riêng của nhà cung cấp giải pháp AI vision giao thêm cho {{bộ phận/nhân sự}} bảo vệ dữ liệu cá nhân: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Duy trì Sổ đăng ký hoạt động xử lý dữ liệu cá nhân, cập nhật khi có sản phẩm, tính năng, khách hàng loại mới hoặc thay đổi vị trí lưu trữ;</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Rà soát danh sách tài khoản có quyền truy cập dữ liệu của khách hàng (nhân viên hỗ trợ, kỹ thuật viên, đại lý) tối thiểu </w:t>
      </w:r>
      <w:r>
        <w:rPr>
          <w:rFonts w:ascii="Times New Roman" w:cs="Times New Roman" w:eastAsia="Times New Roman" w:hAnsi="Times New Roman"/>
          <w:b w:val="false"/>
          <w:bCs w:val="false"/>
          <w:i w:val="false"/>
          <w:iCs w:val="false"/>
          <w:sz w:val="26"/>
          <w:szCs w:val="26"/>
          <w:highlight w:val="yellow"/>
        </w:rPr>
        <w:t xml:space="preserve">03 tháng</w:t>
      </w:r>
      <w:r>
        <w:rPr>
          <w:rFonts w:ascii="Times New Roman" w:cs="Times New Roman" w:eastAsia="Times New Roman" w:hAnsi="Times New Roman"/>
          <w:b w:val="false"/>
          <w:bCs w:val="false"/>
          <w:i w:val="false"/>
          <w:iCs w:val="false"/>
          <w:sz w:val="26"/>
          <w:szCs w:val="26"/>
        </w:rPr>
        <w:t xml:space="preserve">/lần;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Làm đầu mối liên hệ với cơ quan chuyên trách bảo vệ dữ liệu cá nhân và với nhân sự bảo vệ dữ liệu cá nhân của khách hàng.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Quyền hạn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Yêu cầu các phòng, ban, cá nhân cung cấp thông tin, tài liệu, nhật ký hệ thống và quyền truy cập cần thiết để đánh giá, kiểm tra việc xử lý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Đề xuất tạm dừng hoạt động xử lý dữ liệu cá nhân, tạm khóa tài khoản truy cập hoặc tạm ngừng phát hành tính năng khi phát hiện nguy cơ vi phạm; trường hợp khẩn cấp liên quan đến dữ liệu sinh trắc học được quyền yêu cầu khóa ngay tài khoản và báo cáo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trong ngày.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Báo cáo trực tiếp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về công tác bảo vệ dữ liệu cá nhân; không chịu sự chỉ đạo chuyên môn của bộ phận vận hành nền tảng, bộ phận phát triển sản phẩm hoặc bộ phận kinh doanh khi thực hiện nhiệm vụ đánh giá.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Kiến nghị xử lý trách nhiệm đối với cá nhân, bộ phận vi phạm quy định về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Điều kiện năng lực, đào tạo và bảo mật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Nhân sự được chỉ định đáp ứng điều kiện năng lực tại khoản 2 Điều 13 Nghị định số 356/2025/NĐ-CP: có trình độ cao đẳng trở lên; có ít nhất 02 năm kinh nghiệm công tác liên quan; đã được đào tạo, bồi dưỡng kiến thức pháp luật và kỹ năng chuyên môn về bảo vệ dữ liệu cá nhân. Hồ sơ năng lực tại Phụ lục 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iCs/>
          <w:sz w:val="26"/>
          <w:szCs w:val="26"/>
        </w:rPr>
        <w:t xml:space="preserve">[M3/M4]</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Tổ Bảo vệ dữ liệu cá nhân</w:t>
      </w:r>
      <w:r>
        <w:rPr>
          <w:rFonts w:ascii="Times New Roman" w:cs="Times New Roman" w:eastAsia="Times New Roman" w:hAnsi="Times New Roman"/>
          <w:b w:val="false"/>
          <w:bCs w:val="false"/>
          <w:i w:val="false"/>
          <w:iCs w:val="false"/>
          <w:sz w:val="26"/>
          <w:szCs w:val="26"/>
        </w:rPr>
        <w:t xml:space="preserve"> có tối thiểu 03 nhân sự đủ điều kiện năng lực (điểm c khoản 2 Điều 22 Nghị định số 356/2025/NĐ-CP).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áp dụng mức cao hơn cho các nhân sự này: có ít nhất 03 năm kinh nghiệm và đã được đào tạo, bồi dưỡng chuyên sâu về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bố trí đào tạo, bồi dưỡng cho nhân sự bảo vệ dữ liệu cá nhân tối thiểu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/lần (khoản 6 Điều 13 Nghị định số 356/2025/NĐ-CP) và lưu hồ sơ khóa học.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Mỗi nhân sự bảo vệ dữ liệu cá nhân ký Thỏa thuận trách nhiệm bảo mật theo Phụ lục II trước khi nhận nhiệm vụ (khoản 5 Điều 13 Nghị định số 356/2025/NĐ-CP).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Công khai thông tin liên hệ</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Thông tin liên hệ về bảo vệ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thư điện tử </w:t>
      </w:r>
      <w:r>
        <w:rPr>
          <w:rFonts w:ascii="Times New Roman" w:cs="Times New Roman" w:eastAsia="Times New Roman" w:hAnsi="Times New Roman"/>
          <w:b w:val="false"/>
          <w:bCs w:val="false"/>
          <w:i w:val="false"/>
          <w:iCs w:val="false"/>
          <w:sz w:val="26"/>
          <w:szCs w:val="26"/>
          <w:highlight w:val="yellow"/>
        </w:rPr>
        <w:t xml:space="preserve">dpo@example.vn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028 1234 5679</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Thông tin này được công bố trong Chính sách bảo vệ dữ liệu cá nhân trên </w:t>
      </w:r>
      <w:r>
        <w:rPr>
          <w:rFonts w:ascii="Times New Roman" w:cs="Times New Roman" w:eastAsia="Times New Roman" w:hAnsi="Times New Roman"/>
          <w:b w:val="false"/>
          <w:bCs w:val="false"/>
          <w:i w:val="false"/>
          <w:iCs w:val="false"/>
          <w:sz w:val="26"/>
          <w:szCs w:val="26"/>
          <w:highlight w:val="yellow"/>
        </w:rPr>
        <w:t xml:space="preserve">www.example.vn</w:t>
      </w:r>
      <w:r>
        <w:rPr>
          <w:rFonts w:ascii="Times New Roman" w:cs="Times New Roman" w:eastAsia="Times New Roman" w:hAnsi="Times New Roman"/>
          <w:b w:val="false"/>
          <w:bCs w:val="false"/>
          <w:i w:val="false"/>
          <w:iCs w:val="false"/>
          <w:sz w:val="26"/>
          <w:szCs w:val="26"/>
        </w:rPr>
        <w:t xml:space="preserve">, được ghi trong hợp đồng và phụ lục xử lý dữ liệu cá nhân với khách hàng, và được cung cấp cho khách hàng sử dụng dịch vụ điện toán đám mây theo điểm a khoản 3 Điều 12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Dùng hộp thư chức năng, không dùng thư điện tử cá nhân, để bảo đảm liên tục khi thay đổi nhân sự.</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Hiệu lực và trách nhiệm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từ ngày ký </w:t>
      </w:r>
      <w:r>
        <w:rPr>
          <w:rFonts w:ascii="Times New Roman" w:cs="Times New Roman" w:eastAsia="Times New Roman" w:hAnsi="Times New Roman"/>
          <w:b w:val="false"/>
          <w:bCs w:val="false"/>
          <w:i/>
          <w:iCs/>
          <w:sz w:val="26"/>
          <w:szCs w:val="26"/>
        </w:rPr>
        <w:t xml:space="preserve">(nếu có: và thay thế Quyết định số ... ngày ...)</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Trưởng các bộ phận vận hành nền tảng, kỹ thuật triển khai, phát triển sản phẩm, kinh doanh và các cá nhân có tên tại Điều 1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6;</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Hội đồng quản trị/Hội đồng thành viên (để b/c);</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6"/>
          <w:szCs w:val="26"/>
        </w:rPr>
        <w:t xml:space="preserve">Phụ lục I. Danh sách và hồ sơ năng lực nhân sự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(Kèm theo Quyết định số </w:t>
      </w:r>
      <w:r>
        <w:rPr>
          <w:rFonts w:ascii="Times New Roman" w:cs="Times New Roman" w:eastAsia="Times New Roman" w:hAnsi="Times New Roman"/>
          <w:b w:val="false"/>
          <w:bCs w:val="false"/>
          <w:i/>
          <w:iCs/>
          <w:sz w:val="26"/>
          <w:szCs w:val="26"/>
          <w:highlight w:val="yellow"/>
        </w:rPr>
        <w:t xml:space="preserve">18/2026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TURBO</w:t>
      </w:r>
      <w:r>
        <w:rPr>
          <w:rFonts w:ascii="Times New Roman" w:cs="Times New Roman" w:eastAsia="Times New Roman" w:hAnsi="Times New Roman"/>
          <w:b w:val="false"/>
          <w:bCs w:val="false"/>
          <w:i/>
          <w:iCs/>
          <w:sz w:val="26"/>
          <w:szCs w:val="26"/>
        </w:rPr>
        <w:t xml:space="preserve"> ngày ... tháng ... năm ...)</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2057"/>
        <w:gridCol w:w="1930"/>
        <w:gridCol w:w="2295"/>
        <w:gridCol w:w="973"/>
        <w:gridCol w:w="1520"/>
        <w:gridCol w:w="1982"/>
        <w:gridCol w:w="1026"/>
        <w:gridCol w:w="1587"/>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20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Họ và tên</w:t>
            </w:r>
          </w:p>
        </w:tc>
        <w:tc>
          <w:tcPr>
            <w:tcW w:type="dxa" w:w="1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Chức danh</w:t>
            </w:r>
          </w:p>
        </w:tc>
        <w:tc>
          <w:tcPr>
            <w:tcW w:type="dxa" w:w="22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Vai trò</w:t>
            </w:r>
          </w:p>
        </w:tc>
        <w:tc>
          <w:tcPr>
            <w:tcW w:type="dxa" w:w="9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Trình độ, chuyên ngành</w:t>
            </w:r>
          </w:p>
        </w:tc>
        <w:tc>
          <w:tcPr>
            <w:tcW w:type="dxa" w:w="15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Kinh nghiệm liên quan (số năm, lĩnh vực)</w:t>
            </w:r>
          </w:p>
        </w:tc>
        <w:tc>
          <w:tcPr>
            <w:tcW w:type="dxa" w:w="19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Đào tạo BVDLCN (khóa, đơn vị, năm; có phải chuyên sâu)</w:t>
            </w:r>
          </w:p>
        </w:tc>
        <w:tc>
          <w:tcPr>
            <w:tcW w:type="dxa" w:w="10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Quốc tịch, nơi thường trú</w:t>
            </w:r>
          </w:p>
        </w:tc>
        <w:tc>
          <w:tcPr>
            <w:tcW w:type="dxa" w:w="1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Liên hệ</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Phạm Thu Dung, Chuyên viên bảo vệ DLCN</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Chuyên viên bảo vệ dữ liệu cá nhân</w:t>
            </w:r>
          </w:p>
        </w:tc>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{{Trưởng bộ phận/Nhân sự BVDLCN}}</w:t>
            </w:r>
          </w:p>
        </w:tc>
        <w:tc>
          <w:tcPr>
            <w:tcW w:type="dxa" w:w="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9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dpo@example.vn</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Trần Thị Mai</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{{Thành viên/Người dự phòng}}</w:t>
            </w:r>
          </w:p>
        </w:tc>
        <w:tc>
          <w:tcPr>
            <w:tcW w:type="dxa" w:w="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9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2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Thành viên </w:t>
            </w:r>
            <w:r>
              <w:rPr>
                <w:rFonts w:ascii="Times New Roman" w:cs="Times New Roman" w:eastAsia="Times New Roman" w:hAnsi="Times New Roman"/>
                <w:b w:val="false"/>
                <w:bCs w:val="false"/>
                <w:i/>
                <w:iCs/>
                <w:sz w:val="18"/>
                <w:szCs w:val="18"/>
              </w:rPr>
              <w:t xml:space="preserve">(M3/M4)</w:t>
            </w:r>
          </w:p>
        </w:tc>
        <w:tc>
          <w:tcPr>
            <w:tcW w:type="dxa" w:w="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9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Ghi chú: cột "Quốc tịch, nơi thường trú" chỉ bắt buộc với người đứng đầu phụ trách chuyên môn về xử lý dữ liệu cá nhân (M3/M4). Kèm bản sao bằng cấp, xác nhận kinh nghiệm, chứng nhận đào tạo của từng người.</w:t>
      </w: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CỘNG HÒA XÃ HỘI CHỦ NGHĨA VIỆT NAM</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Độc lập - Tự do - Hạnh phúc</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II</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THỎA THUẬN TRÁCH NHIỆM BẢO MẬT VỚI NHÂN SỰ 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Số: </w:t>
      </w:r>
      <w:r>
        <w:rPr>
          <w:rFonts w:ascii="Times New Roman" w:cs="Times New Roman" w:eastAsia="Times New Roman" w:hAnsi="Times New Roman"/>
          <w:b w:val="false"/>
          <w:bCs w:val="false"/>
          <w:i/>
          <w:iCs/>
          <w:sz w:val="26"/>
          <w:szCs w:val="26"/>
          <w:highlight w:val="yellow"/>
        </w:rPr>
        <w:t xml:space="preserve">01/2026/TTBM-TURBO</w:t>
      </w:r>
      <w:r>
        <w:rPr>
          <w:rFonts w:ascii="Times New Roman" w:cs="Times New Roman" w:eastAsia="Times New Roman" w:hAnsi="Times New Roman"/>
          <w:b w:val="false"/>
          <w:bCs w:val="false"/>
          <w:i/>
          <w:iCs/>
          <w:sz w:val="26"/>
          <w:szCs w:val="26"/>
        </w:rPr>
        <w:t xml:space="preserve"> — Kèm theo Quyết định số </w:t>
      </w:r>
      <w:r>
        <w:rPr>
          <w:rFonts w:ascii="Times New Roman" w:cs="Times New Roman" w:eastAsia="Times New Roman" w:hAnsi="Times New Roman"/>
          <w:b w:val="false"/>
          <w:bCs w:val="false"/>
          <w:i/>
          <w:iCs/>
          <w:sz w:val="26"/>
          <w:szCs w:val="26"/>
          <w:highlight w:val="yellow"/>
        </w:rPr>
        <w:t xml:space="preserve">18/2026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khoản 5 Điều 13 Nghị định số 356/2025/NĐ-CP ngày 31 tháng 12 năm 2025 của Chính phủ;</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hợp đồng lao động số </w:t>
      </w:r>
      <w:r>
        <w:rPr>
          <w:rFonts w:ascii="Times New Roman" w:cs="Times New Roman" w:eastAsia="Times New Roman" w:hAnsi="Times New Roman"/>
          <w:b w:val="false"/>
          <w:bCs w:val="false"/>
          <w:i/>
          <w:iCs/>
          <w:sz w:val="26"/>
          <w:szCs w:val="26"/>
          <w:highlight w:val="yellow"/>
        </w:rPr>
        <w:t xml:space="preserve">045/2024/HĐLĐ</w:t>
      </w:r>
      <w:r>
        <w:rPr>
          <w:rFonts w:ascii="Times New Roman" w:cs="Times New Roman" w:eastAsia="Times New Roman" w:hAnsi="Times New Roman"/>
          <w:b w:val="false"/>
          <w:bCs w:val="false"/>
          <w:i/>
          <w:iCs/>
          <w:sz w:val="26"/>
          <w:szCs w:val="26"/>
        </w:rPr>
        <w:t xml:space="preserve"> giữa hai bên.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ngày ... tháng ... năm ..., tại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A: </w:t>
      </w:r>
      <w:r>
        <w:rPr>
          <w:rFonts w:ascii="Times New Roman" w:cs="Times New Roman" w:eastAsia="Times New Roman" w:hAnsi="Times New Roman"/>
          <w:b/>
          <w:bCs/>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 Mã số thuế: </w:t>
      </w:r>
      <w:r>
        <w:rPr>
          <w:rFonts w:ascii="Times New Roman" w:cs="Times New Roman" w:eastAsia="Times New Roman" w:hAnsi="Times New Roman"/>
          <w:b w:val="false"/>
          <w:bCs w:val="false"/>
          <w:i w:val="false"/>
          <w:iCs w:val="false"/>
          <w:sz w:val="26"/>
          <w:szCs w:val="26"/>
          <w:highlight w:val="yellow"/>
        </w:rPr>
        <w:t xml:space="preserve">0000000000 (mô phỏng)</w:t>
      </w:r>
      <w:r>
        <w:rPr>
          <w:rFonts w:ascii="Times New Roman" w:cs="Times New Roman" w:eastAsia="Times New Roman" w:hAnsi="Times New Roman"/>
          <w:b w:val="false"/>
          <w:bCs w:val="false"/>
          <w:i w:val="false"/>
          <w:iCs w:val="false"/>
          <w:sz w:val="26"/>
          <w:szCs w:val="26"/>
        </w:rPr>
        <w:t xml:space="preserve">; đại diện: Ông/Bà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chức vụ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B: Ông/Bà </w:t>
      </w:r>
      <w:r>
        <w:rPr>
          <w:rFonts w:ascii="Times New Roman" w:cs="Times New Roman" w:eastAsia="Times New Roman" w:hAnsi="Times New Roman"/>
          <w:b/>
          <w:bCs/>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 — chức danh </w:t>
      </w:r>
      <w:r>
        <w:rPr>
          <w:rFonts w:ascii="Times New Roman" w:cs="Times New Roman" w:eastAsia="Times New Roman" w:hAnsi="Times New Roman"/>
          <w:b w:val="false"/>
          <w:bCs w:val="false"/>
          <w:i w:val="false"/>
          <w:iCs w:val="false"/>
          <w:sz w:val="26"/>
          <w:szCs w:val="26"/>
          <w:highlight w:val="yellow"/>
        </w:rPr>
        <w:t xml:space="preserve">Chuyên viên bảo vệ dữ liệu cá nhân</w:t>
      </w:r>
      <w:r>
        <w:rPr>
          <w:rFonts w:ascii="Times New Roman" w:cs="Times New Roman" w:eastAsia="Times New Roman" w:hAnsi="Times New Roman"/>
          <w:b w:val="false"/>
          <w:bCs w:val="false"/>
          <w:i w:val="false"/>
          <w:iCs w:val="false"/>
          <w:sz w:val="26"/>
          <w:szCs w:val="26"/>
        </w:rPr>
        <w:t xml:space="preserve">; được chỉ định làm nhân sự bảo vệ dữ liệu cá nhân theo Quyết định nêu trên.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thỏa thuận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Thông tin phải bảo mật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Bên B bảo mật mọi thông tin tiếp cận được khi thực hiện nhiệm vụ, gồm: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Dữ liệu cá nhân do Bên A xử lý với tư cách bên kiểm soát: hồ sơ người lao động, ứng viên, khách hàng, người liên hệ, hình ảnh camera tại văn phòng;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Dữ liệu cá nhân Bên A xử lý thay mặt khách hàng: hình ảnh, video, </w:t>
      </w:r>
      <w:r>
        <w:rPr>
          <w:rFonts w:ascii="Times New Roman" w:cs="Times New Roman" w:eastAsia="Times New Roman" w:hAnsi="Times New Roman"/>
          <w:b/>
          <w:bCs/>
          <w:i w:val="false"/>
          <w:iCs w:val="false"/>
          <w:sz w:val="26"/>
          <w:szCs w:val="26"/>
        </w:rPr>
        <w:t xml:space="preserve">đặc trưng khuôn mặt (template, vector nhúng)</w:t>
      </w:r>
      <w:r>
        <w:rPr>
          <w:rFonts w:ascii="Times New Roman" w:cs="Times New Roman" w:eastAsia="Times New Roman" w:hAnsi="Times New Roman"/>
          <w:b w:val="false"/>
          <w:bCs w:val="false"/>
          <w:i w:val="false"/>
          <w:iCs w:val="false"/>
          <w:sz w:val="26"/>
          <w:szCs w:val="26"/>
        </w:rPr>
        <w:t xml:space="preserve">, ảnh đăng ký, biển số xe, nhật ký nhận diện, nhật ký ra vào, chấm công, điểm danh;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Thông tin về biện pháp bảo vệ: kiến trúc hệ thống, cấu hình bảo mật, khóa mã hóa, tài khoản quản trị, lỗ hổng chưa khắc phục, kết quả đánh giá, hồ sơ sự cố;</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Hồ sơ yêu cầu của chủ thể dữ liệu, khiếu nại, và thông tin trao đổi với cơ quan có thẩm quyền.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Nghĩa vụ của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truy cập, sử dụng thông tin tại Điều 1 trong phạm vi nhiệm vụ được giao; không sao chép dữ liệu cá nhân ra thiết bị, tài khoản cá nhân hoặc hệ thống không được Bên A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cần xem dữ liệu sinh trắc học hoặc video của khách hàng để xử lý yêu cầu, sự cố: chỉ truy cập qua tài khoản cá nhân được cấp, có ghi nhật ký, và ghi lý do truy cập.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Không tiết lộ thông tin tại Điều 1 cho bất kỳ ai, trừ: người có thẩm quyền của Bên A theo phân công; khách hàng là bên kiểm soát đối với dữ liệu của chính khách hàng; cơ quan nhà nước có thẩm quyền theo yêu cầu bằng văn bản và sau khi đã báo cáo Bên A, trừ trường hợp pháp luật cấm báo trước.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Báo cáo ngay cho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khi phát hiện hoặc nghi ngờ lộ, mất, truy cập trái phép dữ liệu cá nhân, kể cả khi do chính Bên B gây ra.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Khi chấm dứt nhiệm vụ hoặc chấm dứt hợp đồng lao động: bàn giao toàn bộ tài liệu, thiết bị, tài khoản; xóa bản sao còn giữ (nếu có) và ký xác nhận đã xóa.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Thời hạn bảo mật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Nghĩa vụ bảo mật có hiệu lực từ ngày ký, kéo dài trong suốt thời gian làm nhiệm vụ và </w:t>
      </w:r>
      <w:r>
        <w:rPr>
          <w:rFonts w:ascii="Times New Roman" w:cs="Times New Roman" w:eastAsia="Times New Roman" w:hAnsi="Times New Roman"/>
          <w:b/>
          <w:bCs/>
          <w:i w:val="false"/>
          <w:iCs w:val="false"/>
          <w:sz w:val="26"/>
          <w:szCs w:val="26"/>
          <w:highlight w:val="yellow"/>
        </w:rPr>
        <w:t xml:space="preserve">03 năm</w:t>
      </w:r>
      <w:r>
        <w:rPr>
          <w:rFonts w:ascii="Times New Roman" w:cs="Times New Roman" w:eastAsia="Times New Roman" w:hAnsi="Times New Roman"/>
          <w:b w:val="false"/>
          <w:bCs w:val="false"/>
          <w:i w:val="false"/>
          <w:iCs w:val="false"/>
          <w:sz w:val="26"/>
          <w:szCs w:val="26"/>
        </w:rPr>
        <w:t xml:space="preserve"> sau khi chấm dứt nhiệm vụ. Riêng dữ liệu cá nhân và khóa mã hóa: bảo mật không thời hạn.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Miễn trừ trách nhiệm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(khoản 5 Điều 13 Nghị định số 356/2025/NĐ-CP cho phép thỏa thuận)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Bên B được miễn trừ trách nhiệm cá nhân đối với vi phạm hoặc thiệt hại về dữ liệu cá nhân khi đồng thời: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đã thực hiện đúng quy trình, quy định của Bên A và đã báo cáo, cảnh báo bằng văn bản về rủi ro liên quan nhưng không được bố trí nguồn lực hoặc không được chấp thuận; hoặc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Vi phạm, thiệt hại phát sinh ngoài phạm vi nhiệm vụ, quyền hạn được giao, hoặc do sự kiện bất khả kháng; và</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không cố ý và không vô ý nghiêm trọng góp phần gây ra vi phạm, thiệt hại.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Miễn trừ này không áp dụng khi Bên B tự ý truy cập, sao chép, tiết lộ dữ liệu cá nhân trái Điều 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Đào tạo và hỗ trợ</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Bên A bố trí thời gian, kinh phí để Bên B tham gia đào tạo, bồi dưỡng về bảo vệ dữ liệu cá nhân tối thiểu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/lần (khoản 6 Điều 13 Nghị định số 356/2025/NĐ-CP) và cung cấp công cụ, quyền truy cập cần thiết để Bên B thực hiện nhiệm vụ.</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Xử lý vi phạm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Bên B vi phạm Thỏa thuận này thì tùy tính chất, mức độ bị xử lý kỷ luật theo nội quy lao động của Bên A, bồi thường thiệt hại theo pháp luật lao động và pháp luật dân sự, hoặc bị xử lý theo quy định của pháp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Hiệu lực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Thỏa thuận lập thành 02 bản có giá trị như nhau, mỗi bên giữ 01 bản, có hiệu lực từ ngày ký.</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A</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BÊN B</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Phạm Thu Dung, Chuyên viên bảo vệ DLCN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Quyết định chỉ định bộ phận, nhân sự bảo vệ dữ liệu cá nhân của nhà cung cấp giải pháp AI vision</dc:title>
  <dc:creator>vn-cyber-compliance</dc:creator>
  <cp:lastModifiedBy>Un-named</cp:lastModifiedBy>
  <cp:revision>1</cp:revision>
  <dcterms:created xsi:type="dcterms:W3CDTF">2026-09-28T14:39:39.725Z</dcterms:created>
  <dcterms:modified xsi:type="dcterms:W3CDTF">2026-09-28T14:39:39.725Z</dcterms:modified>
</cp:coreProperties>
</file>

<file path=docProps/custom.xml><?xml version="1.0" encoding="utf-8"?>
<Properties xmlns="http://schemas.openxmlformats.org/officeDocument/2006/custom-properties" xmlns:vt="http://schemas.openxmlformats.org/officeDocument/2006/docPropsVTypes"/>
</file>