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PHÂN LOẠI HỆ THỐNG TRÍ TUỆ NHÂN TẠO THEO MỨC ĐỘ RỦI RO</w:t>
      </w:r>
    </w:p>
    <w:p>
      <w:pPr>
        <w:keepNext/>
        <w:spacing w:after="180" w:before="0" w:line="240" w:lineRule="auto"/>
        <w:jc w:val="center"/>
      </w:pPr>
      <w:r>
        <w:rPr>
          <w:rFonts w:ascii="Times New Roman" w:cs="Times New Roman" w:eastAsia="Times New Roman" w:hAnsi="Times New Roman"/>
          <w:b/>
          <w:bCs/>
          <w:i w:val="false"/>
          <w:iCs w:val="false"/>
          <w:sz w:val="26"/>
          <w:szCs w:val="26"/>
          <w:highlight w:val="yellow"/>
        </w:rPr>
        <w:t xml:space="preserve">Hệ thống AI Vision VX (mô phỏng)</w:t>
      </w:r>
      <w:r>
        <w:rPr>
          <w:rFonts w:ascii="Times New Roman" w:cs="Times New Roman" w:eastAsia="Times New Roman" w:hAnsi="Times New Roman"/>
          <w:b/>
          <w:bCs/>
          <w:i w:val="false"/>
          <w:iCs w:val="false"/>
          <w:sz w:val="26"/>
          <w:szCs w:val="26"/>
        </w:rPr>
        <w:t xml:space="preserve"> — phiên bản </w:t>
      </w:r>
      <w:r>
        <w:rPr>
          <w:rFonts w:ascii="Times New Roman" w:cs="Times New Roman" w:eastAsia="Times New Roman" w:hAnsi="Times New Roman"/>
          <w:b/>
          <w:bCs/>
          <w:i w:val="false"/>
          <w:iCs w:val="false"/>
          <w:sz w:val="26"/>
          <w:szCs w:val="26"/>
          <w:highlight w:val="yellow"/>
        </w:rPr>
        <w:t xml:space="preserve">3.2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180"/>
        <w:gridCol w:w="6845"/>
      </w:tblGrid>
      <w:tr>
        <w:trPr>
          <w:cantSplit/>
          <w:tblHeader/>
        </w:trPr>
        <w:tc>
          <w:tcPr>
            <w:tcW w:type="dxa" w:w="21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tài liệu</w:t>
            </w:r>
          </w:p>
        </w:tc>
        <w:tc>
          <w:tcPr>
            <w:tcW w:type="dxa" w:w="68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tài liệu</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TL-VX-2026-01</w:t>
            </w: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phân loại</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Nhóm xét duyệt</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Giám đốc sản phẩm, nhân sự bảo vệ dữ liệu cá nhân, trưởng nhóm bảo mật</w:t>
            </w: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phê duyệt</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Nguyễn Văn An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Tổng Giám đốc Công ty</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Mục đích và phạm vi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Tài liệu này phân loại từng tính năng xử lý dữ liệu cá nhân bằng trí tuệ nhân tạo của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theo mức độ rủi ro đối với quyền, lợi ích của chủ thể dữ liệu, và xác định biện pháp bắt buộc cho từng mức, theo khoản 4 Điều 30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Đơn vị phân loại là </w:t>
      </w:r>
      <w:r>
        <w:rPr>
          <w:rFonts w:ascii="Times New Roman" w:cs="Times New Roman" w:eastAsia="Times New Roman" w:hAnsi="Times New Roman"/>
          <w:b/>
          <w:bCs/>
          <w:i w:val="false"/>
          <w:iCs w:val="false"/>
          <w:sz w:val="26"/>
          <w:szCs w:val="26"/>
        </w:rPr>
        <w:t xml:space="preserve">tính năng trong một bối cảnh sử dụng</w:t>
      </w:r>
      <w:r>
        <w:rPr>
          <w:rFonts w:ascii="Times New Roman" w:cs="Times New Roman" w:eastAsia="Times New Roman" w:hAnsi="Times New Roman"/>
          <w:b w:val="false"/>
          <w:bCs w:val="false"/>
          <w:i w:val="false"/>
          <w:iCs w:val="false"/>
          <w:sz w:val="26"/>
          <w:szCs w:val="26"/>
        </w:rPr>
        <w:t xml:space="preserve">. Cùng một thuật toán (ví dụ nhận diện khuôn mặt) có thể ở mức khác nhau tùy nơi lắp đặt, đối tượng bị nhận diện và hậu quả của kết quả.</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Thang phân loại tại mục 2 là thang nội bộ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Pháp luật hiện hành chưa quy định các mức rủi ro cụ thể; thang này sẽ được điều chỉnh khi có quy định.</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Thang phân loại</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2.1. Các yếu tố đánh giá</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1710"/>
        <w:gridCol w:w="4463"/>
        <w:gridCol w:w="2289"/>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17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Yếu tố</w:t>
            </w:r>
          </w:p>
        </w:tc>
        <w:tc>
          <w:tcPr>
            <w:tcW w:type="dxa" w:w="44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Câu hỏi</w:t>
            </w:r>
          </w:p>
        </w:tc>
        <w:tc>
          <w:tcPr>
            <w:tcW w:type="dxa" w:w="228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 tham chiếu</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Y1</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dạng</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Tính năng có xác định danh tính một người cụ thể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 NĐ 356 Đ10.2</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Y2</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dữ liệu</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xử lý dữ liệu sinh trắc học, dữ liệu vị trí, ảnh thẻ căn cước, hoặc suy luận dữ liệu nhạy cảm khác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 NĐ 356 Đ4.1</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Y3</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tượng</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thể có phải trẻ em, người lao động (quan hệ phụ thuộc), hoặc người qua đường chưa biết mình bị nhận diện?</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Đ24, Đ25.3, Đ32</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Y4</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tự động</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có tự động dẫn tới hệ quả cho cá nhân (từ chối ra vào, trừ công, kỷ luật, cảnh báo an ninh)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NĐ 330 Đ67.3.b</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Y5</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Bối cảnh</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Nơi lắp đặt là khu vực công cộng, khu vực cung cấp dịch vụ cho khách, nơi làm việc hay trường học?</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 NĐ 330 Đ71.2.a</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Y6</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Tích lũy</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có tổng hợp dữ liệu thành hồ sơ, hành trình, thói quen của một người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Đ4.1.c, Đ4.1.h</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Y7</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Lựa chọn của chủ thể</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thể có thể từ chối mà vẫn được phục vụ bằng cách khác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Đ9.2; NĐ 356 Đ10.3</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2.2. Các mức rủi ro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415"/>
        <w:gridCol w:w="4367"/>
        <w:gridCol w:w="3243"/>
      </w:tblGrid>
      <w:tr>
        <w:trPr>
          <w:cantSplit/>
          <w:tblHeader/>
        </w:trPr>
        <w:tc>
          <w:tcPr>
            <w:tcW w:type="dxa" w:w="14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w:t>
            </w:r>
          </w:p>
        </w:tc>
        <w:tc>
          <w:tcPr>
            <w:tcW w:type="dxa" w:w="43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Tiêu chí (chỉ cần một tiêu chí là xếp vào mức đó)</w:t>
            </w:r>
          </w:p>
        </w:tc>
        <w:tc>
          <w:tcPr>
            <w:tcW w:type="dxa" w:w="32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Nguyên tắc cung cấp</w:t>
            </w:r>
          </w:p>
        </w:tc>
      </w:tr>
      <w:tr>
        <w:trPr>
          <w:cantSplit/>
          <w:tblHeader w:val="false"/>
        </w:trPr>
        <w:tc>
          <w:tcPr>
            <w:tcW w:type="dxa" w:w="1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T — Thấp</w:t>
            </w:r>
          </w:p>
        </w:tc>
        <w:tc>
          <w:tcPr>
            <w:tcW w:type="dxa" w:w="4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xác định danh tính (Y1 = không); xử lý ẩn danh tại thiết bị; không lưu ảnh có thể nhận ra người; chỉ xuất số liệu tổng hợp; không quyết định tự động về cá nhân</w:t>
            </w:r>
          </w:p>
        </w:tc>
        <w:tc>
          <w:tcPr>
            <w:tcW w:type="dxa" w:w="32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Được bật mặc định nếu đã cấu hình ẩn danh</w:t>
            </w:r>
          </w:p>
        </w:tc>
      </w:tr>
      <w:tr>
        <w:trPr>
          <w:cantSplit/>
          <w:tblHeader w:val="false"/>
        </w:trPr>
        <w:tc>
          <w:tcPr>
            <w:tcW w:type="dxa" w:w="1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TB — Trung bình</w:t>
            </w:r>
          </w:p>
        </w:tc>
        <w:tc>
          <w:tcPr>
            <w:tcW w:type="dxa" w:w="4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Xác định cá nhân qua dữ liệu cơ bản (biển số, hình ảnh) đối với người đã đăng ký hoặc đã được thông báo; không dùng sinh trắc học; quyết định tự động có hệ quả nhỏ và có người trực xử lý ngay</w:t>
            </w:r>
          </w:p>
        </w:tc>
        <w:tc>
          <w:tcPr>
            <w:tcW w:type="dxa" w:w="32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Được cung cấp; khách hàng bật có chủ đích</w:t>
            </w:r>
          </w:p>
        </w:tc>
      </w:tr>
      <w:tr>
        <w:trPr>
          <w:cantSplit/>
          <w:tblHeader w:val="false"/>
        </w:trPr>
        <w:tc>
          <w:tcPr>
            <w:tcW w:type="dxa" w:w="1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C — Cao</w:t>
            </w:r>
          </w:p>
        </w:tc>
        <w:tc>
          <w:tcPr>
            <w:tcW w:type="dxa" w:w="4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một trong các yếu tố: xử lý sinh trắc học để nhận dạng hoặc xác thực (Y2); chủ thể là trẻ em (Y3); quyết định tự động ảnh hưởng quyền, lợi ích như tiền lương, kỷ luật, từ chối tiếp cận (Y4); dựng hành trình, hồ sơ của một người (Y6); danh sách theo dõi (danh sách đen)</w:t>
            </w:r>
          </w:p>
        </w:tc>
        <w:tc>
          <w:tcPr>
            <w:tcW w:type="dxa" w:w="32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Tắt mặc định</w:t>
            </w:r>
            <w:r>
              <w:rPr>
                <w:rFonts w:ascii="Times New Roman" w:cs="Times New Roman" w:eastAsia="Times New Roman" w:hAnsi="Times New Roman"/>
                <w:b w:val="false"/>
                <w:bCs w:val="false"/>
                <w:i w:val="false"/>
                <w:iCs w:val="false"/>
                <w:sz w:val="24"/>
                <w:szCs w:val="24"/>
              </w:rPr>
              <w:t xml:space="preserve">; chỉ bật sau khi khách hàng xác nhận bằng văn bản đã đáp ứng các biện pháp mức C tại mục 4</w:t>
            </w:r>
          </w:p>
        </w:tc>
      </w:tr>
      <w:tr>
        <w:trPr>
          <w:cantSplit/>
          <w:tblHeader w:val="false"/>
        </w:trPr>
        <w:tc>
          <w:tcPr>
            <w:tcW w:type="dxa" w:w="1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KCN — Không chấp nhận</w:t>
            </w:r>
          </w:p>
        </w:tc>
        <w:tc>
          <w:tcPr>
            <w:tcW w:type="dxa" w:w="4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Nhận diện khuôn mặt tự động trên camera công cộng để lập hồ sơ, phân tích hành vi, mục đích thương mại với người </w:t>
            </w:r>
            <w:r>
              <w:rPr>
                <w:rFonts w:ascii="Times New Roman" w:cs="Times New Roman" w:eastAsia="Times New Roman" w:hAnsi="Times New Roman"/>
                <w:b/>
                <w:bCs/>
                <w:i w:val="false"/>
                <w:iCs w:val="false"/>
                <w:sz w:val="24"/>
                <w:szCs w:val="24"/>
              </w:rPr>
              <w:t xml:space="preserve">chưa đồng ý</w:t>
            </w:r>
            <w:r>
              <w:rPr>
                <w:rFonts w:ascii="Times New Roman" w:cs="Times New Roman" w:eastAsia="Times New Roman" w:hAnsi="Times New Roman"/>
                <w:b w:val="false"/>
                <w:bCs w:val="false"/>
                <w:i w:val="false"/>
                <w:iCs w:val="false"/>
                <w:sz w:val="24"/>
                <w:szCs w:val="24"/>
              </w:rPr>
              <w:t xml:space="preserve">; suy luận nguồn gốc chủng tộc, dân tộc, quan điểm chính trị, tôn giáo, sức khỏe, xu hướng tình dục từ hình ảnh; chấm điểm cảm xúc, thái độ của từng người lao động, học sinh để đánh giá; mọi mục đích thuộc khoản 5 Điều 30 Luật 91</w:t>
            </w:r>
          </w:p>
        </w:tc>
        <w:tc>
          <w:tcPr>
            <w:tcW w:type="dxa" w:w="32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Không phát triển, không cung cấp, không hỗ trợ cấu hình</w:t>
            </w:r>
            <w:r>
              <w:rPr>
                <w:rFonts w:ascii="Times New Roman" w:cs="Times New Roman" w:eastAsia="Times New Roman" w:hAnsi="Times New Roman"/>
                <w:b w:val="false"/>
                <w:bCs w:val="false"/>
                <w:i w:val="false"/>
                <w:iCs w:val="false"/>
                <w:sz w:val="24"/>
                <w:szCs w:val="24"/>
              </w:rPr>
              <w:t xml:space="preserve">, trừ khi có căn cứ pháp luật riêng được pháp chế xác nhận bằng văn bản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tắc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Mức của tính năng là </w:t>
      </w:r>
      <w:r>
        <w:rPr>
          <w:rFonts w:ascii="Times New Roman" w:cs="Times New Roman" w:eastAsia="Times New Roman" w:hAnsi="Times New Roman"/>
          <w:b/>
          <w:bCs/>
          <w:i w:val="false"/>
          <w:iCs w:val="false"/>
          <w:sz w:val="26"/>
          <w:szCs w:val="26"/>
        </w:rPr>
        <w:t xml:space="preserve">mức cao nhất</w:t>
      </w:r>
      <w:r>
        <w:rPr>
          <w:rFonts w:ascii="Times New Roman" w:cs="Times New Roman" w:eastAsia="Times New Roman" w:hAnsi="Times New Roman"/>
          <w:b w:val="false"/>
          <w:bCs w:val="false"/>
          <w:i w:val="false"/>
          <w:iCs w:val="false"/>
          <w:sz w:val="26"/>
          <w:szCs w:val="26"/>
        </w:rPr>
        <w:t xml:space="preserve"> mà bất kỳ yếu tố nào chạm tới.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Bối cảnh triển khai của khách hàng chỉ có thể </w:t>
      </w:r>
      <w:r>
        <w:rPr>
          <w:rFonts w:ascii="Times New Roman" w:cs="Times New Roman" w:eastAsia="Times New Roman" w:hAnsi="Times New Roman"/>
          <w:b/>
          <w:bCs/>
          <w:i w:val="false"/>
          <w:iCs w:val="false"/>
          <w:sz w:val="26"/>
          <w:szCs w:val="26"/>
        </w:rPr>
        <w:t xml:space="preserve">nâng</w:t>
      </w:r>
      <w:r>
        <w:rPr>
          <w:rFonts w:ascii="Times New Roman" w:cs="Times New Roman" w:eastAsia="Times New Roman" w:hAnsi="Times New Roman"/>
          <w:b w:val="false"/>
          <w:bCs w:val="false"/>
          <w:i w:val="false"/>
          <w:iCs w:val="false"/>
          <w:sz w:val="26"/>
          <w:szCs w:val="26"/>
        </w:rPr>
        <w:t xml:space="preserve"> mức, không hạ mức.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Tính năng xếp mức KCN được ghi vào danh sách tính năng cấm trong tài liệu bán hàng và tài liệu đối tác.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Bảng phân loại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0"/>
        <w:gridCol w:w="1302"/>
        <w:gridCol w:w="1494"/>
        <w:gridCol w:w="1297"/>
        <w:gridCol w:w="1197"/>
        <w:gridCol w:w="1527"/>
        <w:gridCol w:w="1678"/>
      </w:tblGrid>
      <w:tr>
        <w:trPr>
          <w:cantSplit/>
          <w:tblHeader/>
        </w:trPr>
        <w:tc>
          <w:tcPr>
            <w:tcW w:type="dxa" w:w="5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w:t>
            </w:r>
          </w:p>
        </w:tc>
        <w:tc>
          <w:tcPr>
            <w:tcW w:type="dxa" w:w="13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Tính năng</w:t>
            </w:r>
          </w:p>
        </w:tc>
        <w:tc>
          <w:tcPr>
            <w:tcW w:type="dxa" w:w="14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Dữ liệu xử lý</w:t>
            </w:r>
          </w:p>
        </w:tc>
        <w:tc>
          <w:tcPr>
            <w:tcW w:type="dxa" w:w="12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Quyết định tự động</w:t>
            </w:r>
          </w:p>
        </w:tc>
        <w:tc>
          <w:tcPr>
            <w:tcW w:type="dxa" w:w="11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Mức</w:t>
            </w:r>
          </w:p>
        </w:tc>
        <w:tc>
          <w:tcPr>
            <w:tcW w:type="dxa" w:w="152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Lý do chính</w:t>
            </w:r>
          </w:p>
        </w:tc>
        <w:tc>
          <w:tcPr>
            <w:tcW w:type="dxa" w:w="16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Cấu hình mặc định, điều kiện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F1</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Đếm người, bản đồ nhiệt ẩn danh</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Hình ảnh tạm thời tại thiết bị; đầu ra là số đếm</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T</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nhận dạng; không lưu ảnh (Luật 91 Đ2.1)</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Bật được mặc định nếu xử lý tại thiết bị, không lưu ảnh, không nhận diện lại người qua các camera. Nếu theo dấu từng người qua nhiều camera: xếp lại theo F9</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F2</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diện biển số bãi xe</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Biển số, ảnh biển số (NĐ 356 Đ3.7)</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mở/không mở barie</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TB</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cơ bản; hệ quả nhỏ, có nhân viên bãi xe xử lý</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Thời hạn lưu xe vãng lai ngắn; không dựng hành trình. Tra biển số qua nhiều bãi, nhiều điểm: nâng lên </w:t>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(V4)</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F3</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soát ra vào bằng khuôn mặt</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Ảnh đăng ký, template (Luật 91 Đ31.2; NĐ 356 Đ4.1.đ)</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mở/không mở cửa</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Sinh trắc học; người lao động là bên yếu thế (Luật 91 Đ25.3)</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Tắt mặc định; phương thức thay thế (thẻ, PIN, QR) bắt buộc chạy song song; liveness bật</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F4</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Chấm công bằng khuôn mặt</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Như F3; nhật ký chấm công</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ghi công, đi muộn, vắng</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Sinh trắc học + quyết định ảnh hưởng tiền lương, kỷ luật (NĐ 330 Đ67.3.b)</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Như F3; kết quả bất lợi phải qua người xem xét lại trước khi dùng để trừ lương, kỷ luật (V3)</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F5</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Danh sách đen (cảnh báo người trong danh sách theo dõi)</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Template của người trong danh sách; ảnh mọi người đi qua camera để so khớp</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cảnh báo an ninh</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(có thể </w:t>
            </w:r>
            <w:r>
              <w:rPr>
                <w:rFonts w:ascii="Times New Roman" w:cs="Times New Roman" w:eastAsia="Times New Roman" w:hAnsi="Times New Roman"/>
                <w:b/>
                <w:bCs/>
                <w:i w:val="false"/>
                <w:iCs w:val="false"/>
                <w:sz w:val="20"/>
                <w:szCs w:val="20"/>
              </w:rPr>
              <w:t xml:space="preserve">KCN</w:t>
            </w:r>
            <w:r>
              <w:rPr>
                <w:rFonts w:ascii="Times New Roman" w:cs="Times New Roman" w:eastAsia="Times New Roman" w:hAnsi="Times New Roman"/>
                <w:b w:val="false"/>
                <w:bCs w:val="false"/>
                <w:i w:val="false"/>
                <w:iCs w:val="false"/>
                <w:sz w:val="20"/>
                <w:szCs w:val="20"/>
              </w:rPr>
              <w:t xml:space="preserve"> — xem lý do)</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diện người chưa đồng ý; chỉ có thể dựa vào Luật 91 Đ19.1.a và bên xử lý phải tự chứng minh (V7)</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Tắt mặc định; chỉ bật khi khách hàng có quy chế lập, gỡ danh sách, căn cứ cụ thể cho từng người (biên bản, trình báo), cơ chế giám sát theo Luật 91 Đ19.2. Không có các điều kiện này: </w:t>
            </w:r>
            <w:r>
              <w:rPr>
                <w:rFonts w:ascii="Times New Roman" w:cs="Times New Roman" w:eastAsia="Times New Roman" w:hAnsi="Times New Roman"/>
                <w:b/>
                <w:bCs/>
                <w:i w:val="false"/>
                <w:iCs w:val="false"/>
                <w:sz w:val="20"/>
                <w:szCs w:val="20"/>
              </w:rPr>
              <w:t xml:space="preserve">KCN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F6</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diện khách VIP, khách quay lại trên camera tại cửa hàng, khu vực công cộng</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Template khách hàng; ảnh mọi người đi qua</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thông báo cho nhân viên</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nếu chỉ nhận diện người </w:t>
            </w:r>
            <w:r>
              <w:rPr>
                <w:rFonts w:ascii="Times New Roman" w:cs="Times New Roman" w:eastAsia="Times New Roman" w:hAnsi="Times New Roman"/>
                <w:b/>
                <w:bCs/>
                <w:i w:val="false"/>
                <w:iCs w:val="false"/>
                <w:sz w:val="20"/>
                <w:szCs w:val="20"/>
              </w:rPr>
              <w:t xml:space="preserve">đã đăng ký và đồng ý</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KCN</w:t>
            </w:r>
            <w:r>
              <w:rPr>
                <w:rFonts w:ascii="Times New Roman" w:cs="Times New Roman" w:eastAsia="Times New Roman" w:hAnsi="Times New Roman"/>
                <w:b w:val="false"/>
                <w:bCs w:val="false"/>
                <w:i w:val="false"/>
                <w:iCs w:val="false"/>
                <w:sz w:val="20"/>
                <w:szCs w:val="20"/>
              </w:rPr>
              <w:t xml:space="preserve"> nếu nhận diện mọi người để lập hồ sơ</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330 Đ71.2.a phạt dùng camera công cộng nhận diện khuôn mặt tự động để lập hồ sơ, mục đích thương mại khi không có đồng ý</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Chỉ hỗ trợ chế độ "danh sách người đã đồng ý"; ảnh người không có trong danh sách bị hủy ngay sau so khớp, không lưu template</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F7</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diện cảm xúc, thái độ</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Hình ảnh khuôn mặt; kết quả suy luận</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Tùy cách dùng</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KCN</w:t>
            </w:r>
            <w:r>
              <w:rPr>
                <w:rFonts w:ascii="Times New Roman" w:cs="Times New Roman" w:eastAsia="Times New Roman" w:hAnsi="Times New Roman"/>
                <w:b w:val="false"/>
                <w:bCs w:val="false"/>
                <w:i w:val="false"/>
                <w:iCs w:val="false"/>
                <w:sz w:val="20"/>
                <w:szCs w:val="20"/>
              </w:rPr>
              <w:t xml:space="preserve"> khi gắn với từng người để đánh giá, chấm điểm; </w:t>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khi chỉ ra số liệu tổng hợp ẩn danh</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Suy luận về đời sống riêng tư (NĐ 356 Đ4.1.c); dịch vụ nêu tại NĐ 356 Đ21.5 (giáo dục), Đ21.6 (phân tích hành vi)</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cung cấp ở dạng gắn với cá nhân. Dạng tổng hợp: tắt mặc định, không lưu ảnh, cần hồ sơ đánh giá tác động riêng</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F8</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Điểm danh học sinh bằng khuôn mặt</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Template của trẻ em; nhật ký điểm danh</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ghi vắng mặt, thông báo phụ huynh</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Trẻ em (Luật 91 Đ24); dịch vụ giáo dục có yếu tố giám sát (NĐ 356 Đ21.5)</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Đồng ý của người đại diện theo pháp luật; phương án thay thế; không kết hợp nhận diện cảm xúc, chấm điểm hành vi; vắng mặt do không nhận diện được phải được giáo viên xác nhận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F9</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Dựng hành trình một người, một xe qua nhiều camera</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Template hoặc đặc điểm nhận dạng lại; thời gian, vị trí camera</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trực tiếp</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KCN</w:t>
            </w:r>
            <w:r>
              <w:rPr>
                <w:rFonts w:ascii="Times New Roman" w:cs="Times New Roman" w:eastAsia="Times New Roman" w:hAnsi="Times New Roman"/>
                <w:b w:val="false"/>
                <w:bCs w:val="false"/>
                <w:i w:val="false"/>
                <w:iCs w:val="false"/>
                <w:sz w:val="20"/>
                <w:szCs w:val="20"/>
              </w:rPr>
              <w:t xml:space="preserve"> khi theo dõi hàng loạt không có căn cứ</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thể là dữ liệu vị trí nhạy cảm (NĐ 356 Đ4.1.h — V4) và thông tin đời sống riêng tư (Đ4.1.c)</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Tắt mặc định; chỉ dùng tra cứu theo vụ việc, có phê duyệt của người được khách hàng ủy quyền, ghi nhật ký từng lần tra cứu; không chạy liên tục</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Tính năng mới được thêm vào bảng theo quy trình tại mục 5.</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Biện pháp bắt buộc theo từng mức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99"/>
        <w:gridCol w:w="563"/>
        <w:gridCol w:w="1778"/>
        <w:gridCol w:w="563"/>
        <w:gridCol w:w="2822"/>
      </w:tblGrid>
      <w:tr>
        <w:trPr>
          <w:cantSplit/>
          <w:tblHeader/>
        </w:trPr>
        <w:tc>
          <w:tcPr>
            <w:tcW w:type="dxa" w:w="32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Biện pháp</w:t>
            </w:r>
          </w:p>
        </w:tc>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w:t>
            </w:r>
          </w:p>
        </w:tc>
        <w:tc>
          <w:tcPr>
            <w:tcW w:type="dxa" w:w="17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TB</w:t>
            </w:r>
          </w:p>
        </w:tc>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w:t>
            </w:r>
          </w:p>
        </w:tc>
        <w:tc>
          <w:tcPr>
            <w:tcW w:type="dxa" w:w="28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Ghi tính năng và mức rủi ro vào B1, hồ sơ đánh giá tác động</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Đ30.4; NĐ 356 Đ19.3</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Hướng dẫn khách hàng đặt biển báo, thông báo cho người bị ghi hình</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Đ32.2; NĐ 330 Đ71.1.a</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ẩn danh, không lưu ảnh được kiểm tra trước khi phát hành</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Thời hạn lưu cấu hình được, tự động xóa</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Đ32.4</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quyền theo vai trò; nhật ký truy cập, xuất dữ liệu</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Tắt mặc định; bật phải qua bước xác nhận có cảnh báo pháp lý</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Đ6.3 (tinh thần thiết lập mặc định bảo vệ dữ liệu)</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xác nhận bằng văn bản trước khi bật (mẫu tại mục 5.3)</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Đ37.1.b</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thông báo, đồng ý nêu rõ dữ liệu nhạy cảm (K2)</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Đ6.4</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chạy song song; cơ chế từ chối xử lý tự động</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(nếu có quyết định tự động)</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NĐ 330 Đ67.2.b</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giải thích thuật toán (B3)</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NĐ 330 Đ67.2.a</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xem xét lại kết quả bất lợi; ngưỡng "cần xác minh"</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Đ67.3.b</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Công cụ chỉnh sửa, ẩn danh, xóa hồ sơ nhận dạng</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Đ10.6; NĐ 330 Đ67.2.c</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template và dữ liệu nhạy cảm khi lưu, truyền; bảo mật vật lý thiết bị; xác thực đa yếu tố cho quản trị</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330 Đ70.1.c–d</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thử độ chính xác, sai lệch theo nhóm người, chống giả mạo trước mỗi phiên bản mô hình</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(độ tin cậy của thuật toán)</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Giám sát sau triển khai: thống kê tỷ lệ từ chối nhầm, số khiếu nại, số lần xem xét lại</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Đ10.5.b</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tuân thủ bảo vệ dữ liệu cá nhân định kỳ 01 năm/lần</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Đ10.5.đ; NĐ 330 Đ67.1</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w:t>
      </w:r>
      <w:r>
        <w:rPr>
          <w:rFonts w:ascii="Times New Roman" w:cs="Times New Roman" w:eastAsia="Times New Roman" w:hAnsi="Times New Roman"/>
          <w:b/>
          <w:bCs/>
          <w:i w:val="false"/>
          <w:iCs w:val="false"/>
          <w:sz w:val="26"/>
          <w:szCs w:val="26"/>
        </w:rPr>
        <w:t xml:space="preserve">KCN</w:t>
      </w:r>
      <w:r>
        <w:rPr>
          <w:rFonts w:ascii="Times New Roman" w:cs="Times New Roman" w:eastAsia="Times New Roman" w:hAnsi="Times New Roman"/>
          <w:b w:val="false"/>
          <w:bCs w:val="false"/>
          <w:i w:val="false"/>
          <w:iCs w:val="false"/>
          <w:sz w:val="26"/>
          <w:szCs w:val="26"/>
        </w:rPr>
        <w:t xml:space="preserve">: không có biện pháp nào làm tính năng trở nên chấp nhận được; tính năng không được phát triển, không được bán và đại lý không được cấu hình.</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Quy trình xét duyệt tính năng mới</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5.1. Khi nào phải xét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Tính năng mới có xử lý hình ảnh người, biển số hoặc dữ liệu gắn với người.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Thay đổi mô hình AI làm thay đổi dữ liệu đầu vào, đầu ra, hoặc thay đổi đáng kể độ chính xác.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Mở rộng tính năng cũ sang bối cảnh mới (ví dụ từ văn phòng sang trường học, từ nội bộ sang khu vực công cộng).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Tính năng được yêu cầu riêng cho một khách hàng (dự án tùy biến).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5.2. Các bước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2083"/>
        <w:gridCol w:w="2600"/>
        <w:gridCol w:w="1270"/>
        <w:gridCol w:w="2242"/>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20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26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Người thực hiện</w:t>
            </w:r>
          </w:p>
        </w:tc>
        <w:tc>
          <w:tcPr>
            <w:tcW w:type="dxa" w:w="12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Đầu ra</w:t>
            </w:r>
          </w:p>
        </w:tc>
        <w:tc>
          <w:tcPr>
            <w:tcW w:type="dxa" w:w="22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phiếu mô tả tính năng (mục 5.4)</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Trưởng nhóm sản phẩm</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lập kế hoạch phát triển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phân loại theo mục 2</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Trưởng nhóm sản phẩm</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Mức đề xuất</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Cùng bước 1</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Thẩm tra dữ liệu, cơ sở pháp lý, biện pháp</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Phạm Thu Dung, Chuyên viên bảo vệ DLCN</w:t>
            </w:r>
            <w:r>
              <w:rPr>
                <w:rFonts w:ascii="Times New Roman" w:cs="Times New Roman" w:eastAsia="Times New Roman" w:hAnsi="Times New Roman"/>
                <w:b w:val="false"/>
                <w:bCs w:val="false"/>
                <w:i w:val="false"/>
                <w:iCs w:val="false"/>
                <w:sz w:val="22"/>
                <w:szCs w:val="22"/>
              </w:rPr>
              <w:t xml:space="preserve">; trưởng nhóm bảo mật</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Ý kiến bằng văn bản</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05</w:t>
            </w:r>
            <w:r>
              <w:rPr>
                <w:rFonts w:ascii="Times New Roman" w:cs="Times New Roman" w:eastAsia="Times New Roman" w:hAnsi="Times New Roman"/>
                <w:b w:val="false"/>
                <w:bCs w:val="false"/>
                <w:i w:val="false"/>
                <w:iCs w:val="false"/>
                <w:sz w:val="22"/>
                <w:szCs w:val="22"/>
              </w:rPr>
              <w:t xml:space="preserve"> ngày làm việc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mức và điều kiện</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Giám đốc sản phẩm, nhân sự bảo vệ dữ liệu cá nhân, trưởng nhóm bảo mật</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xét duyệt</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phát triển (mức C), trước khi phát hành (mức T, TB)</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Triển khai biện pháp theo mục 4; kiểm thử</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phát triển, kiểm thử</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kiểm thử</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phát hành</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B1, B3, B4, bảng tại mục 3, tài liệu bán hàng</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sản phẩm</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cập nhật</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Cùng ngày phát hành</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Giám sát sau phát hành; báo cáo</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hỗ trợ khách hàng</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quý</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Hằng quý với mức C</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sự BVDLCN có quyền </w:t>
      </w:r>
      <w:r>
        <w:rPr>
          <w:rFonts w:ascii="Times New Roman" w:cs="Times New Roman" w:eastAsia="Times New Roman" w:hAnsi="Times New Roman"/>
          <w:b/>
          <w:bCs/>
          <w:i w:val="false"/>
          <w:iCs w:val="false"/>
          <w:sz w:val="26"/>
          <w:szCs w:val="26"/>
        </w:rPr>
        <w:t xml:space="preserve">phủ quyết</w:t>
      </w:r>
      <w:r>
        <w:rPr>
          <w:rFonts w:ascii="Times New Roman" w:cs="Times New Roman" w:eastAsia="Times New Roman" w:hAnsi="Times New Roman"/>
          <w:b w:val="false"/>
          <w:bCs w:val="false"/>
          <w:i w:val="false"/>
          <w:iCs w:val="false"/>
          <w:sz w:val="26"/>
          <w:szCs w:val="26"/>
        </w:rPr>
        <w:t xml:space="preserve"> việc phát hành tính năng mức C khi biện pháp bắt buộc chưa hoàn thành. Tính năng xếp mức KCN dừng ở bước 4.</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5.3. Xác nhận của khách hàng trước khi bật tính năng mức 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Trước khi bật tính năng mức C, khách hàng (hoặc đại lý thay mặt khách hàng) xác nhận trong phần mềm hoặc bằng văn bản các nội dung sau:</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xác định mục đích và cơ sở xử lý; đã có sự đồng ý của chủ thể hoặc căn cứ pháp luật khác, và đã nêu rõ đây là dữ liệu cá nhân nhạy cảm.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cấu hình phương thức thay thế cho người không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phân công người xem xét lại kết quả bất lợi.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đặt thời hạn lưu và chính sách xóa.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hoặc sẽ lập, cập nhật hồ sơ đánh giá tác động xử lý dữ liệu cá nhân trong 60 ngày kể từ khi bắt đầu xử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xác nhận: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ngày ... tháng ... năm ...</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5.4. Phiếu phân loại rủi ro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138"/>
        <w:gridCol w:w="887"/>
      </w:tblGrid>
      <w:tr>
        <w:trPr>
          <w:cantSplit/>
          <w:tblHeader/>
        </w:trPr>
        <w:tc>
          <w:tcPr>
            <w:tcW w:type="dxa" w:w="81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Mục</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tính năng, mã</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ngắn: tính năng làm gì, cho ai dùng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đầu vào; dữ liệu lưu lại; thời hạn lưu mặc định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đầu ra; có dẫn tới quyết định tự động không, hệ quả gì</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Đối tượng chủ thể (nhân viên, khách, trẻ em, người qua đường)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Bối cảnh lắp đặt dự kiến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Y1–Y7</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đề xuất; lý do</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Biện pháp bắt buộc đã có / còn thiếu</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nhân sự BVDLCN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Quyết định của nhóm xét duyệt; ngày</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Rà soát định kỳ</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Bảng tại mục 3 được rà soát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và khi có một trong các sự kiện: có văn bản pháp luật mới về trí tuệ nhân tạo hoặc bảo vệ dữ liệu cá nhân; có sự cố liên quan đến tính năng; cơ quan có thẩm quyền có yêu cầu; tỷ lệ khiếu nại của tính năng tăng bất thường. Kết quả rà soát là một phần của báo cáo đánh giá tuân thủ hằng năm theo điểm đ khoản 5 Điều 10 Nghị định số 356/2025/NĐ-CP.</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Nhóm sản phẩm, phát triển;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Bộ phận bán hàng, đối tác;</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Phạm Thu Dung, Chuyên viên bảo vệ DLCN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hồ sơ sản phẩm.</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Phân loại hệ thống AI theo mức độ rủi ro</dc:title>
  <dc:creator>vn-cyber-compliance</dc:creator>
  <cp:lastModifiedBy>Un-named</cp:lastModifiedBy>
  <cp:revision>1</cp:revision>
  <dcterms:created xsi:type="dcterms:W3CDTF">2026-09-28T14:39:40.253Z</dcterms:created>
  <dcterms:modified xsi:type="dcterms:W3CDTF">2026-09-28T14:39:40.253Z</dcterms:modified>
</cp:coreProperties>
</file>

<file path=docProps/custom.xml><?xml version="1.0" encoding="utf-8"?>
<Properties xmlns="http://schemas.openxmlformats.org/officeDocument/2006/custom-properties" xmlns:vt="http://schemas.openxmlformats.org/officeDocument/2006/docPropsVTypes"/>
</file>