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CỘNG HÒA XÃ HỘI CHỦ NGHĨA VIỆT NAM</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Độc lập - Tự do - Hạnh phúc</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SỐ </w:t>
      </w:r>
      <w:r>
        <w:rPr>
          <w:rFonts w:ascii="Times New Roman" w:cs="Times New Roman" w:eastAsia="Times New Roman" w:hAnsi="Times New Roman"/>
          <w:b/>
          <w:bCs/>
          <w:i w:val="false"/>
          <w:iCs w:val="false"/>
          <w:sz w:val="28"/>
          <w:szCs w:val="28"/>
          <w:highlight w:val="yellow"/>
        </w:rPr>
        <w:t xml:space="preserve">02</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THỎA THUẬN XỬ LÝ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Hợp đồng số </w:t>
      </w:r>
      <w:r>
        <w:rPr>
          <w:rFonts w:ascii="Times New Roman" w:cs="Times New Roman" w:eastAsia="Times New Roman" w:hAnsi="Times New Roman"/>
          <w:b w:val="false"/>
          <w:bCs w:val="false"/>
          <w:i/>
          <w:iCs/>
          <w:sz w:val="26"/>
          <w:szCs w:val="26"/>
          <w:highlight w:val="yellow"/>
        </w:rPr>
        <w:t xml:space="preserve">25/2026/HĐ-TURBO-SXM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15/9/2026</w:t>
      </w:r>
      <w:r>
        <w:rPr>
          <w:rFonts w:ascii="Times New Roman" w:cs="Times New Roman" w:eastAsia="Times New Roman" w:hAnsi="Times New Roman"/>
          <w:b w:val="false"/>
          <w:bCs w:val="false"/>
          <w:i/>
          <w:iCs/>
          <w:sz w:val="26"/>
          <w:szCs w:val="26"/>
        </w:rPr>
        <w:t xml:space="preserve"> về </w:t>
      </w:r>
      <w:r>
        <w:rPr>
          <w:rFonts w:ascii="Times New Roman" w:cs="Times New Roman" w:eastAsia="Times New Roman" w:hAnsi="Times New Roman"/>
          <w:b w:val="false"/>
          <w:bCs w:val="false"/>
          <w:i/>
          <w:iCs/>
          <w:sz w:val="26"/>
          <w:szCs w:val="26"/>
          <w:highlight w:val="yellow"/>
        </w:rPr>
        <w:t xml:space="preserve">cung cấp, lắp đặt hệ thống kiểm soát ra vào và chấm công bằng nhận diện khuôn mặt</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Hợp đồng số </w:t>
      </w:r>
      <w:r>
        <w:rPr>
          <w:rFonts w:ascii="Times New Roman" w:cs="Times New Roman" w:eastAsia="Times New Roman" w:hAnsi="Times New Roman"/>
          <w:b w:val="false"/>
          <w:bCs w:val="false"/>
          <w:i/>
          <w:iCs/>
          <w:sz w:val="26"/>
          <w:szCs w:val="26"/>
          <w:highlight w:val="yellow"/>
        </w:rPr>
        <w:t xml:space="preserve">25/2026/HĐ-TURBO-SXM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15/9/2026</w:t>
      </w:r>
      <w:r>
        <w:rPr>
          <w:rFonts w:ascii="Times New Roman" w:cs="Times New Roman" w:eastAsia="Times New Roman" w:hAnsi="Times New Roman"/>
          <w:b w:val="false"/>
          <w:bCs w:val="false"/>
          <w:i/>
          <w:iCs/>
          <w:sz w:val="26"/>
          <w:szCs w:val="26"/>
        </w:rPr>
        <w:t xml:space="preserve"> giữa hai bên (sau đây gọi là "Hợp đồng").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ngày ... tháng ... năm ..., tại </w:t>
      </w:r>
      <w:r>
        <w:rPr>
          <w:rFonts w:ascii="Times New Roman" w:cs="Times New Roman" w:eastAsia="Times New Roman" w:hAnsi="Times New Roman"/>
          <w:b w:val="false"/>
          <w:bCs w:val="false"/>
          <w:i w:val="false"/>
          <w:iCs w:val="false"/>
          <w:sz w:val="26"/>
          <w:szCs w:val="26"/>
          <w:highlight w:val="yellow"/>
        </w:rPr>
        <w:t xml:space="preserve">TP. Hồ Chí Minh</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A (Bên kiểm soát dữ liệu cá nhân): </w:t>
      </w:r>
      <w:r>
        <w:rPr>
          <w:rFonts w:ascii="Times New Roman" w:cs="Times New Roman" w:eastAsia="Times New Roman" w:hAnsi="Times New Roman"/>
          <w:b/>
          <w:bCs/>
          <w:i w:val="false"/>
          <w:iCs w:val="false"/>
          <w:sz w:val="26"/>
          <w:szCs w:val="26"/>
          <w:highlight w:val="yellow"/>
        </w:rPr>
        <w:t xml:space="preserve">Công ty TNHH Sản xuất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1111111111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Người đại diện: </w:t>
      </w:r>
      <w:r>
        <w:rPr>
          <w:rFonts w:ascii="Times New Roman" w:cs="Times New Roman" w:eastAsia="Times New Roman" w:hAnsi="Times New Roman"/>
          <w:b w:val="false"/>
          <w:bCs w:val="false"/>
          <w:i w:val="false"/>
          <w:iCs w:val="false"/>
          <w:sz w:val="26"/>
          <w:szCs w:val="26"/>
          <w:highlight w:val="yellow"/>
        </w:rPr>
        <w:t xml:space="preserve">Lê Thị Hoa</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Điện thoại: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 Email: </w:t>
      </w:r>
      <w:r>
        <w:rPr>
          <w:rFonts w:ascii="Times New Roman" w:cs="Times New Roman" w:eastAsia="Times New Roman" w:hAnsi="Times New Roman"/>
          <w:b w:val="false"/>
          <w:bCs w:val="false"/>
          <w:i w:val="false"/>
          <w:iCs w:val="false"/>
          <w:sz w:val="26"/>
          <w:szCs w:val="26"/>
          <w:highlight w:val="yellow"/>
        </w:rPr>
        <w:t xml:space="preserve">baovedulieu@example.vn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B (Bên xử lý dữ liệu cá nhân):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0000000000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Người đại diện: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 — Điện thoại: </w:t>
      </w:r>
      <w:r>
        <w:rPr>
          <w:rFonts w:ascii="Times New Roman" w:cs="Times New Roman" w:eastAsia="Times New Roman" w:hAnsi="Times New Roman"/>
          <w:b w:val="false"/>
          <w:bCs w:val="false"/>
          <w:i w:val="false"/>
          <w:iCs w:val="false"/>
          <w:sz w:val="26"/>
          <w:szCs w:val="26"/>
          <w:highlight w:val="yellow"/>
        </w:rPr>
        <w:t xml:space="preserve">028 1234 5679</w:t>
      </w:r>
      <w:r>
        <w:rPr>
          <w:rFonts w:ascii="Times New Roman" w:cs="Times New Roman" w:eastAsia="Times New Roman" w:hAnsi="Times New Roman"/>
          <w:b w:val="false"/>
          <w:bCs w:val="false"/>
          <w:i w:val="false"/>
          <w:iCs w:val="false"/>
          <w:sz w:val="26"/>
          <w:szCs w:val="26"/>
        </w:rPr>
        <w:t xml:space="preserve"> — Email: </w:t>
      </w:r>
      <w:r>
        <w:rPr>
          <w:rFonts w:ascii="Times New Roman" w:cs="Times New Roman" w:eastAsia="Times New Roman" w:hAnsi="Times New Roman"/>
          <w:b w:val="false"/>
          <w:bCs w:val="false"/>
          <w:i w:val="false"/>
          <w:iCs w:val="false"/>
          <w:sz w:val="26"/>
          <w:szCs w:val="26"/>
          <w:highlight w:val="yellow"/>
        </w:rPr>
        <w:t xml:space="preserve">dpo@example.vn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thống nhất ký Phụ lục này với các nội dung sau:</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 Giải thích từ ngữ và vai trò của các bên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Trong Phụ lục này, các từ ngữ sau được hiểu như sau: a) </w:t>
      </w:r>
      <w:r>
        <w:rPr>
          <w:rFonts w:ascii="Times New Roman" w:cs="Times New Roman" w:eastAsia="Times New Roman" w:hAnsi="Times New Roman"/>
          <w:b/>
          <w:bCs/>
          <w:i w:val="false"/>
          <w:iCs w:val="false"/>
          <w:sz w:val="26"/>
          <w:szCs w:val="26"/>
        </w:rPr>
        <w:t xml:space="preserve">Hệ thống</w:t>
      </w:r>
      <w:r>
        <w:rPr>
          <w:rFonts w:ascii="Times New Roman" w:cs="Times New Roman" w:eastAsia="Times New Roman" w:hAnsi="Times New Roman"/>
          <w:b w:val="false"/>
          <w:bCs w:val="false"/>
          <w:i w:val="false"/>
          <w:iCs w:val="false"/>
          <w:sz w:val="26"/>
          <w:szCs w:val="26"/>
        </w:rPr>
        <w:t xml:space="preserve"> là giải pháp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phiên bản </w:t>
      </w:r>
      <w:r>
        <w:rPr>
          <w:rFonts w:ascii="Times New Roman" w:cs="Times New Roman" w:eastAsia="Times New Roman" w:hAnsi="Times New Roman"/>
          <w:b w:val="false"/>
          <w:bCs w:val="false"/>
          <w:i w:val="false"/>
          <w:iCs w:val="false"/>
          <w:sz w:val="26"/>
          <w:szCs w:val="26"/>
          <w:highlight w:val="yellow"/>
        </w:rPr>
        <w:t xml:space="preserve">3.2</w:t>
      </w:r>
      <w:r>
        <w:rPr>
          <w:rFonts w:ascii="Times New Roman" w:cs="Times New Roman" w:eastAsia="Times New Roman" w:hAnsi="Times New Roman"/>
          <w:b w:val="false"/>
          <w:bCs w:val="false"/>
          <w:i w:val="false"/>
          <w:iCs w:val="false"/>
          <w:sz w:val="26"/>
          <w:szCs w:val="26"/>
        </w:rPr>
        <w:t xml:space="preserve"> gồm camera, thiết bị biên, phần mềm quản lý video và các mô-đun nhận diện do Bên B cung cấp theo Hợp đồng{{kể cả nền tảng cloud do Bên B vận hành, nếu có}}; b) </w:t>
      </w:r>
      <w:r>
        <w:rPr>
          <w:rFonts w:ascii="Times New Roman" w:cs="Times New Roman" w:eastAsia="Times New Roman" w:hAnsi="Times New Roman"/>
          <w:b/>
          <w:bCs/>
          <w:i w:val="false"/>
          <w:iCs w:val="false"/>
          <w:sz w:val="26"/>
          <w:szCs w:val="26"/>
        </w:rPr>
        <w:t xml:space="preserve">Dữ liệu</w:t>
      </w:r>
      <w:r>
        <w:rPr>
          <w:rFonts w:ascii="Times New Roman" w:cs="Times New Roman" w:eastAsia="Times New Roman" w:hAnsi="Times New Roman"/>
          <w:b w:val="false"/>
          <w:bCs w:val="false"/>
          <w:i w:val="false"/>
          <w:iCs w:val="false"/>
          <w:sz w:val="26"/>
          <w:szCs w:val="26"/>
        </w:rPr>
        <w:t xml:space="preserve"> là dữ liệu cá nhân do Bên A thu thập qua Hệ thống và dữ liệu cá nhân Bên A cung cấp cho Bên B để thực hiện Hợp đồng, được mô tả tại Phụ lục 1; c) </w:t>
      </w:r>
      <w:r>
        <w:rPr>
          <w:rFonts w:ascii="Times New Roman" w:cs="Times New Roman" w:eastAsia="Times New Roman" w:hAnsi="Times New Roman"/>
          <w:b/>
          <w:bCs/>
          <w:i w:val="false"/>
          <w:iCs w:val="false"/>
          <w:sz w:val="26"/>
          <w:szCs w:val="26"/>
        </w:rPr>
        <w:t xml:space="preserve">Dữ liệu sinh trắc học</w:t>
      </w:r>
      <w:r>
        <w:rPr>
          <w:rFonts w:ascii="Times New Roman" w:cs="Times New Roman" w:eastAsia="Times New Roman" w:hAnsi="Times New Roman"/>
          <w:b w:val="false"/>
          <w:bCs w:val="false"/>
          <w:i w:val="false"/>
          <w:iCs w:val="false"/>
          <w:sz w:val="26"/>
          <w:szCs w:val="26"/>
        </w:rPr>
        <w:t xml:space="preserve"> là ảnh khuôn mặt dùng để đăng ký và đặc trưng khuôn mặt (template, vector đặc trưng) được trích xuất để xác định một người cụ thể, thuộc dữ liệu cá nhân nhạy cảm theo khoản 2 Điều 31 Luật Bảo vệ dữ liệu cá nhân và điểm đ khoản 1 Điều 4 Nghị định số 356/2025/NĐ-CP; d) </w:t>
      </w:r>
      <w:r>
        <w:rPr>
          <w:rFonts w:ascii="Times New Roman" w:cs="Times New Roman" w:eastAsia="Times New Roman" w:hAnsi="Times New Roman"/>
          <w:b/>
          <w:bCs/>
          <w:i w:val="false"/>
          <w:iCs w:val="false"/>
          <w:sz w:val="26"/>
          <w:szCs w:val="26"/>
        </w:rPr>
        <w:t xml:space="preserve">Sự cố dữ liệu</w:t>
      </w:r>
      <w:r>
        <w:rPr>
          <w:rFonts w:ascii="Times New Roman" w:cs="Times New Roman" w:eastAsia="Times New Roman" w:hAnsi="Times New Roman"/>
          <w:b w:val="false"/>
          <w:bCs w:val="false"/>
          <w:i w:val="false"/>
          <w:iCs w:val="false"/>
          <w:sz w:val="26"/>
          <w:szCs w:val="26"/>
        </w:rPr>
        <w:t xml:space="preserve"> là việc Dữ liệu bị truy cập, thu thập, sao chép, tiết lộ, thay đổi, xóa, mất trái phép, hoặc bị xử lý sai mục đích, sai chỉ dẫn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Đối với Dữ liệu, Bên A là bên kiểm soát dữ liệu cá nhân; Bên B là bên xử lý dữ liệu cá nhân, chỉ xử lý theo yêu cầu của Bên A thông qua Hợp đồng và Phụ lục này (khoản 7, khoản 8 Điều 2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Đối với thông tin của người đại diện, đầu mối liên hệ, tài khoản quản trị của Bên A mà Bên B dùng để giao kết, thực hiện Hợp đồng, mỗi bên là bên kiểm soát độc lập và tự chịu trách nhiệm theo chính sách bảo vệ dữ liệu cá nhân của mình.</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2. Phạm vi, mục đích và thời hạn xử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chỉ xử lý Dữ liệu trong phạm vi các hoạt động được liệt kê tại Phụ lục 1, gồm: {{lắp đặt, cấu hình; đăng ký khuôn mặt theo danh sách Bên A cung cấp; bảo hành, hỗ trợ kỹ thuật tại chỗ và từ xa; lưu trữ, vận hành, sao lưu trên nền tảng cloud; trực giám sát}}.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Mục đích xử lý do Bên A quyết định và được ghi tại Phụ lục 1. Bên B không xử lý Dữ liệu cho bất kỳ mục đích nào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xử lý Dữ liệu trong thời hạn hiệu lực của Hợp đồng và thời hạn cần thiết để thực hiện Điều 13.</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3. Cơ sở pháp lý và sự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chịu trách nhiệm bảo đảm có cơ sở pháp lý hợp lệ cho việc thu thập, xử lý Dữ liệu, gồm: a) Xin và lưu trữ sự đồng ý của chủ thể dữ liệu trước khi đăng ký Dữ liệu sinh trắc học, bảo đảm chủ thể được thông báo rằng đây là dữ liệu cá nhân nhạy cảm (Điều 9 Luật Bảo vệ dữ liệu cá nhân; khoản 4 Điều 6 Nghị định số 356/2025/NĐ-CP); b) Thông báo hoặc đặt biển báo để chủ thể biết mình đang bị ghi hình (khoản 2 Điều 32 Luật Bảo vệ dữ liệu cá nhân); c) Bảo đảm người lao động biết rõ biện pháp công nghệ, kỹ thuật được áp dụng trong quản lý người lao động (khoản 3 Điều 25 Luật Bảo vệ dữ liệu cá nhân); d) Cung cấp phương thức thay thế không dùng sinh trắc học (thẻ, mã PIN, mã QR hoặc {{...}}) cho chủ thể không đồng ý hoặc rút lại sự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Trước mỗi lần yêu cầu Bên B đăng ký khuôn mặt, Bên A xác nhận bằng văn bản hoặc trên Hệ thống rằng các chủ thể trong danh sách đã đồng ý. Bên B có quyền từ chối đăng ký khi chưa nhận được xác nhận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[M3/M4] Theo khoản 7 Điều 23 Nghị định số 356/2025/NĐ-CP, Bên B yêu cầu và Bên A cam kết xin sự đồng ý của chủ thể trước khi Bên B cung cấp dịch vụ; trong thông báo gửi chủ thể, Bên A nêu rõ loại dữ liệu cá nhân được xử lý, mục đích xử lý và tên tổ chức cung cấp dịch vụ xử lý dữ liệu cá nhân là </w:t>
      </w:r>
      <w:r>
        <w:rPr>
          <w:rFonts w:ascii="Times New Roman" w:cs="Times New Roman" w:eastAsia="Times New Roman" w:hAnsi="Times New Roman"/>
          <w:b/>
          <w:bCs/>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B cung cấp trên Hệ thống chức năng ghi nhật ký sự đồng ý (người đồng ý, thời điểm, mục đích, phiên bản thông báo) và chức năng rút lại sự đồng ý để Bên A sử dụng.</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4. Nghĩa vụ của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xử lý Dữ liệu theo Hợp đồng, Phụ lục này và chỉ dẫn bằng văn bản của Bên A (điểm b khoản 2 Điều 37 Luật Bảo vệ dữ liệu cá nhân). Nếu Bên B cho rằng một chỉ dẫn trái pháp luật, Bên B thông báo ngay cho Bên A và được tạm dừng thực hiện chỉ dẫn đó.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Không bán, cho thuê, chia sẻ, công khai Dữ liệu; không dùng Dữ liệu để huấn luyện, kiểm thử, cải tiến mô hình trí tuệ nhân tạo hoặc cho mục đích thương mại của Bên B, trừ khi có thỏa thuận riêng theo Điều 11.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Không tái nhận dạng dữ liệu đã được khử nhận dạng (điểm b khoản 6 Điều 14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Thực hiện đầy đủ biện pháp bảo vệ dữ liệu cá nhân tại Điều 5 và Phụ lục 2; ngăn chặn hoạt động thu thập Dữ liệu trái phép từ hệ thống, thiết bị, dịch vụ của mình (điểm c, điểm đ khoản 2 Điều 37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Chỉ cho phép nhân sự thật sự cần thiết tiếp cận Dữ liệu; mỗi nhân sự đã ký cam kết bảo mật (theo mẫu c4-cam-ket-bao-mat-nhan-su-dai-ly.md) và được đào tạo về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[M2] Thực hiện hỗ trợ kỹ thuật, truy cập từ xa theo Thỏa thuận hỗ trợ từ xa kèm theo Hợp đồng; không sao chép Dữ liệu ra khỏi Hệ thống của Bên A khi chưa có đồng ý bằng văn bản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Phối hợp với Bộ Công an, cơ quan nhà nước có thẩm quyền trong bảo vệ dữ liệu cá nhân (điểm e khoản 2 Điều 37 Luật Bảo vệ dữ liệu cá nhân). Khi nhận yêu cầu cung cấp Dữ liệu trực tiếp từ cơ quan có thẩm quyền, Bên B thông báo cho Bên A trong phạm vi pháp luật cho phép.</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5. Biện pháp bảo vệ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áp dụng tối thiểu các biện pháp kỹ thuật, tổ chức tại Phụ lục 2, gồm: a) Mã hóa Dữ liệu sinh trắc học và video khi lưu trữ và khi truyền; [M3/M4] mã hóa toàn bộ Dữ liệu trên điện toán đám mây ở trạng thái nghỉ và khi truyền (khoản 4 Điều 12 Nghị định số 356/2025/NĐ-CP); b) Bảo mật vật lý đối với thiết bị lưu trữ và truyền tải Dữ liệu sinh trắc học; hạn chế quyền truy cập; hệ thống theo dõi để phòng ngừa, phát hiện hành vi xâm phạm (điểm a khoản 4 Điều 31 Luật Bảo vệ dữ liệu cá nhân); c) Xác thực đa yếu tố cho tài khoản quản trị; phân quyền theo vai trò; ghi và lưu nhật ký truy cập, xuất, xóa Dữ liệu tối thiểu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d) Khi chuyển Dữ liệu sinh trắc học giữa các thiết bị, hệ thống hoặc giữa hai bên: dùng kênh mã hóa, không gửi qua thư điện tử, ứng dụng nhắn tin hoặc thiết bị lưu trữ di động không mã hóa (khoản 2 Điều 7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rà soát, cập nhật biện pháp bảo vệ ít nhất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và khi có thay đổi Hệ thống; [M3/M4] thông báo ngay cho Bên A mọi thay đổi hệ thống, hạ tầng có thể ảnh hưởng tới Dữ liệu (điểm d khoản 2 Điều 12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6. Bên xử lý phụ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chỉ sử dụng bên xử lý phụ (nhà cung cấp hạ tầng, đại lý lắp đặt, nhà thầu phụ) có tên tại Phụ lục 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thông báo cho Bên A bằng văn bản ít nhất </w:t>
      </w:r>
      <w:r>
        <w:rPr>
          <w:rFonts w:ascii="Times New Roman" w:cs="Times New Roman" w:eastAsia="Times New Roman" w:hAnsi="Times New Roman"/>
          <w:b w:val="false"/>
          <w:bCs w:val="false"/>
          <w:i w:val="false"/>
          <w:iCs w:val="false"/>
          <w:sz w:val="26"/>
          <w:szCs w:val="26"/>
          <w:highlight w:val="yellow"/>
        </w:rPr>
        <w:t xml:space="preserve">15</w:t>
      </w:r>
      <w:r>
        <w:rPr>
          <w:rFonts w:ascii="Times New Roman" w:cs="Times New Roman" w:eastAsia="Times New Roman" w:hAnsi="Times New Roman"/>
          <w:b w:val="false"/>
          <w:bCs w:val="false"/>
          <w:i w:val="false"/>
          <w:iCs w:val="false"/>
          <w:sz w:val="26"/>
          <w:szCs w:val="26"/>
        </w:rPr>
        <w:t xml:space="preserve"> ngày trước khi bổ sung hoặc thay thế bên xử lý phụ. Bên A có quyền phản đối có lý do; nếu hai bên không thống nhất được, Bên A có quyền chấm dứt phần dịch vụ liên quan mà không bị phạt.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ràng buộc bên xử lý phụ bằng văn bản với nghĩa vụ bảo vệ dữ liệu cá nhân không thấp hơn Phụ lục này (điểm b khoản 3 Điều 12 Nghị định số 356/2025/NĐ-CP) và chịu trách nhiệm trước Bên A về vi phạm của bên xử lý phụ.</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7. Vị trí lưu trữ và chuyển dữ liệu xuyên biên giới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Dữ liệu được lưu trữ, xử lý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không chuyển Dữ liệu ra ngoài lãnh thổ Việt Nam, không cho phép truy cập Dữ liệu từ ngoài lãnh thổ Việt Nam và không sử dụng nền tảng ở ngoài lãnh thổ Việt Nam để xử lý Dữ liệu, trừ khi được Bên A chấp thuận trước bằng văn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Trường hợp được chấp thuận, hai bên xác định bằng văn bản bên có nghĩa vụ lập hồ sơ đánh giá tác động chuyển dữ liệu cá nhân xuyên biên giới theo Điều 20 Luật Bảo vệ dữ liệu cá nhân; bên còn lại cung cấp đầy đủ, kịp thời thông tin cần thiết để lập, cập nhật hồ sơ.</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8. Hỗ trợ thực hiện quyền của chủ thể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Khi nhận trực tiếp yêu cầu của chủ thể dữ liệu, Bên B chuyển cho Bên A trong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ngày làm việc và không tự trả lời nội dung, trừ khi Bên A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Theo yêu cầu của Bên A, Bên B thực hiện việc xem, cung cấp, chỉnh sửa, xóa (kể cả xóa template khuôn mặt), hạn chế, ngừng xử lý Dữ liệu trong thời hạn Bên A yêu cầu, </w:t>
      </w:r>
      <w:r>
        <w:rPr>
          <w:rFonts w:ascii="Times New Roman" w:cs="Times New Roman" w:eastAsia="Times New Roman" w:hAnsi="Times New Roman"/>
          <w:b/>
          <w:bCs/>
          <w:i w:val="false"/>
          <w:iCs w:val="false"/>
          <w:sz w:val="26"/>
          <w:szCs w:val="26"/>
        </w:rPr>
        <w:t xml:space="preserve">không vượt quá</w:t>
      </w:r>
      <w:r>
        <w:rPr>
          <w:rFonts w:ascii="Times New Roman" w:cs="Times New Roman" w:eastAsia="Times New Roman" w:hAnsi="Times New Roman"/>
          <w:b w:val="false"/>
          <w:bCs w:val="false"/>
          <w:i w:val="false"/>
          <w:iCs w:val="false"/>
          <w:sz w:val="26"/>
          <w:szCs w:val="26"/>
        </w:rPr>
        <w:t xml:space="preserve"> thời hạn áp dụng khi phải yêu cầu bên xử lý thực hiện theo khoản 2, khoản 3, khoản 4 Điều 5 Nghị định số 356/2025/NĐ-CP và khoản 3 Điều 44 Nghị định số 330/2026/NĐ-CP: ngừng xử lý, hạn chế xử lý 20 ngày; xem, chỉnh sửa, cung cấp 15 ngày; xóa 30 ngày.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cung cấp trên Hệ thống công cụ để Bên A: tìm và xuất hình ảnh của một chủ thể có làm mờ người không liên quan; xóa template theo từng người; xóa hàng loạt khi người lao động nghỉ việc; tạm ngừng xử lý tự động đối với một chủ thể.</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9. Thông báo và xử lý sự cố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thông báo cho Bên A về Sự cố dữ liệu </w:t>
      </w:r>
      <w:r>
        <w:rPr>
          <w:rFonts w:ascii="Times New Roman" w:cs="Times New Roman" w:eastAsia="Times New Roman" w:hAnsi="Times New Roman"/>
          <w:b/>
          <w:bCs/>
          <w:i w:val="false"/>
          <w:iCs w:val="false"/>
          <w:sz w:val="26"/>
          <w:szCs w:val="26"/>
        </w:rPr>
        <w:t xml:space="preserve">trong vòng </w:t>
      </w:r>
      <w:r>
        <w:rPr>
          <w:rFonts w:ascii="Times New Roman" w:cs="Times New Roman" w:eastAsia="Times New Roman" w:hAnsi="Times New Roman"/>
          <w:b/>
          <w:bCs/>
          <w:i w:val="false"/>
          <w:iCs w:val="false"/>
          <w:sz w:val="26"/>
          <w:szCs w:val="26"/>
          <w:highlight w:val="yellow"/>
        </w:rPr>
        <w:t xml:space="preserve">12</w:t>
      </w:r>
      <w:r>
        <w:rPr>
          <w:rFonts w:ascii="Times New Roman" w:cs="Times New Roman" w:eastAsia="Times New Roman" w:hAnsi="Times New Roman"/>
          <w:b/>
          <w:bCs/>
          <w:i w:val="false"/>
          <w:iCs w:val="false"/>
          <w:sz w:val="26"/>
          <w:szCs w:val="26"/>
        </w:rPr>
        <w:t xml:space="preserve"> giờ</w:t>
      </w:r>
      <w:r>
        <w:rPr>
          <w:rFonts w:ascii="Times New Roman" w:cs="Times New Roman" w:eastAsia="Times New Roman" w:hAnsi="Times New Roman"/>
          <w:b w:val="false"/>
          <w:bCs w:val="false"/>
          <w:i w:val="false"/>
          <w:iCs w:val="false"/>
          <w:sz w:val="26"/>
          <w:szCs w:val="26"/>
        </w:rPr>
        <w:t xml:space="preserve"> kể từ khi phát hiện (khoản 1 Điều 23 Luật Bảo vệ dữ liệu cá nhân), qua đầu mối nêu tại Điều 16, kèm các thông tin đã có: thời gian, địa điểm, hành vi; loại và số lượng dữ liệu, số chủ thể liên quan; hậu quả có thể xảy ra; biện pháp đã áp dụng (khoản 1 Điều 28 Nghị định số 356/2025/NĐ-CP). Thông tin chưa có được bổ sung ngay khi có.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Sự cố dữ liệu liên quan đến Dữ liệu sinh trắc học, Bên B cung cấp thông tin cần thiết để Bên A thông báo cho chủ thể bị ảnh hưởng trong 72 giờ và lập hồ sơ vi phạm theo Điều 29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phối hợp ngăn chặn, khắc phục; bảo toàn nhật ký, chứng cứ; không tự thông báo cho chủ thể dữ liệu hoặc công khai Sự cố dữ liệu khi chưa thống nhất với Bên A, trừ trường hợp pháp luật hoặc cơ quan có thẩm quyền yêu cầu.</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10. Hỗ trợ đánh giá tác động và kiểm tra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cung cấp cho Bên A tài liệu mô tả luồng dữ liệu, kiến trúc, biện pháp bảo mật của Hệ thống và phần kỹ thuật đã điền sẵn của hồ sơ đánh giá tác động xử lý dữ liệu cá nhân (khoản 3 Điều 19 Nghị định số 356/2025/NĐ-CP), cập nhật khi Hệ thống thay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phối hợp khi cơ quan chuyên trách bảo vệ dữ liệu cá nhân kiểm tra hoạt động xử lý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A hoặc bên thứ ba độc lập do Bên A chỉ định có quyền kiểm tra việc tuân thủ Phụ lục này {{tần suất}} và khi xảy ra Sự cố dữ liệu, với thông báo trước </w:t>
      </w:r>
      <w:r>
        <w:rPr>
          <w:rFonts w:ascii="Times New Roman" w:cs="Times New Roman" w:eastAsia="Times New Roman" w:hAnsi="Times New Roman"/>
          <w:b w:val="false"/>
          <w:bCs w:val="false"/>
          <w:i w:val="false"/>
          <w:iCs w:val="false"/>
          <w:sz w:val="26"/>
          <w:szCs w:val="26"/>
          <w:highlight w:val="yellow"/>
        </w:rPr>
        <w:t xml:space="preserve">05</w:t>
      </w:r>
      <w:r>
        <w:rPr>
          <w:rFonts w:ascii="Times New Roman" w:cs="Times New Roman" w:eastAsia="Times New Roman" w:hAnsi="Times New Roman"/>
          <w:b w:val="false"/>
          <w:bCs w:val="false"/>
          <w:i w:val="false"/>
          <w:iCs w:val="false"/>
          <w:sz w:val="26"/>
          <w:szCs w:val="26"/>
        </w:rPr>
        <w:t xml:space="preserve"> ngày làm việc. Bên B có thể thay thế bằng báo cáo đánh giá độc lập còn hiệu lực nếu Bên A chấp nhận.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B lập, lưu trữ hồ sơ đánh giá tác động xử lý dữ liệu cá nhân đối với hoạt động xử lý theo Phụ lục này và thực hiện nghĩa vụ gửi hồ sơ theo quy định pháp luật.</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11. Dữ liệu huấn luyện và cải tiến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sử dụng Dữ liệu để huấn luyện, kiểm thử hoặc cải tiến mô hình trí tuệ nhân tạo.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được sử dụng dữ liệu kỹ thuật không chứa dữ liệu cá nhân (thông số hoạt động, mã lỗi, thống kê tổng hợp đã khử nhận dạng) để bảo trì, cải tiến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Mọi ngoại lệ đối với khoản 1 phải lập thành thỏa thuận riêng, nêu rõ phạm vi dữ liệu, biện pháp khử nhận dạng, cơ sở pháp lý đối với từng chủ thể và thời hạn xóa.</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12. Nhân sự của Bên B làm việc tại cơ sở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[M2] Nhân sự lắp đặt, bảo hành của Bên B hoặc của đại lý Bên B làm việc tại cơ sở Bên A tuân thủ nội quy an ninh của Bên A; chỉ đăng ký, sửa, xóa khuôn mặt theo danh sách hoặc yêu cầu bằng văn bản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Dữ liệu dùng để kiểm thử khi lắp đặt phải được xóa trước khi bàn giao; việc xóa được ghi trong biên bản bàn giao.</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13. Trả lại và xóa Dữ liệu khi kết thúc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Trong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 kể từ khi Hợp đồng chấm dứt hoặc khi Bên A yêu cầu, Bên B trả lại Dữ liệu cho Bên A ở định dạng </w:t>
      </w:r>
      <w:r>
        <w:rPr>
          <w:rFonts w:ascii="Times New Roman" w:cs="Times New Roman" w:eastAsia="Times New Roman" w:hAnsi="Times New Roman"/>
          <w:b w:val="false"/>
          <w:bCs w:val="false"/>
          <w:i w:val="false"/>
          <w:iCs w:val="false"/>
          <w:sz w:val="26"/>
          <w:szCs w:val="26"/>
          <w:highlight w:val="yellow"/>
        </w:rPr>
        <w:t xml:space="preserve">CSV đối với nhật ký; MP4 đối với video; template không trả lại, chỉ xóa</w:t>
      </w:r>
      <w:r>
        <w:rPr>
          <w:rFonts w:ascii="Times New Roman" w:cs="Times New Roman" w:eastAsia="Times New Roman" w:hAnsi="Times New Roman"/>
          <w:b w:val="false"/>
          <w:bCs w:val="false"/>
          <w:i w:val="false"/>
          <w:iCs w:val="false"/>
          <w:sz w:val="26"/>
          <w:szCs w:val="26"/>
        </w:rPr>
        <w:t xml:space="preserve">, sau đó xóa, hủy toàn bộ Dữ liệu còn lưu, kể cả bản sao lưu, bằng biện pháp an toàn, ngăn chặn khôi phục trái phép (khoản 3 Điều 14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Bản sao lưu không thể xóa ngay vì lý do kỹ thuật được mã hóa, cách ly và xóa theo chu kỳ sao lưu, không quá </w:t>
      </w:r>
      <w:r>
        <w:rPr>
          <w:rFonts w:ascii="Times New Roman" w:cs="Times New Roman" w:eastAsia="Times New Roman" w:hAnsi="Times New Roman"/>
          <w:b w:val="false"/>
          <w:bCs w:val="false"/>
          <w:i w:val="false"/>
          <w:iCs w:val="false"/>
          <w:sz w:val="26"/>
          <w:szCs w:val="26"/>
          <w:highlight w:val="yellow"/>
        </w:rPr>
        <w:t xml:space="preserve">35</w:t>
      </w:r>
      <w:r>
        <w:rPr>
          <w:rFonts w:ascii="Times New Roman" w:cs="Times New Roman" w:eastAsia="Times New Roman" w:hAnsi="Times New Roman"/>
          <w:b w:val="false"/>
          <w:bCs w:val="false"/>
          <w:i w:val="false"/>
          <w:iCs w:val="false"/>
          <w:sz w:val="26"/>
          <w:szCs w:val="26"/>
        </w:rPr>
        <w:t xml:space="preserve"> ngày.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gửi Bên A biên bản xác nhận xóa, nêu phạm vi, phương thức, thời điểm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B chỉ được giữ lại Dữ liệu khi pháp luật bắt buộc và phải thông báo cho Bên A căn cứ, phạm vi, thời hạn giữ lại.</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14. Trách nhiệm và bồi thường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chịu trách nhiệm trước chủ thể dữ liệu về thiệt hại do quá trình xử lý Dữ liệu gây ra (điểm g khoản 1 Điều 37 Luật Bảo vệ dữ liệu cá nhân), và chịu trách nhiệm về cơ sở pháp lý, sự đồng ý, thông báo, biển báo thuộc phạm vi Điều 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chịu trách nhiệm trước Bên A về thiệt hại do xử lý Dữ liệu trái Phụ lục này, trái chỉ dẫn của Bên A hoặc do không thực hiện biện pháp bảo vệ tại Điều 5 (điểm d khoản 2 Điều 37 Luật Bảo vệ dữ liệu cá nhân), kể cả các khoản tiền phạt, chi phí khắc phục mà Bên A phải chịu do lỗi của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Giới hạn trách nhiệm theo Hợp đồng {{áp dụng/không áp dụng}} đối với vi phạm Phụ lục này; không áp dụng đối với hành vi cố ý hoặc vi phạm Điều 4 khoản 2.</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15. Giấy chứng nhận đủ điều kiện kinh doanh dịch vụ xử lý dữ liệu cá nhân [M3/M4]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cam kết có Giấy chứng nhận đủ điều kiện kinh doanh dịch vụ xử lý dữ liệu cá nhân số </w:t>
      </w:r>
      <w:r>
        <w:rPr>
          <w:rFonts w:ascii="Times New Roman" w:cs="Times New Roman" w:eastAsia="Times New Roman" w:hAnsi="Times New Roman"/>
          <w:b w:val="false"/>
          <w:bCs w:val="false"/>
          <w:i w:val="false"/>
          <w:iCs w:val="false"/>
          <w:sz w:val="26"/>
          <w:szCs w:val="26"/>
          <w:highlight w:val="yellow"/>
        </w:rPr>
        <w:t xml:space="preserve">Không áp dụng (mô hình cài đặt tại chỗ)</w:t>
      </w:r>
      <w:r>
        <w:rPr>
          <w:rFonts w:ascii="Times New Roman" w:cs="Times New Roman" w:eastAsia="Times New Roman" w:hAnsi="Times New Roman"/>
          <w:b w:val="false"/>
          <w:bCs w:val="false"/>
          <w:i w:val="false"/>
          <w:iCs w:val="false"/>
          <w:sz w:val="26"/>
          <w:szCs w:val="26"/>
        </w:rPr>
        <w:t xml:space="preserve"> cấp ngày </w:t>
      </w:r>
      <w:r>
        <w:rPr>
          <w:rFonts w:ascii="Times New Roman" w:cs="Times New Roman" w:eastAsia="Times New Roman" w:hAnsi="Times New Roman"/>
          <w:b w:val="false"/>
          <w:bCs w:val="false"/>
          <w:i w:val="false"/>
          <w:iCs w:val="false"/>
          <w:sz w:val="26"/>
          <w:szCs w:val="26"/>
          <w:highlight w:val="yellow"/>
        </w:rPr>
        <w:t xml:space="preserve">Không áp dụng</w:t>
      </w:r>
      <w:r>
        <w:rPr>
          <w:rFonts w:ascii="Times New Roman" w:cs="Times New Roman" w:eastAsia="Times New Roman" w:hAnsi="Times New Roman"/>
          <w:b w:val="false"/>
          <w:bCs w:val="false"/>
          <w:i w:val="false"/>
          <w:iCs w:val="false"/>
          <w:sz w:val="26"/>
          <w:szCs w:val="26"/>
        </w:rPr>
        <w:t xml:space="preserve"> còn hiệu lực trong suốt thời gian cung cấp dịch vụ (Điều 22, Điều 25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thông báo ngay cho Bên A khi Giấy chứng nhận bị thu hồi hoặc Bên B không còn đáp ứng điều kiện (Điều 27 Nghị định số 356/2025/NĐ-CP). Khi đó Bên A có quyền chấm dứt Hợp đồng mà không bị phạt và Bên B thực hiện Điều 13.</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16. Đầu mối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Mỗi bên chỉ định đầu mối nêu ở phần đầu Phụ lục này. Thay đổi đầu mối được thông báo bằng văn bản trong </w:t>
      </w:r>
      <w:r>
        <w:rPr>
          <w:rFonts w:ascii="Times New Roman" w:cs="Times New Roman" w:eastAsia="Times New Roman" w:hAnsi="Times New Roman"/>
          <w:b w:val="false"/>
          <w:bCs w:val="false"/>
          <w:i w:val="false"/>
          <w:iCs w:val="false"/>
          <w:sz w:val="26"/>
          <w:szCs w:val="26"/>
          <w:highlight w:val="yellow"/>
        </w:rPr>
        <w:t xml:space="preserve">05</w:t>
      </w:r>
      <w:r>
        <w:rPr>
          <w:rFonts w:ascii="Times New Roman" w:cs="Times New Roman" w:eastAsia="Times New Roman" w:hAnsi="Times New Roman"/>
          <w:b w:val="false"/>
          <w:bCs w:val="false"/>
          <w:i w:val="false"/>
          <w:iCs w:val="false"/>
          <w:sz w:val="26"/>
          <w:szCs w:val="26"/>
        </w:rPr>
        <w:t xml:space="preserve"> ngày làm việc (điểm a khoản 2 Điều 12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Điều 17. Hiệu lực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Phụ lục này là bộ phận không tách rời của Hợp đồng, có hiệu lực từ ngày ký. Các Điều 4 khoản 2, Điều 9, Điều 13, Điều 14 tiếp tục có hiệu lực sau khi Hợp đồng chấm dứt cho đến khi Dữ liệu đã được xóa hoặc trả lại toàn bộ.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có mâu thuẫn giữa Phụ lục này và Hợp đồng về xử lý dữ liệu cá nhân, Phụ lục này được ưu tiên áp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Phụ lục được lập thành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bản có giá trị pháp lý như nhau, mỗi bên giữ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bản.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A</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B</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1. Mô tả hoạt động xử lý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80"/>
        <w:gridCol w:w="1131"/>
        <w:gridCol w:w="1197"/>
        <w:gridCol w:w="1181"/>
        <w:gridCol w:w="1161"/>
        <w:gridCol w:w="1262"/>
        <w:gridCol w:w="858"/>
        <w:gridCol w:w="1255"/>
      </w:tblGrid>
      <w:tr>
        <w:trPr>
          <w:cantSplit/>
          <w:tblHeader/>
        </w:trPr>
        <w:tc>
          <w:tcPr>
            <w:tcW w:type="dxa" w:w="9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Đối tượng chủ thể</w:t>
            </w:r>
          </w:p>
        </w:tc>
        <w:tc>
          <w:tcPr>
            <w:tcW w:type="dxa" w:w="11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Số lượng dự kiến</w:t>
            </w:r>
          </w:p>
        </w:tc>
        <w:tc>
          <w:tcPr>
            <w:tcW w:type="dxa" w:w="11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Loại dữ liệu</w:t>
            </w:r>
          </w:p>
        </w:tc>
        <w:tc>
          <w:tcPr>
            <w:tcW w:type="dxa" w:w="11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Phân loại</w:t>
            </w:r>
          </w:p>
        </w:tc>
        <w:tc>
          <w:tcPr>
            <w:tcW w:type="dxa" w:w="11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Hoạt động xử lý của Bên B</w:t>
            </w:r>
          </w:p>
        </w:tc>
        <w:tc>
          <w:tcPr>
            <w:tcW w:type="dxa" w:w="12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Mục đích (do Bên A quyết định)</w:t>
            </w:r>
          </w:p>
        </w:tc>
        <w:tc>
          <w:tcPr>
            <w:tcW w:type="dxa" w:w="8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Nơi lưu</w:t>
            </w:r>
          </w:p>
        </w:tc>
        <w:tc>
          <w:tcPr>
            <w:tcW w:type="dxa" w:w="12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Thời hạn lưu</w:t>
            </w:r>
          </w:p>
        </w:tc>
      </w:tr>
      <w:tr>
        <w:trPr>
          <w:cantSplit/>
          <w:tblHeader w:val="false"/>
        </w:trPr>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Người lao động của Bên A</w:t>
            </w:r>
          </w:p>
        </w:tc>
        <w:tc>
          <w:tcPr>
            <w:tcW w:type="dxa" w:w="1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850</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Họ tên, mã nhân viên, phòng ban; ảnh đăng ký; template khuôn mặt; nhật ký ra vào, chấm công</w:t>
            </w:r>
          </w:p>
        </w:tc>
        <w:tc>
          <w:tcPr>
            <w:tcW w:type="dxa" w:w="11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w:t>
            </w:r>
            <w:r>
              <w:rPr>
                <w:rFonts w:ascii="Times New Roman" w:cs="Times New Roman" w:eastAsia="Times New Roman" w:hAnsi="Times New Roman"/>
                <w:b/>
                <w:bCs/>
                <w:i w:val="false"/>
                <w:iCs w:val="false"/>
                <w:sz w:val="18"/>
                <w:szCs w:val="18"/>
              </w:rPr>
              <w:t xml:space="preserve">nhạy cảm (sinh trắc học)</w:t>
            </w: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Đăng ký khuôn mặt; lưu trữ; so khớp; hỗ trợ kỹ thuật</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soát ra vào; chấm công</w:t>
            </w:r>
          </w:p>
        </w:tc>
        <w:tc>
          <w:tcPr>
            <w:tcW w:type="dxa" w:w="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Máy chủ đặt tại phòng máy của khách hàng, Bình Dương (Việt Nam)</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Template: đến khi nghỉ việc hoặc rút đồng ý; nhật ký: </w:t>
            </w:r>
            <w:r>
              <w:rPr>
                <w:rFonts w:ascii="Times New Roman" w:cs="Times New Roman" w:eastAsia="Times New Roman" w:hAnsi="Times New Roman"/>
                <w:b w:val="false"/>
                <w:bCs w:val="false"/>
                <w:i w:val="false"/>
                <w:iCs w:val="false"/>
                <w:sz w:val="18"/>
                <w:szCs w:val="18"/>
                <w:highlight w:val="yellow"/>
              </w:rPr>
              <w:t xml:space="preserve">12 tháng</w:t>
            </w:r>
          </w:p>
        </w:tc>
      </w:tr>
      <w:tr>
        <w:trPr>
          <w:cantSplit/>
          <w:tblHeader w:val="false"/>
        </w:trPr>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Khách đến làm việc</w:t>
            </w:r>
          </w:p>
        </w:tc>
        <w:tc>
          <w:tcPr>
            <w:tcW w:type="dxa" w:w="1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300</w:t>
            </w:r>
            <w:r>
              <w:rPr>
                <w:rFonts w:ascii="Times New Roman" w:cs="Times New Roman" w:eastAsia="Times New Roman" w:hAnsi="Times New Roman"/>
                <w:b w:val="false"/>
                <w:bCs w:val="false"/>
                <w:i w:val="false"/>
                <w:iCs w:val="false"/>
                <w:sz w:val="18"/>
                <w:szCs w:val="18"/>
              </w:rPr>
              <w:t xml:space="preserve">/tháng</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Họ tên, đơn vị, số điện thoại; ảnh chụp tại kiosk; template khuôn mặt (nếu dùng)</w:t>
            </w:r>
          </w:p>
        </w:tc>
        <w:tc>
          <w:tcPr>
            <w:tcW w:type="dxa" w:w="11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nhạy cảm (nếu có template)</w:t>
            </w: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trữ; so khớp trong thời gian hiệu lực thẻ khách</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soát khách ra vào</w:t>
            </w:r>
          </w:p>
        </w:tc>
        <w:tc>
          <w:tcPr>
            <w:tcW w:type="dxa" w:w="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Máy chủ đặt tại phòng máy của khách hàng, Bình Dương (Việt Nam)</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90 ngày</w:t>
            </w:r>
          </w:p>
        </w:tc>
      </w:tr>
      <w:tr>
        <w:trPr>
          <w:cantSplit/>
          <w:tblHeader w:val="false"/>
        </w:trPr>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Người xuất hiện trong vùng camera</w:t>
            </w:r>
          </w:p>
        </w:tc>
        <w:tc>
          <w:tcPr>
            <w:tcW w:type="dxa" w:w="1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xác định</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Hình ảnh, video</w:t>
            </w:r>
          </w:p>
        </w:tc>
        <w:tc>
          <w:tcPr>
            <w:tcW w:type="dxa" w:w="11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w:t>
            </w: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trữ; hỗ trợ trích xuất theo yêu cầu Bên A</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An ninh, bảo vệ tài sản</w:t>
            </w:r>
          </w:p>
        </w:tc>
        <w:tc>
          <w:tcPr>
            <w:tcW w:type="dxa" w:w="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Máy chủ đặt tại phòng máy của khách hàng, Bình Dương (Việt Nam)</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30 ngày</w:t>
            </w:r>
          </w:p>
        </w:tc>
      </w:tr>
      <w:tr>
        <w:trPr>
          <w:cantSplit/>
          <w:tblHeader w:val="false"/>
        </w:trPr>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Chủ phương tiện ra vào bãi xe</w:t>
            </w:r>
          </w:p>
        </w:tc>
        <w:tc>
          <w:tcPr>
            <w:tcW w:type="dxa" w:w="1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210</w:t>
            </w:r>
            <w:r>
              <w:rPr>
                <w:rFonts w:ascii="Times New Roman" w:cs="Times New Roman" w:eastAsia="Times New Roman" w:hAnsi="Times New Roman"/>
                <w:b w:val="false"/>
                <w:bCs w:val="false"/>
                <w:i w:val="false"/>
                <w:iCs w:val="false"/>
                <w:sz w:val="18"/>
                <w:szCs w:val="18"/>
              </w:rPr>
              <w:t xml:space="preserve"> xe đăng ký</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Biển số xe, ảnh phương tiện, thời điểm ra vào; thông tin vé tháng</w:t>
            </w:r>
          </w:p>
        </w:tc>
        <w:tc>
          <w:tcPr>
            <w:tcW w:type="dxa" w:w="11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w:t>
            </w: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Nhận diện biển số; lưu trữ; đối chiếu danh sách</w:t>
            </w: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bãi xe</w:t>
            </w:r>
          </w:p>
        </w:tc>
        <w:tc>
          <w:tcPr>
            <w:tcW w:type="dxa" w:w="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Máy chủ đặt tại phòng máy của khách hàng, Bình Dương (Việt Nam)</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Xe vãng lai 30 ngày; xe đăng ký trong thời hạn vé tháng</w:t>
            </w:r>
          </w:p>
        </w:tc>
      </w:tr>
      <w:tr>
        <w:trPr>
          <w:cantSplit/>
          <w:tblHeader w:val="false"/>
        </w:trPr>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2. Biện pháp kỹ thuật và tổ chức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93"/>
        <w:gridCol w:w="4297"/>
        <w:gridCol w:w="3335"/>
      </w:tblGrid>
      <w:tr>
        <w:trPr>
          <w:cantSplit/>
          <w:tblHeader/>
        </w:trPr>
        <w:tc>
          <w:tcPr>
            <w:tcW w:type="dxa" w:w="13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Nhóm</w:t>
            </w:r>
          </w:p>
        </w:tc>
        <w:tc>
          <w:tcPr>
            <w:tcW w:type="dxa" w:w="42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Biện pháp Bên B áp dụng</w:t>
            </w:r>
          </w:p>
        </w:tc>
        <w:tc>
          <w:tcPr>
            <w:tcW w:type="dxa" w:w="33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Bằng chứng Bên B cung cấp khi được yêu cầu</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hóa</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Template, ảnh đăng ký, video được mã hóa khi lưu (</w:t>
            </w:r>
            <w:r>
              <w:rPr>
                <w:rFonts w:ascii="Times New Roman" w:cs="Times New Roman" w:eastAsia="Times New Roman" w:hAnsi="Times New Roman"/>
                <w:b w:val="false"/>
                <w:bCs w:val="false"/>
                <w:i w:val="false"/>
                <w:iCs w:val="false"/>
                <w:sz w:val="24"/>
                <w:szCs w:val="24"/>
                <w:highlight w:val="yellow"/>
              </w:rPr>
              <w:t xml:space="preserve">AES-256</w:t>
            </w:r>
            <w:r>
              <w:rPr>
                <w:rFonts w:ascii="Times New Roman" w:cs="Times New Roman" w:eastAsia="Times New Roman" w:hAnsi="Times New Roman"/>
                <w:b w:val="false"/>
                <w:bCs w:val="false"/>
                <w:i w:val="false"/>
                <w:iCs w:val="false"/>
                <w:sz w:val="24"/>
                <w:szCs w:val="24"/>
              </w:rPr>
              <w:t xml:space="preserve">) và khi truyền (</w:t>
            </w:r>
            <w:r>
              <w:rPr>
                <w:rFonts w:ascii="Times New Roman" w:cs="Times New Roman" w:eastAsia="Times New Roman" w:hAnsi="Times New Roman"/>
                <w:b w:val="false"/>
                <w:bCs w:val="false"/>
                <w:i w:val="false"/>
                <w:iCs w:val="false"/>
                <w:sz w:val="24"/>
                <w:szCs w:val="24"/>
                <w:highlight w:val="yellow"/>
              </w:rPr>
              <w:t xml:space="preserve">TLS 1.2 trở lên</w:t>
            </w:r>
            <w:r>
              <w:rPr>
                <w:rFonts w:ascii="Times New Roman" w:cs="Times New Roman" w:eastAsia="Times New Roman" w:hAnsi="Times New Roman"/>
                <w:b w:val="false"/>
                <w:bCs w:val="false"/>
                <w:i w:val="false"/>
                <w:iCs w:val="false"/>
                <w:sz w:val="24"/>
                <w:szCs w:val="24"/>
              </w:rPr>
              <w:t xml:space="preserve">); khóa quản lý tách khỏi dữ liệu</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liệu bảo mật sản phẩm; ảnh chụp cấu hình</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soát truy cập</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Phân quyền theo vai trò; xác thực đa yếu tố cho quản trị viên; tài khoản kỹ thuật viên có thời hạn, cấp theo phiếu</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sách tài khoản, quyền; nhật ký cấp, thu hồi</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giám sát</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Ghi nhật ký đăng nhập, xem, xuất, xóa dữ liệu; cảnh báo truy cập bất thường</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Mẫu nhật ký; báo cáo cảnh báo</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mật vật lý</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Máy chủ, đầu ghi đặt trong phòng có khóa, kiểm soát ra vào; ổ cứng thay thế được hủy an toàn</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hủy thiết bị lưu trữ</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Giảm thiểu dữ liệu</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lưu ảnh gốc sau khi tạo template ({{có/không}}); làm mờ người không liên quan khi xuất video; nhận diện khuôn mặt tắt mặc định trên camera hướng khu vực công cộng</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Hướng dẫn cấu hình; biên bản bàn giao</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 xóa</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theo thời hạn tại Phụ lục 1; xóa template khi người lao động nghỉ việc</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xóa</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Chống giả mạo</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tra người thật (liveness) khi nhận diện khuôn mặt</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kiểm thử</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Vá lỗi, cập nhật</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Cập nhật firmware, phần mềm theo </w:t>
            </w:r>
            <w:r>
              <w:rPr>
                <w:rFonts w:ascii="Times New Roman" w:cs="Times New Roman" w:eastAsia="Times New Roman" w:hAnsi="Times New Roman"/>
                <w:b w:val="false"/>
                <w:bCs w:val="false"/>
                <w:i w:val="false"/>
                <w:iCs w:val="false"/>
                <w:sz w:val="24"/>
                <w:szCs w:val="24"/>
                <w:highlight w:val="yellow"/>
              </w:rPr>
              <w:t xml:space="preserve">bản tin bảo mật hằng quý</w:t>
            </w:r>
            <w:r>
              <w:rPr>
                <w:rFonts w:ascii="Times New Roman" w:cs="Times New Roman" w:eastAsia="Times New Roman" w:hAnsi="Times New Roman"/>
                <w:b w:val="false"/>
                <w:bCs w:val="false"/>
                <w:i w:val="false"/>
                <w:iCs w:val="false"/>
                <w:sz w:val="24"/>
                <w:szCs w:val="24"/>
              </w:rPr>
              <w:t xml:space="preserve">; thông báo lỗ hổng nghiêm trọng trong </w:t>
            </w:r>
            <w:r>
              <w:rPr>
                <w:rFonts w:ascii="Times New Roman" w:cs="Times New Roman" w:eastAsia="Times New Roman" w:hAnsi="Times New Roman"/>
                <w:b w:val="false"/>
                <w:bCs w:val="false"/>
                <w:i w:val="false"/>
                <w:iCs w:val="false"/>
                <w:sz w:val="24"/>
                <w:szCs w:val="24"/>
                <w:highlight w:val="yellow"/>
              </w:rPr>
              <w:t xml:space="preserve">03</w:t>
            </w:r>
            <w:r>
              <w:rPr>
                <w:rFonts w:ascii="Times New Roman" w:cs="Times New Roman" w:eastAsia="Times New Roman" w:hAnsi="Times New Roman"/>
                <w:b w:val="false"/>
                <w:bCs w:val="false"/>
                <w:i w:val="false"/>
                <w:iCs w:val="false"/>
                <w:sz w:val="24"/>
                <w:szCs w:val="24"/>
              </w:rPr>
              <w:t xml:space="preserve"> ngày</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 tin bảo mật; lịch sử cập nhật</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sự</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Cam kết bảo mật; đào tạo bảo vệ dữ liệu cá nhân hằng năm</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sách đã ký, đã đào tạo</w:t>
            </w:r>
          </w:p>
        </w:tc>
      </w:tr>
      <w:tr>
        <w:trPr>
          <w:cantSplit/>
          <w:tblHeader w:val="false"/>
        </w:trPr>
        <w:tc>
          <w:tcPr>
            <w:tcW w:type="dxa" w:w="13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w:t>
            </w:r>
          </w:p>
        </w:tc>
        <w:tc>
          <w:tcPr>
            <w:tcW w:type="dxa" w:w="4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tuân thủ bảo vệ dữ liệu cá nhân của hệ thống trí tuệ nhân tạo định kỳ 01 năm/lần (điểm đ khoản 5 Điều 10 Nghị định số 356/2025/NĐ-CP)</w:t>
            </w: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đánh giá năm gần nhất</w:t>
            </w: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Phụ lục 3. Danh sách bên xử lý phụ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2279"/>
        <w:gridCol w:w="772"/>
        <w:gridCol w:w="2626"/>
        <w:gridCol w:w="787"/>
        <w:gridCol w:w="630"/>
        <w:gridCol w:w="1301"/>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22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tổ chức</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số thuế</w:t>
            </w:r>
          </w:p>
        </w:tc>
        <w:tc>
          <w:tcPr>
            <w:tcW w:type="dxa" w:w="26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w:t>
            </w:r>
          </w:p>
        </w:tc>
        <w:tc>
          <w:tcPr>
            <w:tcW w:type="dxa" w:w="7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Dữ liệu tiếp cận</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Nơi xử lý</w:t>
            </w:r>
          </w:p>
        </w:tc>
        <w:tc>
          <w:tcPr>
            <w:tcW w:type="dxa" w:w="13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Đầu mối bảo vệ dữ liệu cá nhân</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TNHH Lắp đặt Mẫu (đại lý lắp đặt)</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{{thuê hạ tầng cloud/lắp đặt/bảo hành}}</w:t>
            </w:r>
          </w:p>
        </w:tc>
        <w:tc>
          <w:tcPr>
            <w:tcW w:type="dxa" w:w="7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Phụ lục thỏa thuận xử lý dữ liệu cá nhân (DPA) — hợp đồng cung cấp giải pháp AI vision</dc:title>
  <dc:creator>vn-cyber-compliance</dc:creator>
  <cp:lastModifiedBy>Un-named</cp:lastModifiedBy>
  <cp:revision>1</cp:revision>
  <dcterms:created xsi:type="dcterms:W3CDTF">2026-09-28T14:41:15.377Z</dcterms:created>
  <dcterms:modified xsi:type="dcterms:W3CDTF">2026-09-28T14:41:15.377Z</dcterms:modified>
</cp:coreProperties>
</file>

<file path=docProps/custom.xml><?xml version="1.0" encoding="utf-8"?>
<Properties xmlns="http://schemas.openxmlformats.org/officeDocument/2006/custom-properties" xmlns:vt="http://schemas.openxmlformats.org/officeDocument/2006/docPropsVTypes"/>
</file>