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56/2026/QĐ-TURBO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ban hành Quy định bảo vệ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 ngày 26 tháng 6 năm 2025;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Trưởng phòng Pháp chế</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định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(mã </w:t>
      </w:r>
      <w:r>
        <w:rPr>
          <w:rFonts w:ascii="Times New Roman" w:cs="Times New Roman" w:eastAsia="Times New Roman" w:hAnsi="Times New Roman"/>
          <w:b w:val="false"/>
          <w:bCs w:val="false"/>
          <w:i w:val="false"/>
          <w:iCs w:val="false"/>
          <w:sz w:val="26"/>
          <w:szCs w:val="26"/>
          <w:highlight w:val="yellow"/>
        </w:rPr>
        <w:t xml:space="preserve">CS-DLCN-01</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Quyết định này có hiệu lực kể từ ngày ký. Quy định được đăng trên cổng thông tin nội bộ và phổ biến cho người lao động trong thời hạn 05 ngày làm việc kể từ ngày ký.</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 Phòng Hành chính – Nhân sự, Phòng Vận hành hệ thống, Phòng An ninh mạng</w:t>
      </w:r>
      <w:r>
        <w:rPr>
          <w:rFonts w:ascii="Times New Roman" w:cs="Times New Roman" w:eastAsia="Times New Roman" w:hAnsi="Times New Roman"/>
          <w:b w:val="false"/>
          <w:bCs w:val="false"/>
          <w:i w:val="false"/>
          <w:iCs w:val="false"/>
          <w:sz w:val="26"/>
          <w:szCs w:val="26"/>
        </w:rPr>
        <w:t xml:space="preserve">, trưởng các phòng, ban và người lao động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Đăng cổng thông tin nội bộ;</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ĐỊNH</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56/2026/QĐ-TURBO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02/11/2026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w:t>
      </w:r>
      <w:r>
        <w:rPr>
          <w:rFonts w:ascii="Times New Roman" w:cs="Times New Roman" w:eastAsia="Times New Roman" w:hAnsi="Times New Roman"/>
          <w:b w:val="false"/>
          <w:bCs w:val="false"/>
          <w:i w:val="false"/>
          <w:iCs w:val="false"/>
          <w:sz w:val="26"/>
          <w:szCs w:val="26"/>
          <w:highlight w:val="yellow"/>
        </w:rPr>
        <w:t xml:space="preserve">CS-DLCN-01</w:t>
      </w:r>
      <w:r>
        <w:rPr>
          <w:rFonts w:ascii="Times New Roman" w:cs="Times New Roman" w:eastAsia="Times New Roman" w:hAnsi="Times New Roman"/>
          <w:b w:val="false"/>
          <w:bCs w:val="false"/>
          <w:i w:val="false"/>
          <w:iCs w:val="false"/>
          <w:sz w:val="26"/>
          <w:szCs w:val="26"/>
        </w:rPr>
        <w:t xml:space="preserve"> · Phiên bản: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đối tượng áp dụng và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định này áp dụng cho mọi hoạt động xử lý dữ liệu cá nhân mà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(sau đây gọi là Công ty) là bên kiểm soát dữ liệu cá nhân, trên hệ thống thông tin, hồ sơ giấy và tại nhà cung cấp dịch vụ xử lý thay Công ty; áp dụng với mọi phòng, ban, người lao động, cộng tác viên, thực tập sinh và nhân sự của nhà cung cấp được cấp quyền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Từ ngữ "dữ liệu cá nhân", "xử lý dữ liệu cá nhân", "chủ thể dữ liệu cá nhân", "bên kiểm soát", "bên xử lý", "bên thứ ba" được hiểu theo Điều 2 Luật Bảo vệ dữ liệu cá nhân số 91/2025/QH15 (sau đây gọi là Luật). "Nhân sự bảo vệ dữ liệu cá nhân" là người được chỉ định tại Quyết định số </w:t>
      </w:r>
      <w:r>
        <w:rPr>
          <w:rFonts w:ascii="Times New Roman" w:cs="Times New Roman" w:eastAsia="Times New Roman" w:hAnsi="Times New Roman"/>
          <w:b w:val="false"/>
          <w:bCs w:val="false"/>
          <w:i w:val="false"/>
          <w:iCs w:val="false"/>
          <w:sz w:val="26"/>
          <w:szCs w:val="26"/>
          <w:highlight w:val="yellow"/>
        </w:rPr>
        <w:t xml:space="preserve">55/2026/QĐ-TURBO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"Bộ phận giữ dữ liệu" là phòng, ban được giao quản lý một nhóm dữ liệu tại Điều 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Nguyên tắc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hoạt động xử lý dữ liệu cá nhân của Công ty tuân thủ các nguyên tắc tại Điều 3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Tuân thủ Hiến pháp, Luật và quy định khác của pháp luật có liên quan.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Chỉ thu thập, xử lý dữ liệu cá nhân đúng phạm vi, mục đích cụ thể, rõ ràng; không thu thập dữ liệu không cần cho mục đích đó.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Bảo đảm dữ liệu chính xác, được chỉnh sửa, cập nhật, bổ sung khi cần thiết; chỉ lưu trữ trong khoảng thời gian phù hợp với mục đích xử lý, trừ trường hợp pháp luật có quy định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Thực hiện đồng bộ các biện pháp về thể chế, kỹ thuật, con người để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Chủ động phòng ngừa, phát hiện, ngăn chặn, xử lý kịp thời hành vi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Bảo đảm hài hòa giữa bảo vệ dữ liệu cá nhân với bảo vệ quyền, lợi ích hợp pháp của Công ty, người lao động và các bên liên quan.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Vai trò, trách nhiệm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983"/>
        <w:gridCol w:w="6042"/>
      </w:tblGrid>
      <w:tr>
        <w:trPr>
          <w:cantSplit/>
          <w:tblHeader/>
        </w:trPr>
        <w:tc>
          <w:tcPr>
            <w:tcW w:type="dxa" w:w="29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6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Trách nhiệm chính</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Tổng Giám đốc</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Chịu trách nhiệm chung với tư cách bên kiểm soát dữ liệu cá nhân; phê duyệt Quy định, hồ sơ đánh giá tác động, thông báo vi phạm; bố trí nguồn lực</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bảo vệ DLCN (bà Phạm Thu Dung)</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Nhiệm vụ tại Quyết định chỉ định (khoản 2 Điều 14 Nghị định số 356/2025/NĐ-CP): tham mưu chính sách, biểu mẫu; đầu mối yêu cầu của chủ thể; lập, cập nhật hồ sơ đánh giá tác động; tiếp nhận, báo cáo vi phạm; đánh giá tuân thủ định kỳ; giữ bảng kiểm kê dữ liệu cá nhân</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Hành chính – Nhân sự</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giữ dữ liệu ứng viên, người lao động, người thân; phát, thu thông báo, phiếu đồng ý, bản cam kết; báo nghỉ việc, chuyển vị trí để thu hồi quyền; quản lý camera, máy chấm công</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Tài chính – Kế toán</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giữ dữ liệu lương, thuế, bảo hiểm; lập danh mục thời hạn lưu chứng từ theo pháp luật</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Vận hành hệ thống</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Vận hành hệ thống có dữ liệu cá nhân; cấp, thu hồi quyền; mã hóa, sao lưu, xóa kỹ thuật; làm việc với nhà cung cấp dịch vụ về kỹ thuật</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An ninh mạng</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Giám sát, rà soát nhật ký, phân quyền; chủ trì xử lý sự cố; trích xuất camera, nhật ký khi có yêu cầu hợp lệ</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Trưởng các phòng, ban</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đảm dữ liệu do phòng, ban mình quản lý được xử lý đúng Quy định; báo trước hoạt động xử lý mới cho nhân sự bảo vệ dữ liệu cá nhân</w:t>
            </w:r>
          </w:p>
        </w:tc>
      </w:tr>
      <w:tr>
        <w:trPr>
          <w:cantSplit/>
          <w:tblHeader w:val="false"/>
        </w:trPr>
        <w:tc>
          <w:tcPr>
            <w:tcW w:type="dxa" w:w="29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w:t>
            </w:r>
          </w:p>
        </w:tc>
        <w:tc>
          <w:tcPr>
            <w:tcW w:type="dxa" w:w="6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Bản cam kết bảo mật; chỉ truy cập dữ liệu cần cho công việc; chuyển yêu cầu của chủ thể dữ liệu trong ngày; báo ngay sự cố</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Phân loại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Dữ liệu cá nhân cơ bản: theo Điều 3 Nghị định số 356/2025/NĐ-CP (họ tên, ngày sinh, giới tính, địa chỉ, quốc tịch, hình ảnh, số điện thoại, số định danh cá nhân, tình trạng hôn nhân, quan hệ gia đình, tài khoản số và thông tin khác giúp xác định một người cụ thể).</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Dữ liệu cá nhân nhạy cảm: theo khoản 1 Điều 4 Nghị định số 356/2025/NĐ-CP. Dữ liệu nhạy cảm Công ty đang hoặc có thể xử lý: </w:t>
      </w:r>
      <w:r>
        <w:rPr>
          <w:rFonts w:ascii="Times New Roman" w:cs="Times New Roman" w:eastAsia="Times New Roman" w:hAnsi="Times New Roman"/>
          <w:b w:val="false"/>
          <w:bCs w:val="false"/>
          <w:i w:val="false"/>
          <w:iCs w:val="false"/>
          <w:sz w:val="26"/>
          <w:szCs w:val="26"/>
          <w:highlight w:val="yellow"/>
        </w:rPr>
        <w:t xml:space="preserve">hình ảnh thẻ căn cước của người lao động khi hồ sơ bảo hiểm xã hội yêu cầu (điểm i); giấy khám sức khỏe, hồ sơ nghỉ ốm, thai sản (điểm d); nhật ký tên miền truy cập Internet có thể thuộc điểm l</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Với dữ liệu nhạy cảm, Công ty áp dụng quy định phân quyền giới hạn truy cập, quy trình xử lý và biện pháp bảo mật (khoản 2 Điều 4 Nghị định số 356/2025/NĐ-CP): lưu tách riêng; mã hóa; chỉ người được giao tại Điều 7 truy cập; không gửi qua kênh không mã hóa; khi xin đồng ý phải nêu rõ đây là dữ liệu nhạy cảm (khoản 4 Điều 6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Không thu thập dữ liệu sinh trắc học (vân tay, khuôn mặt), dữ liệu vị trí qua dịch vụ định vị, dữ liệu theo dõi hành vi trên mạng ngoài danh mục đã thông báo, trừ khi có ý kiến bằng văn bản của nhân sự bảo vệ dữ liệu cá nhân, được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phê duyệt và đã cập nhật hồ sơ đánh giá tác động.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Căn cứ xử lý, sự đồng ý và thông báo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Mỗi hoạt động xử lý dữ liệu cá nhân phải có một căn cứ được ghi trong bảng kiểm kê dữ liệu cá nhân trước khi bắt đầu: sự đồng ý của chủ thể (Điều 9 của Luật) hoặc trường hợp không cần đồng ý (khoản 1 Điều 19 của Luật), như thực hiện hợp đồng lao động, hợp đồng với khách hàng, nghĩa vụ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Sự đồng ý phải tự nguyện, cho từng mục đích, thể hiện bằng phương thức kiểm chứng được; không mặc định đồng ý; im lặng không phải là đồng ý; Công ty lưu bằng chứng đồng ý (Điều 9 của Luật; Điều 6 Nghị định số 356/2025/NĐ-CP). Sử dụng Phiếu đồng ý mẫu BM-DLCN-03.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Công ty thông báo việc xử lý dữ liệu cá nhân cho người lao động theo Thông báo số </w:t>
      </w:r>
      <w:r>
        <w:rPr>
          <w:rFonts w:ascii="Times New Roman" w:cs="Times New Roman" w:eastAsia="Times New Roman" w:hAnsi="Times New Roman"/>
          <w:b w:val="false"/>
          <w:bCs w:val="false"/>
          <w:i w:val="false"/>
          <w:iCs w:val="false"/>
          <w:sz w:val="26"/>
          <w:szCs w:val="26"/>
          <w:highlight w:val="yellow"/>
        </w:rPr>
        <w:t xml:space="preserve">53/2026/TB-TURBO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cho ứng viên bằng thông báo đăng kèm tin tuyển dụng; cho khách đến trụ sở bằng biển thông báo camera. Biện pháp công nghệ theo dõi người lao động (camera, chấm công, nhật ký hệ thống, lọc thư) chỉ được áp dụng khi người lao động đã được thông báo rõ (khoản 3 Điều 25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Hồ sơ ứng viên chỉ gồm thông tin phục vụ tuyển dụng, được xử lý khi có đồng ý của ứng viên và xóa khi không tuyển dụng, trừ khi ứng viên đồng ý lưu vào nguồn ứng viên (khoản 1 Điều 25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Không dùng dữ liệu cho mục đích mới khi chưa có căn cứ; khi xử lý không cần đồng ý, Công ty vẫn thực hiện cơ chế giám sát tại khoản 2 Điều 19 của Luật thông qua Quy định này, Điều 8 và Điều 11.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Quyền của chủ thể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Chủ thể dữ liệu thực hiện các quyền tại khoản 1 Điều 4 của Luật theo Quy trình tiếp nhận, xử lý yêu cầu của chủ thể dữ liệu cá nhân ban hành kèm Quyết định số </w:t>
      </w:r>
      <w:r>
        <w:rPr>
          <w:rFonts w:ascii="Times New Roman" w:cs="Times New Roman" w:eastAsia="Times New Roman" w:hAnsi="Times New Roman"/>
          <w:b w:val="false"/>
          <w:bCs w:val="false"/>
          <w:i w:val="false"/>
          <w:iCs w:val="false"/>
          <w:sz w:val="26"/>
          <w:szCs w:val="26"/>
          <w:highlight w:val="yellow"/>
        </w:rPr>
        <w:t xml:space="preserve">54/2026/QĐ-TURBO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phản hồi trong 02 ngày làm việc; thời hạn thực hiện theo Điều 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Kênh tiếp nhận: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kênh này cũng dùng để tiếp nhận phản ánh, kiến nghị về dữ liệu cá nhân (điểm d khoản 2 Điều 19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đối xử bất lợi với người đã gửi yêu cầu. Việc rút lại đồng ý không ảnh hưởng đến việc xử lý đã thực hiện trước đó (khoản 4 Điều 10 của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Lưu trữ, xóa, hủy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Mỗi nhóm dữ liệu có một bộ phận giữ dữ liệu và một thời hạn lưu. Hết thời hạn, đã hoàn thành mục đích, theo yêu cầu hợp lệ của chủ thể hoặc theo thỏa thuận, dữ liệu phải được xóa, hủy (khoản 1 Điều 14 của Luật), trừ phần pháp luật buộc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33"/>
        <w:gridCol w:w="2066"/>
        <w:gridCol w:w="2578"/>
        <w:gridCol w:w="2148"/>
      </w:tblGrid>
      <w:tr>
        <w:trPr>
          <w:cantSplit/>
          <w:tblHeader/>
        </w:trPr>
        <w:tc>
          <w:tcPr>
            <w:tcW w:type="dxa" w:w="22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Nhóm dữ liệu</w:t>
            </w:r>
          </w:p>
        </w:tc>
        <w:tc>
          <w:tcPr>
            <w:tcW w:type="dxa" w:w="20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Bộ phận giữ dữ liệu</w:t>
            </w:r>
          </w:p>
        </w:tc>
        <w:tc>
          <w:tcPr>
            <w:tcW w:type="dxa" w:w="25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Thời hạn lưu</w:t>
            </w:r>
          </w:p>
        </w:tc>
        <w:tc>
          <w:tcPr>
            <w:tcW w:type="dxa" w:w="21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Cách xóa, hủy</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ứng viên không trúng tuyển</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w:t>
            </w:r>
            <w:r>
              <w:rPr>
                <w:rFonts w:ascii="Times New Roman" w:cs="Times New Roman" w:eastAsia="Times New Roman" w:hAnsi="Times New Roman"/>
                <w:b w:val="false"/>
                <w:bCs w:val="false"/>
                <w:i w:val="false"/>
                <w:iCs w:val="false"/>
                <w:sz w:val="22"/>
                <w:szCs w:val="22"/>
              </w:rPr>
              <w:t xml:space="preserve"> kể từ ngày thông báo kết quả</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trên hộp thư tuyển dụng, hệ thống kế toán – nhân sự; hủy bản giấy</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ứng viên đồng ý lưu vào nguồn ứng viên</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 tháng</w:t>
            </w:r>
            <w:r>
              <w:rPr>
                <w:rFonts w:ascii="Times New Roman" w:cs="Times New Roman" w:eastAsia="Times New Roman" w:hAnsi="Times New Roman"/>
                <w:b w:val="false"/>
                <w:bCs w:val="false"/>
                <w:i w:val="false"/>
                <w:iCs w:val="false"/>
                <w:sz w:val="22"/>
                <w:szCs w:val="22"/>
              </w:rPr>
              <w:t xml:space="preserve"> kể từ ngày đồng ý, hoặc đến khi rút lại đồng ý</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nhân sự (số căn cước, địa chỉ, quan hệ gia đình, hợp đồng, trình độ)</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Thời gian làm việc và </w:t>
            </w:r>
            <w:r>
              <w:rPr>
                <w:rFonts w:ascii="Times New Roman" w:cs="Times New Roman" w:eastAsia="Times New Roman" w:hAnsi="Times New Roman"/>
                <w:b w:val="false"/>
                <w:bCs w:val="false"/>
                <w:i w:val="false"/>
                <w:iCs w:val="false"/>
                <w:sz w:val="22"/>
                <w:szCs w:val="22"/>
                <w:highlight w:val="yellow"/>
              </w:rPr>
              <w:t xml:space="preserve">12 tháng</w:t>
            </w:r>
            <w:r>
              <w:rPr>
                <w:rFonts w:ascii="Times New Roman" w:cs="Times New Roman" w:eastAsia="Times New Roman" w:hAnsi="Times New Roman"/>
                <w:b w:val="false"/>
                <w:bCs w:val="false"/>
                <w:i w:val="false"/>
                <w:iCs w:val="false"/>
                <w:sz w:val="22"/>
                <w:szCs w:val="22"/>
              </w:rPr>
              <w:t xml:space="preserve"> sau khi chấm dứt hợp đồng lao động (theo thỏa thuận trong hợp đồng lao động)</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trên hệ thống; hủy bản giấy có biên bản</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chụp thẻ căn cước (nhạy cảm)</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Đến khi hoàn thành thủ tục bảo hiểm xã hội, chậm nhất khi nghỉ việc, hoặc khi rút lại đồng ý</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an toàn thư mục mã hóa; ghi sổ</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Giấy khám sức khỏe, nghỉ ốm, thai sản (nhạy cảm)</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Tài chính – Kế toán</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thời gian làm việc; xóa, hủy khi chấm dứt hợp đồng lao động, trừ hồ sơ pháp luật buộc lưu</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Chứng từ lương, thuế, bảo hiểm xã hội, dữ liệu chấm công</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Tài chính – Kế toán</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thời hạn pháp luật về kế toán, thuế, bảo hiểm xã hội</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Hủy theo quy định về hủy chứng từ</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Hộp thư, tài khoản của người nghỉ việc</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Khóa trong ngày nghỉ việc; hộp thư lưu </w:t>
            </w:r>
            <w:r>
              <w:rPr>
                <w:rFonts w:ascii="Times New Roman" w:cs="Times New Roman" w:eastAsia="Times New Roman" w:hAnsi="Times New Roman"/>
                <w:b w:val="false"/>
                <w:bCs w:val="false"/>
                <w:i w:val="false"/>
                <w:iCs w:val="false"/>
                <w:sz w:val="22"/>
                <w:szCs w:val="22"/>
                <w:highlight w:val="yellow"/>
              </w:rPr>
              <w:t xml:space="preserve">30 ngày</w:t>
            </w:r>
            <w:r>
              <w:rPr>
                <w:rFonts w:ascii="Times New Roman" w:cs="Times New Roman" w:eastAsia="Times New Roman" w:hAnsi="Times New Roman"/>
                <w:b w:val="false"/>
                <w:bCs w:val="false"/>
                <w:i w:val="false"/>
                <w:iCs w:val="false"/>
                <w:sz w:val="22"/>
                <w:szCs w:val="22"/>
              </w:rPr>
              <w:t xml:space="preserve"> để bàn giao rồi xóa; bản sao lưu tự hết hạn sau </w:t>
            </w:r>
            <w:r>
              <w:rPr>
                <w:rFonts w:ascii="Times New Roman" w:cs="Times New Roman" w:eastAsia="Times New Roman" w:hAnsi="Times New Roman"/>
                <w:b w:val="false"/>
                <w:bCs w:val="false"/>
                <w:i w:val="false"/>
                <w:iCs w:val="false"/>
                <w:sz w:val="22"/>
                <w:szCs w:val="22"/>
                <w:highlight w:val="yellow"/>
              </w:rPr>
              <w:t xml:space="preserve">30 ngày</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Yêu cầu nhà cung cấp xóa; lưu xác nhận</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bạ khách hàng, đối tác là cá nhân</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Kinh doanh</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w:t>
            </w:r>
            <w:r>
              <w:rPr>
                <w:rFonts w:ascii="Times New Roman" w:cs="Times New Roman" w:eastAsia="Times New Roman" w:hAnsi="Times New Roman"/>
                <w:b w:val="false"/>
                <w:bCs w:val="false"/>
                <w:i w:val="false"/>
                <w:iCs w:val="false"/>
                <w:sz w:val="22"/>
                <w:szCs w:val="22"/>
                <w:highlight w:val="yellow"/>
              </w:rPr>
              <w:t xml:space="preserve">01 lần/năm</w:t>
            </w:r>
            <w:r>
              <w:rPr>
                <w:rFonts w:ascii="Times New Roman" w:cs="Times New Roman" w:eastAsia="Times New Roman" w:hAnsi="Times New Roman"/>
                <w:b w:val="false"/>
                <w:bCs w:val="false"/>
                <w:i w:val="false"/>
                <w:iCs w:val="false"/>
                <w:sz w:val="22"/>
                <w:szCs w:val="22"/>
              </w:rPr>
              <w:t xml:space="preserve">; xóa người liên hệ không còn giao dịch sau </w:t>
            </w:r>
            <w:r>
              <w:rPr>
                <w:rFonts w:ascii="Times New Roman" w:cs="Times New Roman" w:eastAsia="Times New Roman" w:hAnsi="Times New Roman"/>
                <w:b w:val="false"/>
                <w:bCs w:val="false"/>
                <w:i w:val="false"/>
                <w:iCs w:val="false"/>
                <w:sz w:val="22"/>
                <w:szCs w:val="22"/>
                <w:highlight w:val="yellow"/>
              </w:rPr>
              <w:t xml:space="preserve">24 tháng</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trên bảng tính dùng chung</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camera</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w:t>
            </w:r>
            <w:r>
              <w:rPr>
                <w:rFonts w:ascii="Times New Roman" w:cs="Times New Roman" w:eastAsia="Times New Roman" w:hAnsi="Times New Roman"/>
                <w:b w:val="false"/>
                <w:bCs w:val="false"/>
                <w:i w:val="false"/>
                <w:iCs w:val="false"/>
                <w:sz w:val="22"/>
                <w:szCs w:val="22"/>
              </w:rPr>
              <w:t xml:space="preserve">, tự ghi đè; đoạn trích xuất phục vụ sự cố lưu theo hồ sơ sự cố</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đè tự động</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hệ thống, nhật ký truy cập</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tự động theo cấu hình</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Bằng chứng đồng ý</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phận xin đồng ý</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thời gian xử lý dựa trên sự đồng ý và </w:t>
            </w:r>
            <w:r>
              <w:rPr>
                <w:rFonts w:ascii="Times New Roman" w:cs="Times New Roman" w:eastAsia="Times New Roman" w:hAnsi="Times New Roman"/>
                <w:b w:val="false"/>
                <w:bCs w:val="false"/>
                <w:i w:val="false"/>
                <w:iCs w:val="false"/>
                <w:sz w:val="22"/>
                <w:szCs w:val="22"/>
                <w:highlight w:val="yellow"/>
              </w:rPr>
              <w:t xml:space="preserve">03 năm</w:t>
            </w:r>
            <w:r>
              <w:rPr>
                <w:rFonts w:ascii="Times New Roman" w:cs="Times New Roman" w:eastAsia="Times New Roman" w:hAnsi="Times New Roman"/>
                <w:b w:val="false"/>
                <w:bCs w:val="false"/>
                <w:i w:val="false"/>
                <w:iCs w:val="false"/>
                <w:sz w:val="22"/>
                <w:szCs w:val="22"/>
              </w:rPr>
              <w:t xml:space="preserve"> sau khi rút lại hoặc kết thúc</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hủy</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và hồ sơ yêu cầu của chủ thể dữ liệu</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05 năm</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hủy</w:t>
            </w:r>
          </w:p>
        </w:tc>
      </w:tr>
      <w:tr>
        <w:trPr>
          <w:cantSplit/>
          <w:tblHeader w:val="false"/>
        </w:trPr>
        <w:tc>
          <w:tcPr>
            <w:tcW w:type="dxa" w:w="22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vi phạm, sự cố, biên bản xác nhận vi phạm</w:t>
            </w:r>
          </w:p>
        </w:tc>
        <w:tc>
          <w:tcPr>
            <w:tcW w:type="dxa" w:w="2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05 năm</w:t>
            </w:r>
            <w:r>
              <w:rPr>
                <w:rFonts w:ascii="Times New Roman" w:cs="Times New Roman" w:eastAsia="Times New Roman" w:hAnsi="Times New Roman"/>
                <w:b w:val="false"/>
                <w:bCs w:val="false"/>
                <w:i w:val="false"/>
                <w:iCs w:val="false"/>
                <w:sz w:val="22"/>
                <w:szCs w:val="22"/>
              </w:rPr>
              <w:t xml:space="preserve"> kể từ ngày khắc phục xong</w:t>
            </w:r>
          </w:p>
        </w:tc>
        <w:tc>
          <w:tcPr>
            <w:tcW w:type="dxa" w:w="2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hủy</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Xóa, hủy bằng biện pháp an toàn, không khôi phục được; ngăn chặn việc khôi phục trái phép (khoản 3, khoản 4 Điều 14 của Luật). Bản sao lưu được xóa theo chu kỳ sao lưu và không được khôi phục để dùng lại. Thiết bị lưu trữ thanh lý phải được xóa sạch theo Điều 17 Quy chế bảo đảm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Dữ liệu do nhà cung cấp dịch vụ xử lý: Công ty yêu cầu nhà cung cấp xóa, hủy hoặc trả lại khi hết thời hạn, khi chủ thể yêu cầu hợp lệ hoặc khi chấm dứt hợp đồng, và nhận xác nhận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Không xóa khi pháp luật buộc lưu hoặc thuộc trường hợp tại Điều 19 của Luật; khi không thể xóa theo yêu cầu, thông báo lý do cho chủ thể (khoản 5 Điều 14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Bộ phận giữ dữ liệu thực hiện xóa, hủy định kỳ </w:t>
      </w:r>
      <w:r>
        <w:rPr>
          <w:rFonts w:ascii="Times New Roman" w:cs="Times New Roman" w:eastAsia="Times New Roman" w:hAnsi="Times New Roman"/>
          <w:b w:val="false"/>
          <w:bCs w:val="false"/>
          <w:i w:val="false"/>
          <w:iCs w:val="false"/>
          <w:sz w:val="26"/>
          <w:szCs w:val="26"/>
          <w:highlight w:val="yellow"/>
        </w:rPr>
        <w:t xml:space="preserve">hằng quý</w:t>
      </w:r>
      <w:r>
        <w:rPr>
          <w:rFonts w:ascii="Times New Roman" w:cs="Times New Roman" w:eastAsia="Times New Roman" w:hAnsi="Times New Roman"/>
          <w:b w:val="false"/>
          <w:bCs w:val="false"/>
          <w:i w:val="false"/>
          <w:iCs w:val="false"/>
          <w:sz w:val="26"/>
          <w:szCs w:val="26"/>
        </w:rPr>
        <w:t xml:space="preserve"> và lập danh sách (không ghi lại nội dung dữ liệu đã xóa) gửi nhân sự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Phân quyền và biện pháp bảo vệ</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Biện pháp kỹ thuật (tài khoản, xác thực nhiều lớp, mã hóa, sao lưu, nhật ký, phòng chống mã độc) thực hiện theo Quy chế bảo đảm an ninh mạng ban hành kèm Quyết định số </w:t>
      </w:r>
      <w:r>
        <w:rPr>
          <w:rFonts w:ascii="Times New Roman" w:cs="Times New Roman" w:eastAsia="Times New Roman" w:hAnsi="Times New Roman"/>
          <w:b w:val="false"/>
          <w:bCs w:val="false"/>
          <w:i w:val="false"/>
          <w:iCs w:val="false"/>
          <w:sz w:val="26"/>
          <w:szCs w:val="26"/>
          <w:highlight w:val="yellow"/>
        </w:rPr>
        <w:t xml:space="preserve">41/2026/QĐ-TURBO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05/10/2026</w:t>
      </w:r>
      <w:r>
        <w:rPr>
          <w:rFonts w:ascii="Times New Roman" w:cs="Times New Roman" w:eastAsia="Times New Roman" w:hAnsi="Times New Roman"/>
          <w:b w:val="false"/>
          <w:bCs w:val="false"/>
          <w:i w:val="false"/>
          <w:iCs w:val="false"/>
          <w:sz w:val="26"/>
          <w:szCs w:val="26"/>
        </w:rPr>
        <w:t xml:space="preserve">. Dữ liệu cá nhân trên dịch vụ điện toán đám mây phải được mã hóa khi lưu và khi truyền, kèm phân quyền truy cập nghiêm ngặt (khoản 4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Quyền truy cập dữ liệu cá nhân cấp theo nhu cầu công việc, do trưởng bộ phận giữ dữ liệu đề nghị,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thực hiện; rà soát quyền truy cập dữ liệu cá nhân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thu hồi trong ngày khi người lao động nghỉ việc, chuyển vị trí.</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Chia sẻ dữ liệu cá nhân giữa các phòng, ban chỉ được thực hiện đúng mục đích đã xác lập, khi trưởng bộ phận giữ dữ liệu đồng ý bằng văn bản hoặc qua quy trình trên hệ thống, và qua kênh nội bộ được phép (khoản 4 Điều 7 Nghị định số 356/2025/NĐ-CP). Người lao động không được chia sẻ dữ liệu cá nhân cho bên ngoài ngoài nhiệm vụ được giao; mọi người được cấp quyền truy cập ký Bản cam kết bảo mật (mẫu BM-DLCN-04) trước khi được cấp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Gửi dữ liệu nhạy cảm hoặc danh sách nhiều người: mã hóa hoặc đặt mật khẩu cho tệp, gửi mật khẩu qua kênh khác; thiết bị lưu trữ di động phải được mã hóa (khoản 2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Hình ảnh camera, nhật ký hệ thống chỉ được xem, trích xuất bởi người được giao, cho mục đích đã thông báo; mọi lần trích xuất được ghi sổ. Nội dung thư điện tử của người lao động chỉ được mở theo điểm c mục 6 Thông báo số </w:t>
      </w:r>
      <w:r>
        <w:rPr>
          <w:rFonts w:ascii="Times New Roman" w:cs="Times New Roman" w:eastAsia="Times New Roman" w:hAnsi="Times New Roman"/>
          <w:b w:val="false"/>
          <w:bCs w:val="false"/>
          <w:i w:val="false"/>
          <w:iCs w:val="false"/>
          <w:sz w:val="26"/>
          <w:szCs w:val="26"/>
          <w:highlight w:val="yellow"/>
        </w:rPr>
        <w:t xml:space="preserve">53/2026/TB-TURBO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Bên xử lý, bên nhận và chuyển dữ liệu ra nước ngoài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Nhà cung cấp dịch vụ chỉ được tiếp nhận dữ liệu cá nhân sau khi có hợp đồng hoặc phụ lục hợp đồng về bảo vệ dữ liệu cá nhân (điểm a khoản 2 Điều 37 của Luật) có đủ nội dung tại khoản 1 Điều 7 và khoản 2 Điều 12 Nghị định số 356/2025/NĐ-CP. Nhân sự bảo vệ dữ liệu cá nhân rà soát trước khi ký;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duy trì danh sách nhà cung cấp có xử lý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Cung cấp dữ liệu cho cơ quan nhà nước chỉ khi có yêu cầu bằng văn bản hoặc theo quy định của pháp luật (bảo hiểm xã hội, thuế); ghi sổ việc cung cấp. Không mua, bán dữ liệu cá nhân dưới mọi hình thức.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Hiện trạng chuyển dữ liệu cá nhân ra nước ngoài: </w:t>
      </w:r>
      <w:r>
        <w:rPr>
          <w:rFonts w:ascii="Times New Roman" w:cs="Times New Roman" w:eastAsia="Times New Roman" w:hAnsi="Times New Roman"/>
          <w:b w:val="false"/>
          <w:bCs w:val="false"/>
          <w:i w:val="false"/>
          <w:iCs w:val="false"/>
          <w:sz w:val="26"/>
          <w:szCs w:val="26"/>
          <w:highlight w:val="yellow"/>
        </w:rPr>
        <w:t xml:space="preserve">không chuyển; thư điện tử lưu trên dịch vụ đám mây của Công ty TNHH Dữ liệu Mẫu, máy chủ tại TP. Hồ Chí Minh, dự phòng tại Hà Nội</w:t>
      </w:r>
      <w:r>
        <w:rPr>
          <w:rFonts w:ascii="Times New Roman" w:cs="Times New Roman" w:eastAsia="Times New Roman" w:hAnsi="Times New Roman"/>
          <w:b w:val="false"/>
          <w:bCs w:val="false"/>
          <w:i w:val="false"/>
          <w:iCs w:val="false"/>
          <w:sz w:val="26"/>
          <w:szCs w:val="26"/>
        </w:rPr>
        <w:t xml:space="preserve">. Trước khi sử dụng dịch vụ có máy chủ, bản sao lưu, nhà thầu phụ hoặc nhân sự hỗ trợ ở nước ngoài, phải có ý kiến của nhân sự bảo vệ dữ liệu cá nhân; nếu thuộc trường hợp chuyển dữ liệu cá nhân xuyên biên giới (khoản 1 Điều 20 của Luật) thì lập hồ sơ đánh giá tác động chuyển dữ liệu cá nhân xuyên biên giới và nộp trong 60 ngày kể từ ngày đầu tiên chuyển (khoản 2 Điều 20 của Luật), trừ trường hợp tại khoản 6 Điều 20 của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Sự cố và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phát hiện hoặc nghi ngờ dữ liệu cá nhân bị lộ, mất, gửi nhầm, truy cập trái phép báo ngay, chậm nhất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giờ,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Không tự xử lý, không xóa dấu vết.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Xử lý theo Quy trình ứng phó sự cố an ninh mạng của Công ty; nhân sự bảo vệ dữ liệu cá nhân tham gia bước phân loại.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Vi phạm có thể gây tổn hại đến quốc phòng, an ninh quốc gia, trật tự, an toàn xã hội hoặc xâm phạm tính mạng, sức khỏe, danh dự, nhân phẩm, tài sản của chủ thể: thông báo cho cơ quan chuyên trách bảo vệ dữ liệu cá nhân chậm nhất 72 giờ kể từ khi phát hiện (khoản 1 Điều 23 của Luật), theo Mẫu số 08 Phụ lục Nghị định số 356/2025/NĐ-CP, gửi đến cơ quan chuyên trách hoặc qua Cổng thông tin quốc gia về bảo vệ dữ liệu cá nhân (Điều 28 Nghị định số 356/2025/NĐ-CP); lập biên bản xác nhận về việc xảy ra hành vi vi phạm (khoản 2 Điều 23 của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Vi phạm liên quan đến dữ liệu vị trí hoặc dữ liệu sinh trắc học (nếu phát sinh): thông báo thêm cho chủ thể bị ảnh hưởng trong 72 giờ (Điều 29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Nhà cung cấp phát hiện vi phạm phải thông báo cho Công ty trong thời hạn tại hợp đồng. Công ty áp dụng biện pháp ngăn chặn, khắc phục và phối hợp với cơ quan chuyên trách (khoản 4 Điều 23 của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Đánh giá tác động, kiểm tra và đào tạo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Hồ sơ đánh giá tác động xử lý dữ liệu cá nhân (theo Phiếu xác định diện miễn trừ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Công ty lập, lưu hồ sơ đánh giá tác động tại trụ sở, luôn sẵn sàng phục vụ kiểm tra và nộp 01 bản chính trong 60 ngày kể từ ngày tiến hành xử lý dữ liệu cá nhân (khoản 1 Điều 21 của Luật; khoản 4 Điều 19 Nghị định số 356/2025/NĐ-CP). Nơi nộp: </w:t>
      </w:r>
      <w:r>
        <w:rPr>
          <w:rFonts w:ascii="Times New Roman" w:cs="Times New Roman" w:eastAsia="Times New Roman" w:hAnsi="Times New Roman"/>
          <w:b w:val="false"/>
          <w:bCs w:val="false"/>
          <w:i w:val="false"/>
          <w:iCs w:val="false"/>
          <w:sz w:val="26"/>
          <w:szCs w:val="26"/>
          <w:highlight w:val="yellow"/>
        </w:rPr>
        <w:t xml:space="preserve">Bộ Công an, qua Cổng Dịch vụ công quốc gia hoặc trực tiếp, qua dịch vụ bưu chính (Phụ lục I.7 Phần B mục II, III Nghị quyết số 22/2026/NQ-CP)</w:t>
      </w:r>
      <w:r>
        <w:rPr>
          <w:rFonts w:ascii="Times New Roman" w:cs="Times New Roman" w:eastAsia="Times New Roman" w:hAnsi="Times New Roman"/>
          <w:b w:val="false"/>
          <w:bCs w:val="false"/>
          <w:i w:val="false"/>
          <w:iCs w:val="false"/>
          <w:sz w:val="26"/>
          <w:szCs w:val="26"/>
        </w:rPr>
        <w:t xml:space="preserve">. Hồ sơ được cập nhật theo khoản 2 Điều này.</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Công ty thuộc đối tượng được miễn trừ và không thực hiện Điều 21, Điều 22 của Luật trong thời gian được miễn trừ. Bảng kiểm kê dữ liệu cá nhân và Phiếu xác định diện miễn trừ được rà soát hằng năm và ngay khi phát sinh trường hợp không được miễn trừ; khi đó Công ty lập hồ sơ đánh giá tác động trong 60 ngày kể từ ngày phát sinh.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thực hiện khoản 1 Điều này, nhân sự bảo vệ dữ liệu cá nhân rà soát hồ sơ đánh giá tác động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và trình cập nhật (Mẫu số 03a Phụ lục Nghị định số 356/2025/NĐ-CP):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Định kỳ 06 tháng kể từ lần đầu nộp hồ sơ, khi phát sinh mục đích xử lý mới hoặc phát sinh, thay đổi bên kiểm soát, bên kiểm soát và xử lý, bên xử lý, bên thứ ba (khoản 1 Điều 20 Nghị định số 356/2025/NĐ-CP);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Trong thời hạn 10 ngày khi Công ty được tổ chức lại, chấm dứt hoạt động, giải thể, phá sản; khi thay đổi thông tin về tổ chức, cá nhân cung cấp dịch vụ bảo vệ dữ liệu cá nhân; khi phát sinh hoặc thay đổi ngành, nghề, dịch vụ kinh doanh liên quan đến xử lý dữ liệu cá nhân đã đăng ký trong hồ sơ (khoản 2 Điều 20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Trưởng các phòng, ban báo nhân sự bảo vệ dữ liệu cá nhân trước khi triển khai hoạt động xử lý mới, thay đổi nhà cung cấp theo thời hạn tại Quyết định chỉ định, để cập nhật bảng kiểm kê và hồ sơ đánh giá tác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Nhân sự bảo vệ dữ liệu cá nhân đánh giá việc tuân thủ Quy định này và pháp luật về bảo vệ dữ liệu cá nhân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kết hợp với tự đánh giá an ninh mạng hằng năm; báo cáo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kết quả, rủi ro và kiến nghị.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Người lao động được phổ biến Quy định này khi nhận việc và được đào tạo nhận thức về bảo vệ dữ liệu cá nhân tối thiểu 01 lần/năm, gộp với đào tạo nhận thức an ninh mạng trong kế hoạch năm.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lao động vi phạm Quy định này bị xử lý kỷ luật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bồi thường thiệt hại theo quy định của pháp luật; nhà cung cấp vi phạm bị xử lý theo hợp đồng.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Quy định này được rà soát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khi pháp luật, hoạt động xử lý dữ liệu cá nhân thay đổi.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chủ trì rà soát, trình sửa đổi, bổ sung.</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Quyết định ban hành Quy định bảo vệ dữ liệu cá nhân</dc:title>
  <dc:creator>vn-cyber-compliance</dc:creator>
  <cp:lastModifiedBy>Un-named</cp:lastModifiedBy>
  <cp:revision>1</cp:revision>
  <dcterms:created xsi:type="dcterms:W3CDTF">2026-09-29T06:06:19.546Z</dcterms:created>
  <dcterms:modified xsi:type="dcterms:W3CDTF">2026-09-29T06:06:19.546Z</dcterms:modified>
</cp:coreProperties>
</file>

<file path=docProps/custom.xml><?xml version="1.0" encoding="utf-8"?>
<Properties xmlns="http://schemas.openxmlformats.org/officeDocument/2006/custom-properties" xmlns:vt="http://schemas.openxmlformats.org/officeDocument/2006/docPropsVTypes"/>
</file>