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60/2026/CV-TURBO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25</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11</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THÔNG BÁO</w:t>
      </w:r>
    </w:p>
    <w:p>
      <w:pPr>
        <w:keepNext/>
        <w:spacing w:after="180" w:before="0" w:line="240" w:lineRule="auto"/>
        <w:jc w:val="center"/>
      </w:pPr>
      <w:r>
        <w:rPr>
          <w:rFonts w:ascii="Times New Roman" w:cs="Times New Roman" w:eastAsia="Times New Roman" w:hAnsi="Times New Roman"/>
          <w:b/>
          <w:bCs/>
          <w:i w:val="false"/>
          <w:iCs w:val="false"/>
          <w:sz w:val="28"/>
          <w:szCs w:val="28"/>
        </w:rPr>
        <w:t xml:space="preserve">GỬI HỒ SƠ ĐÁNH GIÁ TÁC ĐỘNG XỬ LÝ DỮ LIỆU CÁ NHÂN</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Cơ quan chuyên trách bảo vệ dữ liệu cá nhân, Bộ Công an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Thực hiện quy định về bảo vệ dữ liệu cá nhân,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¹ xin gửi Cơ quan chuyên trách bảo vệ dữ liệu cá nhân, Bộ Công an Hồ sơ đánh giá tác động xử lý dữ liệu cá nhân, như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Thông tin về tổ chức, doanh nghiệp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Tên tổ chức, doanh nghiệp (tiếng Việt - tiếng nước ngoài):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TURBO TECHNOLOGY SOLUTIONS JOINT STOCK COMPANY (giả lập)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chỉ trụ sở chính: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chỉ trụ sở giao dịch: </w:t>
      </w:r>
      <w:r>
        <w:rPr>
          <w:rFonts w:ascii="Times New Roman" w:cs="Times New Roman" w:eastAsia="Times New Roman" w:hAnsi="Times New Roman"/>
          <w:b w:val="false"/>
          <w:bCs w:val="false"/>
          <w:i w:val="false"/>
          <w:iCs w:val="false"/>
          <w:sz w:val="26"/>
          <w:szCs w:val="26"/>
          <w:highlight w:val="yellow"/>
        </w:rPr>
        <w:t xml:space="preserve">Như địa chỉ trụ sở chính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Loại hình doanh nghiệp (trong nước/ngoài nước): </w:t>
      </w:r>
      <w:r>
        <w:rPr>
          <w:rFonts w:ascii="Times New Roman" w:cs="Times New Roman" w:eastAsia="Times New Roman" w:hAnsi="Times New Roman"/>
          <w:b w:val="false"/>
          <w:bCs w:val="false"/>
          <w:i w:val="false"/>
          <w:iCs w:val="false"/>
          <w:sz w:val="26"/>
          <w:szCs w:val="26"/>
          <w:highlight w:val="yellow"/>
        </w:rPr>
        <w:t xml:space="preserve">Công ty cổ phần — doanh nghiệp trong nước (doanh nghiệp nhỏ)</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Quyết định thành lập/Giấy chứng nhận đăng ký doanh nghiệp/Giấy chứng nhận đăng ký kinh doanh/Giấy chứng nhận đầu tư số: </w:t>
      </w:r>
      <w:r>
        <w:rPr>
          <w:rFonts w:ascii="Times New Roman" w:cs="Times New Roman" w:eastAsia="Times New Roman" w:hAnsi="Times New Roman"/>
          <w:b w:val="false"/>
          <w:bCs w:val="false"/>
          <w:i w:val="false"/>
          <w:iCs w:val="false"/>
          <w:sz w:val="26"/>
          <w:szCs w:val="26"/>
          <w:highlight w:val="yellow"/>
        </w:rPr>
        <w:t xml:space="preserve">0000000001 (giả lập)</w:t>
      </w:r>
      <w:r>
        <w:rPr>
          <w:rFonts w:ascii="Times New Roman" w:cs="Times New Roman" w:eastAsia="Times New Roman" w:hAnsi="Times New Roman"/>
          <w:b w:val="false"/>
          <w:bCs w:val="false"/>
          <w:i w:val="false"/>
          <w:iCs w:val="false"/>
          <w:sz w:val="26"/>
          <w:szCs w:val="26"/>
        </w:rPr>
        <w:t xml:space="preserve"> do </w:t>
      </w:r>
      <w:r>
        <w:rPr>
          <w:rFonts w:ascii="Times New Roman" w:cs="Times New Roman" w:eastAsia="Times New Roman" w:hAnsi="Times New Roman"/>
          <w:b w:val="false"/>
          <w:bCs w:val="false"/>
          <w:i w:val="false"/>
          <w:iCs w:val="false"/>
          <w:sz w:val="26"/>
          <w:szCs w:val="26"/>
          <w:highlight w:val="yellow"/>
        </w:rPr>
        <w:t xml:space="preserve">Phòng Đăng ký kinh doanh</w:t>
      </w:r>
      <w:r>
        <w:rPr>
          <w:rFonts w:ascii="Times New Roman" w:cs="Times New Roman" w:eastAsia="Times New Roman" w:hAnsi="Times New Roman"/>
          <w:b w:val="false"/>
          <w:bCs w:val="false"/>
          <w:i w:val="false"/>
          <w:iCs w:val="false"/>
          <w:sz w:val="26"/>
          <w:szCs w:val="26"/>
        </w:rPr>
        <w:t xml:space="preserve"> cấp ngày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tháng </w:t>
      </w:r>
      <w:r>
        <w:rPr>
          <w:rFonts w:ascii="Times New Roman" w:cs="Times New Roman" w:eastAsia="Times New Roman" w:hAnsi="Times New Roman"/>
          <w:b w:val="false"/>
          <w:bCs w:val="false"/>
          <w:i w:val="false"/>
          <w:iCs w:val="false"/>
          <w:sz w:val="26"/>
          <w:szCs w:val="26"/>
          <w:highlight w:val="yellow"/>
        </w:rPr>
        <w:t xml:space="preserve">3</w:t>
      </w:r>
      <w:r>
        <w:rPr>
          <w:rFonts w:ascii="Times New Roman" w:cs="Times New Roman" w:eastAsia="Times New Roman" w:hAnsi="Times New Roman"/>
          <w:b w:val="false"/>
          <w:bCs w:val="false"/>
          <w:i w:val="false"/>
          <w:iCs w:val="false"/>
          <w:sz w:val="26"/>
          <w:szCs w:val="26"/>
        </w:rPr>
        <w:t xml:space="preserve"> năm </w:t>
      </w:r>
      <w:r>
        <w:rPr>
          <w:rFonts w:ascii="Times New Roman" w:cs="Times New Roman" w:eastAsia="Times New Roman" w:hAnsi="Times New Roman"/>
          <w:b w:val="false"/>
          <w:bCs w:val="false"/>
          <w:i w:val="false"/>
          <w:iCs w:val="false"/>
          <w:sz w:val="26"/>
          <w:szCs w:val="26"/>
          <w:highlight w:val="yellow"/>
        </w:rPr>
        <w:t xml:space="preserve">2015</w:t>
      </w:r>
      <w:r>
        <w:rPr>
          <w:rFonts w:ascii="Times New Roman" w:cs="Times New Roman" w:eastAsia="Times New Roman" w:hAnsi="Times New Roman"/>
          <w:b w:val="false"/>
          <w:bCs w:val="false"/>
          <w:i w:val="false"/>
          <w:iCs w:val="false"/>
          <w:sz w:val="26"/>
          <w:szCs w:val="26"/>
        </w:rPr>
        <w:t xml:space="preserve"> tại </w:t>
      </w:r>
      <w:r>
        <w:rPr>
          <w:rFonts w:ascii="Times New Roman" w:cs="Times New Roman" w:eastAsia="Times New Roman" w:hAnsi="Times New Roman"/>
          <w:b w:val="false"/>
          <w:bCs w:val="false"/>
          <w:i w:val="false"/>
          <w:iCs w:val="false"/>
          <w:sz w:val="26"/>
          <w:szCs w:val="26"/>
          <w:highlight w:val="yellow"/>
        </w:rPr>
        <w:t xml:space="preserve">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Mã số thuế: </w:t>
      </w:r>
      <w:r>
        <w:rPr>
          <w:rFonts w:ascii="Times New Roman" w:cs="Times New Roman" w:eastAsia="Times New Roman" w:hAnsi="Times New Roman"/>
          <w:b w:val="false"/>
          <w:bCs w:val="false"/>
          <w:i w:val="false"/>
          <w:iCs w:val="false"/>
          <w:sz w:val="26"/>
          <w:szCs w:val="26"/>
          <w:highlight w:val="yellow"/>
        </w:rPr>
        <w:t xml:space="preserve">0000000001 (giả lập)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Người đại diện theo pháp luật: </w:t>
      </w:r>
      <w:r>
        <w:rPr>
          <w:rFonts w:ascii="Times New Roman" w:cs="Times New Roman" w:eastAsia="Times New Roman" w:hAnsi="Times New Roman"/>
          <w:b w:val="false"/>
          <w:bCs w:val="false"/>
          <w:i w:val="false"/>
          <w:iCs w:val="false"/>
          <w:sz w:val="26"/>
          <w:szCs w:val="26"/>
          <w:highlight w:val="yellow"/>
        </w:rPr>
        <w:t xml:space="preserve">Nguyễn Văn An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Điện thoại: </w:t>
      </w:r>
      <w:r>
        <w:rPr>
          <w:rFonts w:ascii="Times New Roman" w:cs="Times New Roman" w:eastAsia="Times New Roman" w:hAnsi="Times New Roman"/>
          <w:b w:val="false"/>
          <w:bCs w:val="false"/>
          <w:i w:val="false"/>
          <w:iCs w:val="false"/>
          <w:sz w:val="26"/>
          <w:szCs w:val="26"/>
          <w:highlight w:val="yellow"/>
        </w:rPr>
        <w:t xml:space="preserve">028 1234 5678</w:t>
      </w:r>
      <w:r>
        <w:rPr>
          <w:rFonts w:ascii="Times New Roman" w:cs="Times New Roman" w:eastAsia="Times New Roman" w:hAnsi="Times New Roman"/>
          <w:b w:val="false"/>
          <w:bCs w:val="false"/>
          <w:i w:val="false"/>
          <w:iCs w:val="false"/>
          <w:sz w:val="26"/>
          <w:szCs w:val="26"/>
        </w:rPr>
        <w:t xml:space="preserve"> Website: </w:t>
      </w:r>
      <w:r>
        <w:rPr>
          <w:rFonts w:ascii="Times New Roman" w:cs="Times New Roman" w:eastAsia="Times New Roman" w:hAnsi="Times New Roman"/>
          <w:b w:val="false"/>
          <w:bCs w:val="false"/>
          <w:i w:val="false"/>
          <w:iCs w:val="false"/>
          <w:sz w:val="26"/>
          <w:szCs w:val="26"/>
          <w:highlight w:val="yellow"/>
        </w:rPr>
        <w:t xml:space="preserve">https://example.vn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Bộ phận, nhân sự bảo vệ dữ liệu cá nhân hoặc tổ chức, cá nhân cung cấp dịch vụ bảo vệ dữ liệu cá nhân: </w:t>
      </w:r>
      <w:r>
        <w:rPr>
          <w:rFonts w:ascii="Times New Roman" w:cs="Times New Roman" w:eastAsia="Times New Roman" w:hAnsi="Times New Roman"/>
          <w:b w:val="false"/>
          <w:bCs w:val="false"/>
          <w:i w:val="false"/>
          <w:iCs w:val="false"/>
          <w:sz w:val="26"/>
          <w:szCs w:val="26"/>
          <w:highlight w:val="yellow"/>
        </w:rPr>
        <w:t xml:space="preserve">Nhân sự bảo vệ dữ liệu cá nhân (kiêm nhiệm) thuộc Phòng Pháp chế, chỉ định tại Quyết định số 55/2026/QĐ-TURBO ngày 02/11/2026</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Họ và tên: </w:t>
      </w:r>
      <w:r>
        <w:rPr>
          <w:rFonts w:ascii="Times New Roman" w:cs="Times New Roman" w:eastAsia="Times New Roman" w:hAnsi="Times New Roman"/>
          <w:b w:val="false"/>
          <w:bCs w:val="false"/>
          <w:i w:val="false"/>
          <w:iCs w:val="false"/>
          <w:sz w:val="26"/>
          <w:szCs w:val="26"/>
          <w:highlight w:val="yellow"/>
        </w:rPr>
        <w:t xml:space="preserve">Phạm Thu Dung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Chức vụ: </w:t>
      </w:r>
      <w:r>
        <w:rPr>
          <w:rFonts w:ascii="Times New Roman" w:cs="Times New Roman" w:eastAsia="Times New Roman" w:hAnsi="Times New Roman"/>
          <w:b w:val="false"/>
          <w:bCs w:val="false"/>
          <w:i w:val="false"/>
          <w:iCs w:val="false"/>
          <w:sz w:val="26"/>
          <w:szCs w:val="26"/>
          <w:highlight w:val="yellow"/>
        </w:rPr>
        <w:t xml:space="preserve">Chuyên viên pháp chế</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Số điện thoại liên lạc (cố định và di động): </w:t>
      </w:r>
      <w:r>
        <w:rPr>
          <w:rFonts w:ascii="Times New Roman" w:cs="Times New Roman" w:eastAsia="Times New Roman" w:hAnsi="Times New Roman"/>
          <w:b w:val="false"/>
          <w:bCs w:val="false"/>
          <w:i w:val="false"/>
          <w:iCs w:val="false"/>
          <w:sz w:val="26"/>
          <w:szCs w:val="26"/>
          <w:highlight w:val="yellow"/>
        </w:rPr>
        <w:t xml:space="preserve">028 1234 5688</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0901 234 588</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Email: </w:t>
      </w:r>
      <w:r>
        <w:rPr>
          <w:rFonts w:ascii="Times New Roman" w:cs="Times New Roman" w:eastAsia="Times New Roman" w:hAnsi="Times New Roman"/>
          <w:b w:val="false"/>
          <w:bCs w:val="false"/>
          <w:i w:val="false"/>
          <w:iCs w:val="false"/>
          <w:sz w:val="26"/>
          <w:szCs w:val="26"/>
          <w:highlight w:val="yellow"/>
        </w:rPr>
        <w:t xml:space="preserve">dlcn@example.vn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Hồ sơ đánh giá tác động xử lý dữ liệu cá nhân (bao gồm các hồ sơ theo mẫu, tài liệu, văn bản, hình ảnh kèm theo)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w:t>
      </w:r>
      <w:r>
        <w:rPr>
          <w:rFonts w:ascii="Times New Roman" w:cs="Times New Roman" w:eastAsia="Times New Roman" w:hAnsi="Times New Roman"/>
          <w:b w:val="false"/>
          <w:bCs w:val="false"/>
          <w:i w:val="false"/>
          <w:iCs w:val="false"/>
          <w:sz w:val="26"/>
          <w:szCs w:val="26"/>
          <w:highlight w:val="yellow"/>
        </w:rPr>
        <w:t xml:space="preserve">Hồ sơ đánh giá tác động xử lý dữ liệu cá nhân theo Mẫu số 10 lập ngày 20/11/2026, kèm Phụ lục 1 — Sơ đồ luồng dữ liệu cá nhân và sơ đồ hệ thống.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w:t>
      </w:r>
      <w:r>
        <w:rPr>
          <w:rFonts w:ascii="Times New Roman" w:cs="Times New Roman" w:eastAsia="Times New Roman" w:hAnsi="Times New Roman"/>
          <w:b w:val="false"/>
          <w:bCs w:val="false"/>
          <w:i w:val="false"/>
          <w:iCs w:val="false"/>
          <w:sz w:val="26"/>
          <w:szCs w:val="26"/>
          <w:highlight w:val="yellow"/>
        </w:rPr>
        <w:t xml:space="preserve">Bản sao 03 hợp đồng và 01 phụ lục hợp đồng về xử lý dữ liệu cá nhân: Hợp đồng số 08/2026/HĐDV/TURBO-DLM và Phụ lục số PL-01 với Công ty TNHH Dữ liệu Mẫu; Hợp đồng số 03/2026/HĐDV/TURBO-PMM với Công ty TNHH Phần mềm Mẫu; Hợp đồng số 02/2026/HĐCL với Ngân hàng TMCP Mẫu.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w:t>
      </w:r>
      <w:r>
        <w:rPr>
          <w:rFonts w:ascii="Times New Roman" w:cs="Times New Roman" w:eastAsia="Times New Roman" w:hAnsi="Times New Roman"/>
          <w:b w:val="false"/>
          <w:bCs w:val="false"/>
          <w:i w:val="false"/>
          <w:iCs w:val="false"/>
          <w:sz w:val="26"/>
          <w:szCs w:val="26"/>
          <w:highlight w:val="yellow"/>
        </w:rPr>
        <w:t xml:space="preserve">11 chính sách, quy trình, quy định, biểu mẫu về bảo vệ dữ liệu cá nhân (liệt kê tại mục IV Phần A Hồ sơ theo Mẫu số 10).</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Cam kết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² xin cam kết chịu trách nhiệm về tính chính xác và tính hợp pháp của hồ sơ đánh giá tác động xử lý dữ liệu cá nhân cùng các tài liệu kèm theo và cam kết thực hiện đúng các quy định của pháp luật.</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PPC</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TM. TỔ CHỨC, DOANH NGHIỆP</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¹ Tên tổ chức, doanh nghiệp.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² Tên tổ chức, doanh nghiệp.</w:t>
      </w:r>
    </w:p>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HỒ SƠ</w:t>
      </w:r>
    </w:p>
    <w:p>
      <w:pPr>
        <w:keepNext/>
        <w:spacing w:after="180" w:before="0" w:line="240" w:lineRule="auto"/>
        <w:jc w:val="center"/>
      </w:pPr>
      <w:r>
        <w:rPr>
          <w:rFonts w:ascii="Times New Roman" w:cs="Times New Roman" w:eastAsia="Times New Roman" w:hAnsi="Times New Roman"/>
          <w:b/>
          <w:bCs/>
          <w:i w:val="false"/>
          <w:iCs w:val="false"/>
          <w:sz w:val="28"/>
          <w:szCs w:val="28"/>
        </w:rPr>
        <w:t xml:space="preserve">ĐÁNH GIÁ TÁC ĐỘNG XỬ LÝ DỮ LIỆU CÁ NHÂN</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PHẦN A. HỒ SƠ ĐÁNH GIÁ TÁC ĐỘNG XỬ LÝ DỮ LIỆU CÁ NHÂN CỦA BÊN NỘP HỒ SƠ</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 THÔNG TIN CƠ BẢN CỦA BÊN NỘP HỒ SƠ</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15"/>
        <w:gridCol w:w="3495"/>
        <w:gridCol w:w="4815"/>
      </w:tblGrid>
      <w:tr>
        <w:trPr>
          <w:cantSplit/>
          <w:tblHeader/>
        </w:trPr>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Mục</w:t>
            </w:r>
          </w:p>
        </w:tc>
        <w:tc>
          <w:tcPr>
            <w:tcW w:type="dxa" w:w="34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48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Kê khai</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w:t>
            </w:r>
          </w:p>
        </w:tc>
        <w:tc>
          <w:tcPr>
            <w:tcW w:type="dxa" w:w="34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Tên tổ chức/cá nhân (tiếng Việt):</w:t>
            </w:r>
          </w:p>
        </w:tc>
        <w:tc>
          <w:tcPr>
            <w:tcW w:type="dxa" w:w="4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1a</w:t>
            </w:r>
          </w:p>
        </w:tc>
        <w:tc>
          <w:tcPr>
            <w:tcW w:type="dxa" w:w="34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Tên tổ chức/cá nhân (nước ngoài):</w:t>
            </w:r>
          </w:p>
        </w:tc>
        <w:tc>
          <w:tcPr>
            <w:tcW w:type="dxa" w:w="4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TURBO TECHNOLOGY SOLUTIONS JOINT STOCK COMPANY (giả lập)</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1b</w:t>
            </w:r>
          </w:p>
        </w:tc>
        <w:tc>
          <w:tcPr>
            <w:tcW w:type="dxa" w:w="34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Tên tổ chức/cá nhân (viết tắt):</w:t>
            </w:r>
          </w:p>
        </w:tc>
        <w:tc>
          <w:tcPr>
            <w:tcW w:type="dxa" w:w="4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TURBO</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1c</w:t>
            </w:r>
          </w:p>
        </w:tc>
        <w:tc>
          <w:tcPr>
            <w:tcW w:type="dxa" w:w="34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số thuế:</w:t>
            </w:r>
          </w:p>
        </w:tc>
        <w:tc>
          <w:tcPr>
            <w:tcW w:type="dxa" w:w="4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0000000001 (giả lập)</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2</w:t>
            </w:r>
          </w:p>
        </w:tc>
        <w:tc>
          <w:tcPr>
            <w:tcW w:type="dxa" w:w="34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Địa chỉ (trụ sở chính):</w:t>
            </w:r>
          </w:p>
        </w:tc>
        <w:tc>
          <w:tcPr>
            <w:tcW w:type="dxa" w:w="4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Số 123 Đường Mẫu, Phường Mẫu, TP. Hồ Chí Minh</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3</w:t>
            </w:r>
          </w:p>
        </w:tc>
        <w:tc>
          <w:tcPr>
            <w:tcW w:type="dxa" w:w="34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Điện thoại:</w:t>
            </w:r>
          </w:p>
        </w:tc>
        <w:tc>
          <w:tcPr>
            <w:tcW w:type="dxa" w:w="4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028 1234 5678</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4</w:t>
            </w:r>
          </w:p>
        </w:tc>
        <w:tc>
          <w:tcPr>
            <w:tcW w:type="dxa" w:w="34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Lĩnh vực kinh doanh có xử lý dữ liệu cá nhân (kèm theo mã ngành đăng ký kinh doanh tương ứng):</w:t>
            </w:r>
          </w:p>
        </w:tc>
        <w:tc>
          <w:tcPr>
            <w:tcW w:type="dxa" w:w="4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Dịch vụ công nghệ thông tin (mã ngành 6201, 6202, 6209); xử lý dữ liệu cá nhân của người lao động, ứng viên, người liên hệ của khách hàng, đối tác để quản trị nội bộ và thực hiện hợp đồng</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5</w:t>
            </w:r>
          </w:p>
        </w:tc>
        <w:tc>
          <w:tcPr>
            <w:tcW w:type="dxa" w:w="34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Số lượng chi nhánh, văn phòng đại diện:</w:t>
            </w:r>
          </w:p>
        </w:tc>
        <w:tc>
          <w:tcPr>
            <w:tcW w:type="dxa" w:w="4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Không có (01 trụ sở chính)</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6</w:t>
            </w:r>
          </w:p>
        </w:tc>
        <w:tc>
          <w:tcPr>
            <w:tcW w:type="dxa" w:w="34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Email:</w:t>
            </w:r>
          </w:p>
        </w:tc>
        <w:tc>
          <w:tcPr>
            <w:tcW w:type="dxa" w:w="4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lienhe@example.vn</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7</w:t>
            </w:r>
          </w:p>
        </w:tc>
        <w:tc>
          <w:tcPr>
            <w:tcW w:type="dxa" w:w="34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Website:</w:t>
            </w:r>
          </w:p>
        </w:tc>
        <w:tc>
          <w:tcPr>
            <w:tcW w:type="dxa" w:w="4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https://example.vn</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8. Bộ phận/Nhân sự bảo vệ dữ liệu cá nhân của tổ chức,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8.1. Tổ chức cung cấp dịch vụ bảo vệ dữ liệu cá nhân (nếu có, kèm theo hợp đồng sử dụng dịch vụ):</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Tên tổ chức: </w:t>
      </w:r>
      <w:r>
        <w:rPr>
          <w:rFonts w:ascii="Times New Roman" w:cs="Times New Roman" w:eastAsia="Times New Roman" w:hAnsi="Times New Roman"/>
          <w:b w:val="false"/>
          <w:bCs w:val="false"/>
          <w:i w:val="false"/>
          <w:iCs w:val="false"/>
          <w:sz w:val="26"/>
          <w:szCs w:val="26"/>
          <w:highlight w:val="yellow"/>
        </w:rPr>
        <w:t xml:space="preserve">Không có</w:t>
      </w:r>
      <w:r>
        <w:rPr>
          <w:rFonts w:ascii="Times New Roman" w:cs="Times New Roman" w:eastAsia="Times New Roman" w:hAnsi="Times New Roman"/>
          <w:b w:val="false"/>
          <w:bCs w:val="false"/>
          <w:i w:val="false"/>
          <w:iCs w:val="false"/>
          <w:sz w:val="26"/>
          <w:szCs w:val="26"/>
        </w:rPr>
        <w:t xml:space="preserve"> Mã số thuế: </w:t>
      </w:r>
      <w:r>
        <w:rPr>
          <w:rFonts w:ascii="Times New Roman" w:cs="Times New Roman" w:eastAsia="Times New Roman" w:hAnsi="Times New Roman"/>
          <w:b w:val="false"/>
          <w:bCs w:val="false"/>
          <w:i w:val="false"/>
          <w:iCs w:val="false"/>
          <w:sz w:val="26"/>
          <w:szCs w:val="26"/>
          <w:highlight w:val="yellow"/>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Người đại diện theo pháp luật: </w:t>
      </w:r>
      <w:r>
        <w:rPr>
          <w:rFonts w:ascii="Times New Roman" w:cs="Times New Roman" w:eastAsia="Times New Roman" w:hAnsi="Times New Roman"/>
          <w:b w:val="false"/>
          <w:bCs w:val="false"/>
          <w:i w:val="false"/>
          <w:iCs w:val="false"/>
          <w:sz w:val="26"/>
          <w:szCs w:val="26"/>
          <w:highlight w:val="yellow"/>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Địa chỉ: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Điện thoại: </w:t>
      </w:r>
      <w:r>
        <w:rPr>
          <w:rFonts w:ascii="Times New Roman" w:cs="Times New Roman" w:eastAsia="Times New Roman" w:hAnsi="Times New Roman"/>
          <w:b w:val="false"/>
          <w:bCs w:val="false"/>
          <w:i w:val="false"/>
          <w:iCs w:val="false"/>
          <w:sz w:val="26"/>
          <w:szCs w:val="26"/>
          <w:highlight w:val="yellow"/>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Email: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Website: </w:t>
      </w:r>
      <w:r>
        <w:rPr>
          <w:rFonts w:ascii="Times New Roman" w:cs="Times New Roman" w:eastAsia="Times New Roman" w:hAnsi="Times New Roman"/>
          <w:b w:val="false"/>
          <w:bCs w:val="false"/>
          <w:i w:val="false"/>
          <w:iCs w:val="false"/>
          <w:sz w:val="26"/>
          <w:szCs w:val="26"/>
          <w:highlight w:val="yellow"/>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8.2. Cá nhân cung cấp dịch vụ bảo vệ dữ liệu cá nhân (nếu có, kèm theo hợp đồng sử dụng dịch vụ):</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63"/>
        <w:gridCol w:w="1168"/>
        <w:gridCol w:w="830"/>
        <w:gridCol w:w="987"/>
        <w:gridCol w:w="5477"/>
      </w:tblGrid>
      <w:tr>
        <w:trPr>
          <w:cantSplit/>
          <w:tblHeader/>
        </w:trPr>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TT</w:t>
            </w:r>
          </w:p>
        </w:tc>
        <w:tc>
          <w:tcPr>
            <w:tcW w:type="dxa" w:w="116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Họ và tên</w:t>
            </w:r>
          </w:p>
        </w:tc>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Đơn vị công tác</w:t>
            </w:r>
          </w:p>
        </w:tc>
        <w:tc>
          <w:tcPr>
            <w:tcW w:type="dxa" w:w="9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Số điện thoại</w:t>
            </w:r>
          </w:p>
        </w:tc>
        <w:tc>
          <w:tcPr>
            <w:tcW w:type="dxa" w:w="54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Email</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Không có</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54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8.3. Bộ phận/ nhân sự bảo vệ dữ liệu cá nhân nội bộ của tổ chức (kèm theo bản sao quyết định hoặc văn bản thể hiện việc chỉ định, phân công)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Tên Bộ phận: </w:t>
      </w:r>
      <w:r>
        <w:rPr>
          <w:rFonts w:ascii="Times New Roman" w:cs="Times New Roman" w:eastAsia="Times New Roman" w:hAnsi="Times New Roman"/>
          <w:b w:val="false"/>
          <w:bCs w:val="false"/>
          <w:i w:val="false"/>
          <w:iCs w:val="false"/>
          <w:sz w:val="26"/>
          <w:szCs w:val="26"/>
          <w:highlight w:val="yellow"/>
        </w:rPr>
        <w:t xml:space="preserve">Nhân sự bảo vệ dữ liệu cá nhân (kiêm nhiệm) thuộc Phòng Pháp chế, chỉ định tại Quyết định số 55/2026/QĐ-TURBO ngày 02/11/2026</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Điện thoại Bộ phận: </w:t>
      </w:r>
      <w:r>
        <w:rPr>
          <w:rFonts w:ascii="Times New Roman" w:cs="Times New Roman" w:eastAsia="Times New Roman" w:hAnsi="Times New Roman"/>
          <w:b w:val="false"/>
          <w:bCs w:val="false"/>
          <w:i w:val="false"/>
          <w:iCs w:val="false"/>
          <w:sz w:val="26"/>
          <w:szCs w:val="26"/>
          <w:highlight w:val="yellow"/>
        </w:rPr>
        <w:t xml:space="preserve">028 1234 5688</w:t>
      </w:r>
      <w:r>
        <w:rPr>
          <w:rFonts w:ascii="Times New Roman" w:cs="Times New Roman" w:eastAsia="Times New Roman" w:hAnsi="Times New Roman"/>
          <w:b w:val="false"/>
          <w:bCs w:val="false"/>
          <w:i w:val="false"/>
          <w:iCs w:val="false"/>
          <w:sz w:val="26"/>
          <w:szCs w:val="26"/>
        </w:rPr>
        <w:t xml:space="preserve"> Email Bộ phận: </w:t>
      </w:r>
      <w:r>
        <w:rPr>
          <w:rFonts w:ascii="Times New Roman" w:cs="Times New Roman" w:eastAsia="Times New Roman" w:hAnsi="Times New Roman"/>
          <w:b w:val="false"/>
          <w:bCs w:val="false"/>
          <w:i w:val="false"/>
          <w:iCs w:val="false"/>
          <w:sz w:val="26"/>
          <w:szCs w:val="26"/>
          <w:highlight w:val="yellow"/>
        </w:rPr>
        <w:t xml:space="preserve">dlcn@example.vn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Tên người đứng đầu Bộ phận/ Tên nhân sự: </w:t>
      </w:r>
      <w:r>
        <w:rPr>
          <w:rFonts w:ascii="Times New Roman" w:cs="Times New Roman" w:eastAsia="Times New Roman" w:hAnsi="Times New Roman"/>
          <w:b w:val="false"/>
          <w:bCs w:val="false"/>
          <w:i w:val="false"/>
          <w:iCs w:val="false"/>
          <w:sz w:val="26"/>
          <w:szCs w:val="26"/>
          <w:highlight w:val="yellow"/>
        </w:rPr>
        <w:t xml:space="preserve">Phạm Thu Dung</w:t>
      </w:r>
      <w:r>
        <w:rPr>
          <w:rFonts w:ascii="Times New Roman" w:cs="Times New Roman" w:eastAsia="Times New Roman" w:hAnsi="Times New Roman"/>
          <w:b w:val="false"/>
          <w:bCs w:val="false"/>
          <w:i w:val="false"/>
          <w:iCs w:val="false"/>
          <w:sz w:val="26"/>
          <w:szCs w:val="26"/>
        </w:rPr>
        <w:t xml:space="preserve"> Chức vụ: </w:t>
      </w:r>
      <w:r>
        <w:rPr>
          <w:rFonts w:ascii="Times New Roman" w:cs="Times New Roman" w:eastAsia="Times New Roman" w:hAnsi="Times New Roman"/>
          <w:b w:val="false"/>
          <w:bCs w:val="false"/>
          <w:i w:val="false"/>
          <w:iCs w:val="false"/>
          <w:sz w:val="26"/>
          <w:szCs w:val="26"/>
          <w:highlight w:val="yellow"/>
        </w:rPr>
        <w:t xml:space="preserve">Chuyên viên pháp chế</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Điện thoại di động: </w:t>
      </w:r>
      <w:r>
        <w:rPr>
          <w:rFonts w:ascii="Times New Roman" w:cs="Times New Roman" w:eastAsia="Times New Roman" w:hAnsi="Times New Roman"/>
          <w:b w:val="false"/>
          <w:bCs w:val="false"/>
          <w:i w:val="false"/>
          <w:iCs w:val="false"/>
          <w:sz w:val="26"/>
          <w:szCs w:val="26"/>
          <w:highlight w:val="yellow"/>
        </w:rPr>
        <w:t xml:space="preserve">0901 234 588</w:t>
      </w:r>
      <w:r>
        <w:rPr>
          <w:rFonts w:ascii="Times New Roman" w:cs="Times New Roman" w:eastAsia="Times New Roman" w:hAnsi="Times New Roman"/>
          <w:b w:val="false"/>
          <w:bCs w:val="false"/>
          <w:i w:val="false"/>
          <w:iCs w:val="false"/>
          <w:sz w:val="26"/>
          <w:szCs w:val="26"/>
        </w:rPr>
        <w:t xml:space="preserve"> Email cá nhân: </w:t>
      </w:r>
      <w:r>
        <w:rPr>
          <w:rFonts w:ascii="Times New Roman" w:cs="Times New Roman" w:eastAsia="Times New Roman" w:hAnsi="Times New Roman"/>
          <w:b w:val="false"/>
          <w:bCs w:val="false"/>
          <w:i w:val="false"/>
          <w:iCs w:val="false"/>
          <w:sz w:val="26"/>
          <w:szCs w:val="26"/>
          <w:highlight w:val="yellow"/>
        </w:rPr>
        <w:t xml:space="preserve">dung.pt@example.vn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 HOẠT ĐỘNG XỬ LÝ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Xác định vai trò xử lý dữ liệu cá nhân của bên kê khai hồ sơ</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1.1. Bên kiểm soát dữ liệu cá nhân, Bên kiểm soát và xử lý dữ liệu cá nhân </w:t>
      </w:r>
      <w:r>
        <w:rPr>
          <w:rFonts w:ascii="Times New Roman" w:cs="Times New Roman" w:eastAsia="Times New Roman" w:hAnsi="Times New Roman"/>
          <w:b w:val="false"/>
          <w:bCs w:val="false"/>
          <w:i w:val="false"/>
          <w:iCs w:val="false"/>
          <w:sz w:val="26"/>
          <w:szCs w:val="26"/>
          <w:highlight w:val="yellow"/>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Tên đối tượng chủ thể dữ liệu cá nhân: </w:t>
      </w:r>
      <w:r>
        <w:rPr>
          <w:rFonts w:ascii="Times New Roman" w:cs="Times New Roman" w:eastAsia="Times New Roman" w:hAnsi="Times New Roman"/>
          <w:b w:val="false"/>
          <w:bCs w:val="false"/>
          <w:i w:val="false"/>
          <w:iCs w:val="false"/>
          <w:sz w:val="26"/>
          <w:szCs w:val="26"/>
          <w:highlight w:val="yellow"/>
        </w:rPr>
        <w:t xml:space="preserve">Người lao động, cộng tác viên</w:t>
      </w:r>
      <w:r>
        <w:rPr>
          <w:rFonts w:ascii="Times New Roman" w:cs="Times New Roman" w:eastAsia="Times New Roman" w:hAnsi="Times New Roman"/>
          <w:b w:val="false"/>
          <w:bCs w:val="false"/>
          <w:i w:val="false"/>
          <w:iCs w:val="false"/>
          <w:sz w:val="26"/>
          <w:szCs w:val="26"/>
        </w:rPr>
        <w:t xml:space="preserve"> Số lượng: </w:t>
      </w:r>
      <w:r>
        <w:rPr>
          <w:rFonts w:ascii="Times New Roman" w:cs="Times New Roman" w:eastAsia="Times New Roman" w:hAnsi="Times New Roman"/>
          <w:b w:val="false"/>
          <w:bCs w:val="false"/>
          <w:i w:val="false"/>
          <w:iCs w:val="false"/>
          <w:sz w:val="26"/>
          <w:szCs w:val="26"/>
          <w:highlight w:val="yellow"/>
        </w:rPr>
        <w:t xml:space="preserve">40 (38 người lao động, 02 cộng tác viên)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Tên đối tượng chủ thể dữ liệu cá nhân: </w:t>
      </w:r>
      <w:r>
        <w:rPr>
          <w:rFonts w:ascii="Times New Roman" w:cs="Times New Roman" w:eastAsia="Times New Roman" w:hAnsi="Times New Roman"/>
          <w:b w:val="false"/>
          <w:bCs w:val="false"/>
          <w:i w:val="false"/>
          <w:iCs w:val="false"/>
          <w:sz w:val="26"/>
          <w:szCs w:val="26"/>
          <w:highlight w:val="yellow"/>
        </w:rPr>
        <w:t xml:space="preserve">Người thân, người phụ thuộc của người lao động</w:t>
      </w:r>
      <w:r>
        <w:rPr>
          <w:rFonts w:ascii="Times New Roman" w:cs="Times New Roman" w:eastAsia="Times New Roman" w:hAnsi="Times New Roman"/>
          <w:b w:val="false"/>
          <w:bCs w:val="false"/>
          <w:i w:val="false"/>
          <w:iCs w:val="false"/>
          <w:sz w:val="26"/>
          <w:szCs w:val="26"/>
        </w:rPr>
        <w:t xml:space="preserve"> Số lượng: </w:t>
      </w:r>
      <w:r>
        <w:rPr>
          <w:rFonts w:ascii="Times New Roman" w:cs="Times New Roman" w:eastAsia="Times New Roman" w:hAnsi="Times New Roman"/>
          <w:b w:val="false"/>
          <w:bCs w:val="false"/>
          <w:i w:val="false"/>
          <w:iCs w:val="false"/>
          <w:sz w:val="26"/>
          <w:szCs w:val="26"/>
          <w:highlight w:val="yellow"/>
        </w:rPr>
        <w:t xml:space="preserve">khoảng 50</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Tên đối tượng chủ thể dữ liệu cá nhân: </w:t>
      </w:r>
      <w:r>
        <w:rPr>
          <w:rFonts w:ascii="Times New Roman" w:cs="Times New Roman" w:eastAsia="Times New Roman" w:hAnsi="Times New Roman"/>
          <w:b w:val="false"/>
          <w:bCs w:val="false"/>
          <w:i w:val="false"/>
          <w:iCs w:val="false"/>
          <w:sz w:val="26"/>
          <w:szCs w:val="26"/>
          <w:highlight w:val="yellow"/>
        </w:rPr>
        <w:t xml:space="preserve">Ứng viên</w:t>
      </w:r>
      <w:r>
        <w:rPr>
          <w:rFonts w:ascii="Times New Roman" w:cs="Times New Roman" w:eastAsia="Times New Roman" w:hAnsi="Times New Roman"/>
          <w:b w:val="false"/>
          <w:bCs w:val="false"/>
          <w:i w:val="false"/>
          <w:iCs w:val="false"/>
          <w:sz w:val="26"/>
          <w:szCs w:val="26"/>
        </w:rPr>
        <w:t xml:space="preserve"> Số lượng: </w:t>
      </w:r>
      <w:r>
        <w:rPr>
          <w:rFonts w:ascii="Times New Roman" w:cs="Times New Roman" w:eastAsia="Times New Roman" w:hAnsi="Times New Roman"/>
          <w:b w:val="false"/>
          <w:bCs w:val="false"/>
          <w:i w:val="false"/>
          <w:iCs w:val="false"/>
          <w:sz w:val="26"/>
          <w:szCs w:val="26"/>
          <w:highlight w:val="yellow"/>
        </w:rPr>
        <w:t xml:space="preserve">khoảng 80 (hồ sơ nhận trong năm 2026)</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Tên đối tượng chủ thể dữ liệu cá nhân: </w:t>
      </w:r>
      <w:r>
        <w:rPr>
          <w:rFonts w:ascii="Times New Roman" w:cs="Times New Roman" w:eastAsia="Times New Roman" w:hAnsi="Times New Roman"/>
          <w:b w:val="false"/>
          <w:bCs w:val="false"/>
          <w:i w:val="false"/>
          <w:iCs w:val="false"/>
          <w:sz w:val="26"/>
          <w:szCs w:val="26"/>
          <w:highlight w:val="yellow"/>
        </w:rPr>
        <w:t xml:space="preserve">Khách hàng cá nhân, người liên hệ của khách hàng, đối tác</w:t>
      </w:r>
      <w:r>
        <w:rPr>
          <w:rFonts w:ascii="Times New Roman" w:cs="Times New Roman" w:eastAsia="Times New Roman" w:hAnsi="Times New Roman"/>
          <w:b w:val="false"/>
          <w:bCs w:val="false"/>
          <w:i w:val="false"/>
          <w:iCs w:val="false"/>
          <w:sz w:val="26"/>
          <w:szCs w:val="26"/>
        </w:rPr>
        <w:t xml:space="preserve"> Số lượng: </w:t>
      </w:r>
      <w:r>
        <w:rPr>
          <w:rFonts w:ascii="Times New Roman" w:cs="Times New Roman" w:eastAsia="Times New Roman" w:hAnsi="Times New Roman"/>
          <w:b w:val="false"/>
          <w:bCs w:val="false"/>
          <w:i w:val="false"/>
          <w:iCs w:val="false"/>
          <w:sz w:val="26"/>
          <w:szCs w:val="26"/>
          <w:highlight w:val="yellow"/>
        </w:rPr>
        <w:t xml:space="preserve">khoảng 600</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Tên đối tượng chủ thể dữ liệu cá nhân: </w:t>
      </w:r>
      <w:r>
        <w:rPr>
          <w:rFonts w:ascii="Times New Roman" w:cs="Times New Roman" w:eastAsia="Times New Roman" w:hAnsi="Times New Roman"/>
          <w:b w:val="false"/>
          <w:bCs w:val="false"/>
          <w:i w:val="false"/>
          <w:iCs w:val="false"/>
          <w:sz w:val="26"/>
          <w:szCs w:val="26"/>
          <w:highlight w:val="yellow"/>
        </w:rPr>
        <w:t xml:space="preserve">Khách đến làm việc tại trụ sở (hình ảnh camera)</w:t>
      </w:r>
      <w:r>
        <w:rPr>
          <w:rFonts w:ascii="Times New Roman" w:cs="Times New Roman" w:eastAsia="Times New Roman" w:hAnsi="Times New Roman"/>
          <w:b w:val="false"/>
          <w:bCs w:val="false"/>
          <w:i w:val="false"/>
          <w:iCs w:val="false"/>
          <w:sz w:val="26"/>
          <w:szCs w:val="26"/>
        </w:rPr>
        <w:t xml:space="preserve"> Số lượng: </w:t>
      </w:r>
      <w:r>
        <w:rPr>
          <w:rFonts w:ascii="Times New Roman" w:cs="Times New Roman" w:eastAsia="Times New Roman" w:hAnsi="Times New Roman"/>
          <w:b w:val="false"/>
          <w:bCs w:val="false"/>
          <w:i w:val="false"/>
          <w:iCs w:val="false"/>
          <w:sz w:val="26"/>
          <w:szCs w:val="26"/>
          <w:highlight w:val="yellow"/>
        </w:rPr>
        <w:t xml:space="preserve">khoảng 15 lượt/ngày</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(Ghi rõ các loại đối tượng chủ thể như khách hàng, người lao động, ứng viên... kèm theo số lượng tính đến thời điểm nộp hồ sơ)</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1.2. Bên xử lý dữ liệu cá nhân </w:t>
      </w:r>
      <w:r>
        <w:rPr>
          <w:rFonts w:ascii="Times New Roman" w:cs="Times New Roman" w:eastAsia="Times New Roman" w:hAnsi="Times New Roman"/>
          <w:b w:val="false"/>
          <w:bCs w:val="false"/>
          <w:i w:val="false"/>
          <w:iCs w:val="false"/>
          <w:sz w:val="26"/>
          <w:szCs w:val="26"/>
          <w:highlight w:val="yellow"/>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Tên đối tượng chủ thể dữ liệu cá nhân: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Số lượng: </w:t>
      </w:r>
      <w:r>
        <w:rPr>
          <w:rFonts w:ascii="Times New Roman" w:cs="Times New Roman" w:eastAsia="Times New Roman" w:hAnsi="Times New Roman"/>
          <w:b w:val="false"/>
          <w:bCs w:val="false"/>
          <w:i w:val="false"/>
          <w:iCs w:val="false"/>
          <w:sz w:val="26"/>
          <w:szCs w:val="26"/>
          <w:highlight w:val="yellow"/>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Tên đối tượng chủ thể dữ liệu cá nhân: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Số lượng: </w:t>
      </w:r>
      <w:r>
        <w:rPr>
          <w:rFonts w:ascii="Times New Roman" w:cs="Times New Roman" w:eastAsia="Times New Roman" w:hAnsi="Times New Roman"/>
          <w:b w:val="false"/>
          <w:bCs w:val="false"/>
          <w:i w:val="false"/>
          <w:iCs w:val="false"/>
          <w:sz w:val="26"/>
          <w:szCs w:val="26"/>
          <w:highlight w:val="yellow"/>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1.3. Bên thứ ba </w:t>
      </w:r>
      <w:r>
        <w:rPr>
          <w:rFonts w:ascii="Times New Roman" w:cs="Times New Roman" w:eastAsia="Times New Roman" w:hAnsi="Times New Roman"/>
          <w:b w:val="false"/>
          <w:bCs w:val="false"/>
          <w:i w:val="false"/>
          <w:iCs w:val="false"/>
          <w:sz w:val="26"/>
          <w:szCs w:val="26"/>
          <w:highlight w:val="yellow"/>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Tên đối tượng chủ thể dữ liệu cá nhân: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Số lượng: </w:t>
      </w:r>
      <w:r>
        <w:rPr>
          <w:rFonts w:ascii="Times New Roman" w:cs="Times New Roman" w:eastAsia="Times New Roman" w:hAnsi="Times New Roman"/>
          <w:b w:val="false"/>
          <w:bCs w:val="false"/>
          <w:i w:val="false"/>
          <w:iCs w:val="false"/>
          <w:sz w:val="26"/>
          <w:szCs w:val="26"/>
          <w:highlight w:val="yellow"/>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Tên đối tượng chủ thể dữ liệu cá nhân: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Số lượng: </w:t>
      </w:r>
      <w:r>
        <w:rPr>
          <w:rFonts w:ascii="Times New Roman" w:cs="Times New Roman" w:eastAsia="Times New Roman" w:hAnsi="Times New Roman"/>
          <w:b w:val="false"/>
          <w:bCs w:val="false"/>
          <w:i w:val="false"/>
          <w:iCs w:val="false"/>
          <w:sz w:val="26"/>
          <w:szCs w:val="26"/>
          <w:highlight w:val="yellow"/>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Luồng xử lý dữ liệu cá nhân theo vai trò (nêu rõ đối tượng chủ thể, mục đích xử lý, loại dữ liệu cá nhân cơ bản/ dữ liệu cá nhân nhạy cảm được xử lý và hoạt động xử lý tương ứng; mô hình hóa sơ đồ quy trình và hệ thống xử lý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1.1. Bên kiểm soát dữ liệu cá nhân, Bên kiểm soát và xử lý dữ liệu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113"/>
        <w:gridCol w:w="1320"/>
        <w:gridCol w:w="1841"/>
        <w:gridCol w:w="1291"/>
        <w:gridCol w:w="2237"/>
        <w:gridCol w:w="1223"/>
      </w:tblGrid>
      <w:tr>
        <w:trPr>
          <w:cantSplit/>
          <w:tblHeader/>
        </w:trPr>
        <w:tc>
          <w:tcPr>
            <w:tcW w:type="dxa" w:w="11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Chủ thể</w:t>
            </w:r>
          </w:p>
        </w:tc>
        <w:tc>
          <w:tcPr>
            <w:tcW w:type="dxa" w:w="13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Mục đích</w:t>
            </w:r>
          </w:p>
        </w:tc>
        <w:tc>
          <w:tcPr>
            <w:tcW w:type="dxa" w:w="18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Loại DLCN (cơ bản/nhạy cảm)</w:t>
            </w:r>
          </w:p>
        </w:tc>
        <w:tc>
          <w:tcPr>
            <w:tcW w:type="dxa" w:w="129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Hoạt động xử lý</w:t>
            </w:r>
          </w:p>
        </w:tc>
        <w:tc>
          <w:tcPr>
            <w:tcW w:type="dxa" w:w="22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Hệ thống, nơi lưu</w:t>
            </w:r>
          </w:p>
        </w:tc>
        <w:tc>
          <w:tcPr>
            <w:tcW w:type="dxa" w:w="12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Bên nhận</w:t>
            </w:r>
          </w:p>
        </w:tc>
      </w:tr>
      <w:tr>
        <w:trPr>
          <w:cantSplit/>
          <w:tblHeader w:val="false"/>
        </w:trPr>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Ứng viên</w:t>
            </w:r>
          </w:p>
        </w:tc>
        <w:tc>
          <w:tcPr>
            <w:tcW w:type="dxa" w:w="13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Tuyển dụng; lưu vào nguồn ứng viên nếu đồng ý</w:t>
            </w:r>
          </w:p>
        </w:tc>
        <w:tc>
          <w:tcPr>
            <w:tcW w:type="dxa" w:w="1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Cơ bản: họ tên, ngày sinh, điện thoại, email, CV, bằng cấp, ảnh chân dung</w:t>
            </w:r>
          </w:p>
        </w:tc>
        <w:tc>
          <w:tcPr>
            <w:tcW w:type="dxa" w:w="1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Thu thập, lưu, đánh giá, xóa</w:t>
            </w:r>
          </w:p>
        </w:tc>
        <w:tc>
          <w:tcPr>
            <w:tcW w:type="dxa" w:w="22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HT-02-INTRANET (hộp thư tuyển dụng), HT-03-ERP — Việt Nam</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Không</w:t>
            </w:r>
          </w:p>
        </w:tc>
      </w:tr>
      <w:tr>
        <w:trPr>
          <w:cantSplit/>
          <w:tblHeader w:val="false"/>
        </w:trPr>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Người lao động, người thân</w:t>
            </w:r>
          </w:p>
        </w:tc>
        <w:tc>
          <w:tcPr>
            <w:tcW w:type="dxa" w:w="13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Quản lý lao động</w:t>
            </w:r>
          </w:p>
        </w:tc>
        <w:tc>
          <w:tcPr>
            <w:tcW w:type="dxa" w:w="1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Cơ bản: nhân thân, số định danh, địa chỉ, quan hệ gia đình, hợp đồng lao động; nhạy cảm: ảnh thẻ căn cước (chỉ khi thủ tục bảo hiểm xã hội yêu cầu)</w:t>
            </w:r>
          </w:p>
        </w:tc>
        <w:tc>
          <w:tcPr>
            <w:tcW w:type="dxa" w:w="1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Thu thập, lưu, chỉnh sửa, cung cấp theo luật, xóa</w:t>
            </w:r>
          </w:p>
        </w:tc>
        <w:tc>
          <w:tcPr>
            <w:tcW w:type="dxa" w:w="22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HT-03-ERP, tủ hồ sơ khóa; ảnh thẻ căn cước lưu tách riêng, mã hóa</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Cơ quan nhà nước khi có yêu cầu; Công ty TNHH Phần mềm Mẫu (bảo trì ERP)</w:t>
            </w:r>
          </w:p>
        </w:tc>
      </w:tr>
      <w:tr>
        <w:trPr>
          <w:cantSplit/>
          <w:tblHeader w:val="false"/>
        </w:trPr>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Người lao động, người phụ thuộc</w:t>
            </w:r>
          </w:p>
        </w:tc>
        <w:tc>
          <w:tcPr>
            <w:tcW w:type="dxa" w:w="13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Trả lương; bảo hiểm xã hội; thuế thu nhập cá nhân; chế độ ốm đau, thai sản</w:t>
            </w:r>
          </w:p>
        </w:tc>
        <w:tc>
          <w:tcPr>
            <w:tcW w:type="dxa" w:w="1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Cơ bản: lương, mã số thuế, số sổ bảo hiểm xã hội, số tài khoản nhận lương; nhạy cảm: sức khỏe (giấy khám sức khỏe, nghỉ ốm, thai sản)</w:t>
            </w:r>
          </w:p>
        </w:tc>
        <w:tc>
          <w:tcPr>
            <w:tcW w:type="dxa" w:w="1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Tổng hợp, tính toán, chuyển giao theo luật</w:t>
            </w:r>
          </w:p>
        </w:tc>
        <w:tc>
          <w:tcPr>
            <w:tcW w:type="dxa" w:w="22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HT-03-ERP (phân hệ kế toán, tiền lương)</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Cơ quan bảo hiểm xã hội, cơ quan thuế; Ngân hàng TMCP Mẫu</w:t>
            </w:r>
          </w:p>
        </w:tc>
      </w:tr>
      <w:tr>
        <w:trPr>
          <w:cantSplit/>
          <w:tblHeader w:val="false"/>
        </w:trPr>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Người lao động; khách hàng, đối tác, ứng viên trao đổi thư</w:t>
            </w:r>
          </w:p>
        </w:tc>
        <w:tc>
          <w:tcPr>
            <w:tcW w:type="dxa" w:w="13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Liên lạc, điều hành công việc</w:t>
            </w:r>
          </w:p>
        </w:tc>
        <w:tc>
          <w:tcPr>
            <w:tcW w:type="dxa" w:w="1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Cơ bản: họ tên, email, chức danh, điện thoại, nội dung thư, tệp đính kèm, nhật ký đăng nhập</w:t>
            </w:r>
          </w:p>
        </w:tc>
        <w:tc>
          <w:tcPr>
            <w:tcW w:type="dxa" w:w="1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Lưu, truyền, lọc thư, sao lưu</w:t>
            </w:r>
          </w:p>
        </w:tc>
        <w:tc>
          <w:tcPr>
            <w:tcW w:type="dxa" w:w="22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HT-02-INTRANET — đám mây của Công ty TNHH Dữ liệu Mẫu, máy chủ tại TP. Hồ Chí Minh</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Công ty TNHH Dữ liệu Mẫu (bên xử lý)</w:t>
            </w:r>
          </w:p>
        </w:tc>
      </w:tr>
      <w:tr>
        <w:trPr>
          <w:cantSplit/>
          <w:tblHeader w:val="false"/>
        </w:trPr>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Khách hàng, đối tác</w:t>
            </w:r>
          </w:p>
        </w:tc>
        <w:tc>
          <w:tcPr>
            <w:tcW w:type="dxa" w:w="13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Chăm sóc khách hàng, thực hiện hợp đồng</w:t>
            </w:r>
          </w:p>
        </w:tc>
        <w:tc>
          <w:tcPr>
            <w:tcW w:type="dxa" w:w="1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Cơ bản: họ tên, chức danh, nơi công tác, điện thoại, email, lịch sử giao dịch</w:t>
            </w:r>
          </w:p>
        </w:tc>
        <w:tc>
          <w:tcPr>
            <w:tcW w:type="dxa" w:w="1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Thu thập, lưu, sử dụng, xóa</w:t>
            </w:r>
          </w:p>
        </w:tc>
        <w:tc>
          <w:tcPr>
            <w:tcW w:type="dxa" w:w="22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Bảng tính dùng chung trên HT-02-INTRANET</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Không</w:t>
            </w:r>
          </w:p>
        </w:tc>
      </w:tr>
      <w:tr>
        <w:trPr>
          <w:cantSplit/>
          <w:tblHeader w:val="false"/>
        </w:trPr>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Người lao động, khách đến trụ sở</w:t>
            </w:r>
          </w:p>
        </w:tc>
        <w:tc>
          <w:tcPr>
            <w:tcW w:type="dxa" w:w="13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An ninh, an toàn người và tài sản</w:t>
            </w:r>
          </w:p>
        </w:tc>
        <w:tc>
          <w:tcPr>
            <w:tcW w:type="dxa" w:w="1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Cơ bản: hình ảnh (không ghi âm, không nhận diện khuôn mặt)</w:t>
            </w:r>
          </w:p>
        </w:tc>
        <w:tc>
          <w:tcPr>
            <w:tcW w:type="dxa" w:w="1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Ghi hình, lưu, tự ghi đè; trích xuất khi có sự việc</w:t>
            </w:r>
          </w:p>
        </w:tc>
        <w:tc>
          <w:tcPr>
            <w:tcW w:type="dxa" w:w="22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Đầu ghi tại phòng máy trụ sở</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Cơ quan nhà nước khi có yêu cầu bằng văn bản</w:t>
            </w:r>
          </w:p>
        </w:tc>
      </w:tr>
      <w:tr>
        <w:trPr>
          <w:cantSplit/>
          <w:tblHeader w:val="false"/>
        </w:trPr>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Người lao động</w:t>
            </w:r>
          </w:p>
        </w:tc>
        <w:tc>
          <w:tcPr>
            <w:tcW w:type="dxa" w:w="13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Tính công, tính lương</w:t>
            </w:r>
          </w:p>
        </w:tc>
        <w:tc>
          <w:tcPr>
            <w:tcW w:type="dxa" w:w="1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Cơ bản: mã thẻ, họ tên, giờ vào, giờ ra (thẻ từ, không sinh trắc học)</w:t>
            </w:r>
          </w:p>
        </w:tc>
        <w:tc>
          <w:tcPr>
            <w:tcW w:type="dxa" w:w="1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Thu thập tự động, đồng bộ, tổng hợp</w:t>
            </w:r>
          </w:p>
        </w:tc>
        <w:tc>
          <w:tcPr>
            <w:tcW w:type="dxa" w:w="22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Máy chấm công, HT-03-ERP</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Không</w:t>
            </w:r>
          </w:p>
        </w:tc>
      </w:tr>
      <w:tr>
        <w:trPr>
          <w:cantSplit/>
          <w:tblHeader w:val="false"/>
        </w:trPr>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Người lao động</w:t>
            </w:r>
          </w:p>
        </w:tc>
        <w:tc>
          <w:tcPr>
            <w:tcW w:type="dxa" w:w="13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Bảo đảm an ninh mạng, điều tra sự cố</w:t>
            </w:r>
          </w:p>
        </w:tc>
        <w:tc>
          <w:tcPr>
            <w:tcW w:type="dxa" w:w="1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Cơ bản: tài khoản, nhật ký đăng nhập, địa chỉ IP; tên miền truy cập Internet (xử lý như nhạy cảm)</w:t>
            </w:r>
          </w:p>
        </w:tc>
        <w:tc>
          <w:tcPr>
            <w:tcW w:type="dxa" w:w="1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Ghi nhật ký tự động, rà soát, xóa sau thời hạn</w:t>
            </w:r>
          </w:p>
        </w:tc>
        <w:tc>
          <w:tcPr>
            <w:tcW w:type="dxa" w:w="22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HT-04-LAN (Active Directory, tường lửa); nhật ký ERP, Intranet</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Không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Sơ đồ quy trình và hệ thống xử lý dữ liệu cá nhân: Phụ lục 1 kèm theo.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1.2. Bên xử lý dữ liệu cá nhân: </w:t>
      </w:r>
      <w:r>
        <w:rPr>
          <w:rFonts w:ascii="Times New Roman" w:cs="Times New Roman" w:eastAsia="Times New Roman" w:hAnsi="Times New Roman"/>
          <w:b w:val="false"/>
          <w:bCs w:val="false"/>
          <w:i w:val="false"/>
          <w:iCs w:val="false"/>
          <w:sz w:val="26"/>
          <w:szCs w:val="26"/>
          <w:highlight w:val="yellow"/>
        </w:rPr>
        <w:t xml:space="preserve">Không áp dụng.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1.3. Bên thứ ba: </w:t>
      </w:r>
      <w:r>
        <w:rPr>
          <w:rFonts w:ascii="Times New Roman" w:cs="Times New Roman" w:eastAsia="Times New Roman" w:hAnsi="Times New Roman"/>
          <w:b w:val="false"/>
          <w:bCs w:val="false"/>
          <w:i w:val="false"/>
          <w:iCs w:val="false"/>
          <w:sz w:val="26"/>
          <w:szCs w:val="26"/>
          <w:highlight w:val="yellow"/>
        </w:rPr>
        <w:t xml:space="preserve">Không áp dụng.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Loại dữ liệu cá nhân được xử lý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Tổng số loại dữ liệu cá nhân cơ bản: </w:t>
      </w:r>
      <w:r>
        <w:rPr>
          <w:rFonts w:ascii="Times New Roman" w:cs="Times New Roman" w:eastAsia="Times New Roman" w:hAnsi="Times New Roman"/>
          <w:b w:val="false"/>
          <w:bCs w:val="false"/>
          <w:i w:val="false"/>
          <w:iCs w:val="false"/>
          <w:sz w:val="26"/>
          <w:szCs w:val="26"/>
          <w:highlight w:val="yellow"/>
        </w:rPr>
        <w:t xml:space="preserve">16</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Tổng số loại dữ liệu cá nhân nhạy cảm: </w:t>
      </w:r>
      <w:r>
        <w:rPr>
          <w:rFonts w:ascii="Times New Roman" w:cs="Times New Roman" w:eastAsia="Times New Roman" w:hAnsi="Times New Roman"/>
          <w:b w:val="false"/>
          <w:bCs w:val="false"/>
          <w:i w:val="false"/>
          <w:iCs w:val="false"/>
          <w:sz w:val="26"/>
          <w:szCs w:val="26"/>
          <w:highlight w:val="yellow"/>
        </w:rPr>
        <w:t xml:space="preserve">03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3.1. Dữ liệu cá nhân cơ bản (căn cứ Điều 3 Nghị định số 356/2025/NĐ-CP ngày 31 tháng 12 năm 2025 của Chính phủ quy định chi tiết một số điều và biện pháp thi hành Luật Bảo vệ dữ liệu cá nhân; tích √ vào loại dữ liệu cá nhân quy định)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889"/>
        <w:gridCol w:w="563"/>
        <w:gridCol w:w="4010"/>
        <w:gridCol w:w="563"/>
      </w:tblGrid>
      <w:tr>
        <w:trPr>
          <w:cantSplit/>
          <w:tblHeader/>
        </w:trPr>
        <w:tc>
          <w:tcPr>
            <w:tcW w:type="dxa" w:w="388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Loại dữ liệu</w:t>
            </w:r>
          </w:p>
        </w:tc>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w:t>
            </w:r>
          </w:p>
        </w:tc>
        <w:tc>
          <w:tcPr>
            <w:tcW w:type="dxa" w:w="40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Loại dữ liệu</w:t>
            </w:r>
          </w:p>
        </w:tc>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w:t>
            </w:r>
          </w:p>
        </w:tc>
      </w:tr>
      <w:tr>
        <w:trPr>
          <w:cantSplit/>
          <w:tblHeader w:val="false"/>
        </w:trPr>
        <w:tc>
          <w:tcPr>
            <w:tcW w:type="dxa" w:w="3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Họ, chữ đệm và tên khai sinh</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40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Địa chỉ liên hệ</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3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Tên gọi khác (nếu có)</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40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Quốc tịch</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3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Ngày, tháng, năm sinh</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40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Hình ảnh của cá nhân</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3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Ngày, tháng, năm chết hoặc mất tích</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40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điện thoại</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3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Giới tính</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40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định danh cá nhân</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3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Nơi sinh</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40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hộ chiếu</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Nơi đăng ký khai sinh</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40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giấy phép lái xe</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Nơi đăng ký thường trú</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40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biển số xe</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Nơi đăng ký tạm trú</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40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Tình trạng hôn nhân</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3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Nơi ở hiện tại</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40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về mối quan hệ gia đình (cha mẹ, con, vợ chồng)</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3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Quê quán</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40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về tài khoản số của cá nhân</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3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Các thông tin khác gắn liền với một con người cụ thể hoặc giúp xác định một con người cụ thể không thuộc các mục trên</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40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Ghi rõ: mã nhân viên, mã số thuế cá nhân, số sổ bảo hiểm xã hội, tiền lương, số tài khoản ngân hàng nhận lương, trình độ, kinh nghiệm, mã thẻ chấm công, nhật ký đăng nhập, địa chỉ IP</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3.2. Dữ liệu cá nhân nhạy cảm (căn cứ khoản 1 Điều 4 Nghị định số 356/2025/NĐ-CP ngày 31 tháng 12 năm 2025 của Chính phủ quy định chi tiết một số điều và biện pháp thi hành Luật Bảo vệ dữ liệu cá nhân; tích √ vào loại dữ liệu cá nhân quy định)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949"/>
        <w:gridCol w:w="563"/>
        <w:gridCol w:w="3949"/>
        <w:gridCol w:w="564"/>
      </w:tblGrid>
      <w:tr>
        <w:trPr>
          <w:cantSplit/>
          <w:tblHeader/>
        </w:trPr>
        <w:tc>
          <w:tcPr>
            <w:tcW w:type="dxa" w:w="39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Loại dữ liệu</w:t>
            </w:r>
          </w:p>
        </w:tc>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w:t>
            </w:r>
          </w:p>
        </w:tc>
        <w:tc>
          <w:tcPr>
            <w:tcW w:type="dxa" w:w="39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Loại dữ liệu</w:t>
            </w:r>
          </w:p>
        </w:tc>
        <w:tc>
          <w:tcPr>
            <w:tcW w:type="dxa" w:w="5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w:t>
            </w:r>
          </w:p>
        </w:tc>
      </w:tr>
      <w:tr>
        <w:trPr>
          <w:cantSplit/>
          <w:tblHeader w:val="false"/>
        </w:trPr>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tiết lộ nguồn gốc chủng tộc, nguồn gốc dân tộc</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Vị trí của cá nhân được xác định qua dịch vụ định vị</w:t>
            </w:r>
          </w:p>
        </w:tc>
        <w:tc>
          <w:tcPr>
            <w:tcW w:type="dxa" w:w="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Quan điểm chính trị</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tên đăng nhập và mật khẩu truy cập tài khoản định danh điện tử của cá nhân</w:t>
            </w:r>
          </w:p>
        </w:tc>
        <w:tc>
          <w:tcPr>
            <w:tcW w:type="dxa" w:w="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Quan điểm tôn giáo, tín ngưỡng</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Hình ảnh thẻ căn cước, thẻ căn cước công dân, chứng minh nhân dân</w:t>
            </w:r>
          </w:p>
        </w:tc>
        <w:tc>
          <w:tcPr>
            <w:tcW w:type="dxa" w:w="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về đời sống riêng tư, bí mật cá nhân, bí mật gia đình</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Tên đăng nhập, mật khẩu truy cập của tài khoản ngân hàng</w:t>
            </w:r>
          </w:p>
        </w:tc>
        <w:tc>
          <w:tcPr>
            <w:tcW w:type="dxa" w:w="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Tình trạng sức khỏe</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thẻ ngân hàng, dữ liệu về lịch sử giao dịch của tài khoản ngân hàng</w:t>
            </w:r>
          </w:p>
        </w:tc>
        <w:tc>
          <w:tcPr>
            <w:tcW w:type="dxa" w:w="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sinh trắc học, đặc điểm di truyền</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tài chính, tín dụng và các thông tin về hoạt động, lịch sử giao dịch tài chính, chứng khoán, bảo hiểm của khách hàng tại các tổ chức tín dụng, chi nhánh ngân hàng nước ngoài, tổ chức cung ứng dịch vụ trung gian thanh toán, chứng khoán, bảo hiểm, các tổ chức được phép khác</w:t>
            </w:r>
          </w:p>
        </w:tc>
        <w:tc>
          <w:tcPr>
            <w:tcW w:type="dxa" w:w="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tiết lộ đời sống tình dục, xu hướng tình dục của cá nhân</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theo dõi hành vi, hoạt động sử dụng dịch vụ viễn thông, mạng xã hội, dịch vụ truyền thông trực tuyến và các dịch vụ khác trên không gian mạng</w:t>
            </w:r>
          </w:p>
        </w:tc>
        <w:tc>
          <w:tcPr>
            <w:tcW w:type="dxa" w:w="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về tội phạm, vi phạm pháp luật được thu thập, lưu trữ bởi các cơ quan thực thi pháp luật</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Vị trí của cá nhân được xác định qua dịch vụ định vị</w:t>
            </w:r>
          </w:p>
        </w:tc>
        <w:tc>
          <w:tcPr>
            <w:tcW w:type="dxa" w:w="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tiết lộ nguồn gốc chủng tộc, nguồn gốc dân tộc</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cá nhân khác được pháp luật quy định cần giữ bí mật hoặc cần có biện pháp bảo mật chặt chẽ</w:t>
            </w:r>
          </w:p>
        </w:tc>
        <w:tc>
          <w:tcPr>
            <w:tcW w:type="dxa" w:w="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Ghi chú: ảnh thẻ căn cước chỉ lưu khi hồ sơ bảo hiểm xã hội yêu cầu và có đồng ý, lưu tách riêng, mã hóa; tình trạng sức khỏe gồm giấy khám sức khỏe (khi có đồng ý), hồ sơ nghỉ ốm, thai sản; dữ liệu theo dõi hành vi là nhật ký tên miền truy cập Internet trên tường lửa — kê khai thận trọng. Không xử lý dữ liệu sinh trắc học (chấm công bằng thẻ từ).</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Sự đồng ý của chủ thể dữ liệu cá nhân (mô tả cụ thể nội dung, hình thức, quy trình xin sự đồng ý của từng đối tượng chủ thể dữ liệu và kèm theo biểu mẫu liên quan)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297"/>
        <w:gridCol w:w="2437"/>
        <w:gridCol w:w="3203"/>
        <w:gridCol w:w="2088"/>
      </w:tblGrid>
      <w:tr>
        <w:trPr>
          <w:cantSplit/>
          <w:tblHeader/>
        </w:trPr>
        <w:tc>
          <w:tcPr>
            <w:tcW w:type="dxa" w:w="12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Chủ thể</w:t>
            </w:r>
          </w:p>
        </w:tc>
        <w:tc>
          <w:tcPr>
            <w:tcW w:type="dxa" w:w="24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 xử lý, nội dung đồng ý</w:t>
            </w:r>
          </w:p>
        </w:tc>
        <w:tc>
          <w:tcPr>
            <w:tcW w:type="dxa" w:w="32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Hình thức, quy trình</w:t>
            </w:r>
          </w:p>
        </w:tc>
        <w:tc>
          <w:tcPr>
            <w:tcW w:type="dxa" w:w="20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Biểu mẫu kèm theo</w:t>
            </w:r>
          </w:p>
        </w:tc>
      </w:tr>
      <w:tr>
        <w:trPr>
          <w:cantSplit/>
          <w:tblHeader w:val="false"/>
        </w:trPr>
        <w:tc>
          <w:tcPr>
            <w:tcW w:type="dxa" w:w="1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Người lao động</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Xử lý để thực hiện hợp đồng lao động và nghĩa vụ theo luật (Luật Bảo vệ dữ liệu cá nhân Điều 19 khoản 1 điểm d, đ) — thông báo, không xin đồng ý</w:t>
            </w:r>
          </w:p>
        </w:tc>
        <w:tc>
          <w:tcPr>
            <w:tcW w:type="dxa" w:w="32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Thông báo số 53/2026/TB-TURBO ngày 02/11/2026 giao kèm hợp đồng lao động, người lao động ký xác nhận đã nhận</w:t>
            </w:r>
          </w:p>
        </w:tc>
        <w:tc>
          <w:tcPr>
            <w:tcW w:type="dxa" w:w="2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Thông báo xử lý dữ liệu cá nhân gửi người lao động</w:t>
            </w:r>
          </w:p>
        </w:tc>
      </w:tr>
      <w:tr>
        <w:trPr>
          <w:cantSplit/>
          <w:tblHeader w:val="false"/>
        </w:trPr>
        <w:tc>
          <w:tcPr>
            <w:tcW w:type="dxa" w:w="1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Người lao động (mục đích cần đồng ý)</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Xin đồng ý riêng từng mục: lưu ảnh thẻ căn cước (nhạy cảm); lưu giấy khám sức khỏe (nhạy cảm); đăng ảnh lên danh bạ nội bộ; đăng ảnh trên website</w:t>
            </w:r>
          </w:p>
        </w:tc>
        <w:tc>
          <w:tcPr>
            <w:tcW w:type="dxa" w:w="32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Phiếu bằng văn bản, mỗi mục có ô Đồng ý/Không đồng ý, không mặc định; mục nhạy cảm ghi rõ "dữ liệu nhạy cảm"; Phòng Pháp chế lưu phiếu; rút lại đồng ý theo quy trình tiếp nhận yêu cầu</w:t>
            </w:r>
          </w:p>
        </w:tc>
        <w:tc>
          <w:tcPr>
            <w:tcW w:type="dxa" w:w="2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Phiếu đồng ý BM-DLCN-03</w:t>
            </w:r>
          </w:p>
        </w:tc>
      </w:tr>
      <w:tr>
        <w:trPr>
          <w:cantSplit/>
          <w:tblHeader w:val="false"/>
        </w:trPr>
        <w:tc>
          <w:tcPr>
            <w:tcW w:type="dxa" w:w="1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Ứng viên</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Đồng ý cho mục đích tuyển dụng; đồng ý riêng để lưu vào nguồn ứng viên 12 tháng</w:t>
            </w:r>
          </w:p>
        </w:tc>
        <w:tc>
          <w:tcPr>
            <w:tcW w:type="dxa" w:w="32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Thông báo đăng kèm tin tuyển dụng; ứng viên tích ô đồng ý trên biểu mẫu ứng tuyển hoặc trả lời thư xác nhận; lưu bản ghi</w:t>
            </w:r>
          </w:p>
        </w:tc>
        <w:tc>
          <w:tcPr>
            <w:tcW w:type="dxa" w:w="2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Thông báo xử lý dữ liệu cá nhân gửi ứng viên</w:t>
            </w:r>
          </w:p>
        </w:tc>
      </w:tr>
      <w:tr>
        <w:trPr>
          <w:cantSplit/>
          <w:tblHeader w:val="false"/>
        </w:trPr>
        <w:tc>
          <w:tcPr>
            <w:tcW w:type="dxa" w:w="1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Khách hàng, đối tác</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Thực hiện hợp đồng, giao dịch; không dùng cho tiếp thị khi chưa có đồng ý</w:t>
            </w:r>
          </w:p>
        </w:tc>
        <w:tc>
          <w:tcPr>
            <w:tcW w:type="dxa" w:w="32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Điều khoản bảo vệ dữ liệu cá nhân trong hợp đồng</w:t>
            </w:r>
          </w:p>
        </w:tc>
        <w:tc>
          <w:tcPr>
            <w:tcW w:type="dxa" w:w="2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1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Người đến trụ sở</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Ghi hình vì an ninh, an toàn — thông báo bằng biển báo (Luật Bảo vệ dữ liệu cá nhân Điều 32)</w:t>
            </w:r>
          </w:p>
        </w:tc>
        <w:tc>
          <w:tcPr>
            <w:tcW w:type="dxa" w:w="32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Biển báo tại sảnh và cửa ra vào</w:t>
            </w:r>
          </w:p>
        </w:tc>
        <w:tc>
          <w:tcPr>
            <w:tcW w:type="dxa" w:w="2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Biển thông báo khu vực có camera</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Nội dung quy định về việc lưu trữ dữ liệu cá nhân (kèm theo văn bản thể hiện chính sách, quy định lưu trữ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Chính sách lưu trữ quy định tại Quy định bảo vệ dữ liệu cá nhân ban hành kèm theo Quyết định số </w:t>
      </w:r>
      <w:r>
        <w:rPr>
          <w:rFonts w:ascii="Times New Roman" w:cs="Times New Roman" w:eastAsia="Times New Roman" w:hAnsi="Times New Roman"/>
          <w:b w:val="false"/>
          <w:bCs w:val="false"/>
          <w:i w:val="false"/>
          <w:iCs w:val="false"/>
          <w:sz w:val="26"/>
          <w:szCs w:val="26"/>
          <w:highlight w:val="yellow"/>
        </w:rPr>
        <w:t xml:space="preserve">56/2026/QĐ-TURBO</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02/11/2026</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Toàn bộ dữ liệu cá nhân lưu tại Việt Nam.</w:t>
      </w:r>
      <w:r>
        <w:rPr>
          <w:rFonts w:ascii="Times New Roman" w:cs="Times New Roman" w:eastAsia="Times New Roman" w:hAnsi="Times New Roman"/>
          <w:b w:val="false"/>
          <w:bCs w:val="false"/>
          <w:i w:val="false"/>
          <w:iCs w:val="false"/>
          <w:sz w:val="26"/>
          <w:szCs w:val="26"/>
        </w:rPr>
        <w:t xml:space="preserve"> Thời hạn lưu: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12"/>
        <w:gridCol w:w="3611"/>
        <w:gridCol w:w="3302"/>
      </w:tblGrid>
      <w:tr>
        <w:trPr>
          <w:cantSplit/>
          <w:tblHeader/>
        </w:trPr>
        <w:tc>
          <w:tcPr>
            <w:tcW w:type="dxa" w:w="21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Nhóm dữ liệu</w:t>
            </w:r>
          </w:p>
        </w:tc>
        <w:tc>
          <w:tcPr>
            <w:tcW w:type="dxa" w:w="36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Thời hạn lưu</w:t>
            </w:r>
          </w:p>
        </w:tc>
        <w:tc>
          <w:tcPr>
            <w:tcW w:type="dxa" w:w="33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Nơi lưu</w:t>
            </w:r>
          </w:p>
        </w:tc>
      </w:tr>
      <w:tr>
        <w:trPr>
          <w:cantSplit/>
          <w:tblHeader w:val="false"/>
        </w:trPr>
        <w:tc>
          <w:tcPr>
            <w:tcW w:type="dxa" w:w="2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Hồ sơ ứng viên không trúng tuyển</w:t>
            </w:r>
          </w:p>
        </w:tc>
        <w:tc>
          <w:tcPr>
            <w:tcW w:type="dxa" w:w="3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30 ngày kể từ khi thông báo kết quả; nguồn ứng viên (nếu đồng ý): 12 tháng</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Hộp thư tuyển dụng, HT-03-ERP</w:t>
            </w:r>
          </w:p>
        </w:tc>
      </w:tr>
      <w:tr>
        <w:trPr>
          <w:cantSplit/>
          <w:tblHeader w:val="false"/>
        </w:trPr>
        <w:tc>
          <w:tcPr>
            <w:tcW w:type="dxa" w:w="2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Hồ sơ nhân sự</w:t>
            </w:r>
          </w:p>
        </w:tc>
        <w:tc>
          <w:tcPr>
            <w:tcW w:type="dxa" w:w="3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Thời gian làm việc và 12 tháng sau khi nghỉ việc, trừ tài liệu pháp luật buộc lưu lâu hơn</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HT-03-ERP, tủ hồ sơ khóa</w:t>
            </w:r>
          </w:p>
        </w:tc>
      </w:tr>
      <w:tr>
        <w:trPr>
          <w:cantSplit/>
          <w:tblHeader w:val="false"/>
        </w:trPr>
        <w:tc>
          <w:tcPr>
            <w:tcW w:type="dxa" w:w="2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Ảnh thẻ căn cước</w:t>
            </w:r>
          </w:p>
        </w:tc>
        <w:tc>
          <w:tcPr>
            <w:tcW w:type="dxa" w:w="3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Đến khi xong thủ tục bảo hiểm xã hội (chậm nhất khi nghỉ việc) hoặc khi rút lại đồng ý</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Kho lưu tách riêng, mã hóa</w:t>
            </w:r>
          </w:p>
        </w:tc>
      </w:tr>
      <w:tr>
        <w:trPr>
          <w:cantSplit/>
          <w:tblHeader w:val="false"/>
        </w:trPr>
        <w:tc>
          <w:tcPr>
            <w:tcW w:type="dxa" w:w="2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Chứng từ lương, bảo hiểm, thuế</w:t>
            </w:r>
          </w:p>
        </w:tc>
        <w:tc>
          <w:tcPr>
            <w:tcW w:type="dxa" w:w="3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Theo thời hạn của pháp luật kế toán, thuế, bảo hiểm</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HT-03-ERP</w:t>
            </w:r>
          </w:p>
        </w:tc>
      </w:tr>
      <w:tr>
        <w:trPr>
          <w:cantSplit/>
          <w:tblHeader w:val="false"/>
        </w:trPr>
        <w:tc>
          <w:tcPr>
            <w:tcW w:type="dxa" w:w="2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Hộp thư của người nghỉ việc</w:t>
            </w:r>
          </w:p>
        </w:tc>
        <w:tc>
          <w:tcPr>
            <w:tcW w:type="dxa" w:w="3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30 ngày để bàn giao, sau đó xóa; bản sao lưu 30 ngày</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Đám mây của Công ty TNHH Dữ liệu Mẫu</w:t>
            </w:r>
          </w:p>
        </w:tc>
      </w:tr>
      <w:tr>
        <w:trPr>
          <w:cantSplit/>
          <w:tblHeader w:val="false"/>
        </w:trPr>
        <w:tc>
          <w:tcPr>
            <w:tcW w:type="dxa" w:w="2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Danh bạ khách hàng, đối tác</w:t>
            </w:r>
          </w:p>
        </w:tc>
        <w:tc>
          <w:tcPr>
            <w:tcW w:type="dxa" w:w="3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Rà soát hằng năm; xóa người liên hệ không giao dịch sau 24 tháng</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HT-02-INTRANET</w:t>
            </w:r>
          </w:p>
        </w:tc>
      </w:tr>
      <w:tr>
        <w:trPr>
          <w:cantSplit/>
          <w:tblHeader w:val="false"/>
        </w:trPr>
        <w:tc>
          <w:tcPr>
            <w:tcW w:type="dxa" w:w="2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Hình ảnh camera</w:t>
            </w:r>
          </w:p>
        </w:tc>
        <w:tc>
          <w:tcPr>
            <w:tcW w:type="dxa" w:w="3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30 ngày, tự ghi đè</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Đầu ghi tại trụ sở</w:t>
            </w:r>
          </w:p>
        </w:tc>
      </w:tr>
      <w:tr>
        <w:trPr>
          <w:cantSplit/>
          <w:tblHeader w:val="false"/>
        </w:trPr>
        <w:tc>
          <w:tcPr>
            <w:tcW w:type="dxa" w:w="2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Dữ liệu chấm công</w:t>
            </w:r>
          </w:p>
        </w:tc>
        <w:tc>
          <w:tcPr>
            <w:tcW w:type="dxa" w:w="3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Theo thời hạn lưu chứng từ tiền lương</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HT-03-ERP</w:t>
            </w:r>
          </w:p>
        </w:tc>
      </w:tr>
      <w:tr>
        <w:trPr>
          <w:cantSplit/>
          <w:tblHeader w:val="false"/>
        </w:trPr>
        <w:tc>
          <w:tcPr>
            <w:tcW w:type="dxa" w:w="2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Nhật ký hệ thống</w:t>
            </w:r>
          </w:p>
        </w:tc>
        <w:tc>
          <w:tcPr>
            <w:tcW w:type="dxa" w:w="3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06 tháng</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Máy chủ nhật ký tại phòng máy trụ sở</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6. Nội dung quy định về việc xóa, hủy dữ liệu cá nhân (kèm theo văn bản thể hiện chính sách, quy định xóa, hủy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Theo Quy định bảo vệ dữ liệu cá nhân nêu tại mục 5: (a) xóa, hủy khi hết thời hạn lưu, khi hoàn thành mục đích, khi chủ thể yêu cầu hợp lệ hoặc rút lại đồng ý, trừ trường hợp pháp luật buộc lưu; (b) dữ liệu điện tử xóa bằng chức năng xóa của phần mềm và khỏi bản sao lưu khi bản sao lưu hết hạn; thiết bị lưu trữ thanh lý được xóa an toàn hoặc hủy vật lý; hồ sơ giấy hủy bằng máy hủy tài liệu; (c) mỗi đợt xóa, hủy có biên bản do đơn vị quản lý dữ liệu lập, nhân sự bảo vệ dữ liệu cá nhân xác nhận; (d) bên xử lý xóa hoặc trả lại toàn bộ dữ liệu khi chấm dứt hợp đồng và gửi xác nhận (Phụ lục hợp đồng số PL-01); (đ) rà soát việc xóa định kỳ 06 tháng.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7. Chuyển giao dữ liệu cá nhân (theo quy định tại Điều 17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Có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 Không: </w:t>
      </w:r>
      <w:r>
        <w:rPr>
          <w:rFonts w:ascii="Times New Roman" w:cs="Times New Roman" w:eastAsia="Times New Roman" w:hAnsi="Times New Roman"/>
          <w:b w:val="false"/>
          <w:bCs w:val="false"/>
          <w:i w:val="false"/>
          <w:iCs w:val="false"/>
          <w:sz w:val="26"/>
          <w:szCs w:val="26"/>
          <w:highlight w:val="yellow"/>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Chuyển giao dữ liệu cá nhân có thu phí:</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Có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 Không: </w:t>
      </w:r>
      <w:r>
        <w:rPr>
          <w:rFonts w:ascii="Times New Roman" w:cs="Times New Roman" w:eastAsia="Times New Roman" w:hAnsi="Times New Roman"/>
          <w:b w:val="false"/>
          <w:bCs w:val="false"/>
          <w:i w:val="false"/>
          <w:iCs w:val="false"/>
          <w:sz w:val="26"/>
          <w:szCs w:val="26"/>
          <w:highlight w:val="yellow"/>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Nội dung: chuyển giao cho bên xử lý theo hợp đồng (Công ty TNHH Dữ liệu Mẫu, Công ty TNHH Phần mềm Mẫu); cung cấp cho cơ quan bảo hiểm xã hội, cơ quan thuế theo quy định; chuyển tệp chi lương cho Ngân hàng TMCP Mẫu.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8. Tham gia hoạt động giao dịch trên sàn dữ liệu: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Có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 Không: </w:t>
      </w:r>
      <w:r>
        <w:rPr>
          <w:rFonts w:ascii="Times New Roman" w:cs="Times New Roman" w:eastAsia="Times New Roman" w:hAnsi="Times New Roman"/>
          <w:b w:val="false"/>
          <w:bCs w:val="false"/>
          <w:i w:val="false"/>
          <w:iCs w:val="false"/>
          <w:sz w:val="26"/>
          <w:szCs w:val="26"/>
          <w:highlight w:val="yellow"/>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9. Kinh doanh dịch vụ xử lý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Có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 Không: </w:t>
      </w:r>
      <w:r>
        <w:rPr>
          <w:rFonts w:ascii="Times New Roman" w:cs="Times New Roman" w:eastAsia="Times New Roman" w:hAnsi="Times New Roman"/>
          <w:b w:val="false"/>
          <w:bCs w:val="false"/>
          <w:i w:val="false"/>
          <w:iCs w:val="false"/>
          <w:sz w:val="26"/>
          <w:szCs w:val="26"/>
          <w:highlight w:val="yellow"/>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Danh mục dịch vụ xử lý dữ liệu cá nhân tổ chức cung cấp: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949"/>
        <w:gridCol w:w="563"/>
        <w:gridCol w:w="3949"/>
        <w:gridCol w:w="564"/>
      </w:tblGrid>
      <w:tr>
        <w:trPr>
          <w:cantSplit/>
          <w:tblHeader/>
        </w:trPr>
        <w:tc>
          <w:tcPr>
            <w:tcW w:type="dxa" w:w="39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Dịch vụ</w:t>
            </w:r>
          </w:p>
        </w:tc>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w:t>
            </w:r>
          </w:p>
        </w:tc>
        <w:tc>
          <w:tcPr>
            <w:tcW w:type="dxa" w:w="39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Dịch vụ</w:t>
            </w:r>
          </w:p>
        </w:tc>
        <w:tc>
          <w:tcPr>
            <w:tcW w:type="dxa" w:w="5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w:t>
            </w:r>
          </w:p>
        </w:tc>
      </w:tr>
      <w:tr>
        <w:trPr>
          <w:cantSplit/>
          <w:tblHeader w:val="false"/>
        </w:trPr>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Dịch vụ cung cấp và vận hành hệ thống, phần mềm tự động để thay mặt Bên kiểm soát, Bên kiểm soát và xử lý tiến hành xử lý dữ liệu cá nhân</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Dịch vụ phân tích và khai thác dữ liệu cá nhân, gồm: sử dụng các công cụ phân tích để tìm kiếm thông tin, xu hướng và mẫu từ dữ liệu cá nhân; áp dụng các phương pháp khai thác dữ liệu để trích xuất giá trị từ dữ liệu cá nhân, dự đoán hành vi người dùng hoặc tối ưu hóa dịch vụ</w:t>
            </w:r>
          </w:p>
        </w:tc>
        <w:tc>
          <w:tcPr>
            <w:tcW w:type="dxa" w:w="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Dịch vụ chấm điểm, xếp hạng, đánh giá mức độ tín nhiệm của chủ thể dữ liệu cá nhân</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Dịch vụ mã hóa dữ liệu cá nhân trong quá trình truyền tải và lưu trữ</w:t>
            </w:r>
          </w:p>
        </w:tc>
        <w:tc>
          <w:tcPr>
            <w:tcW w:type="dxa" w:w="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Dịch vụ thu thập, xử lý dữ liệu cá nhân trực tuyến từ trang web, ứng dụng, phần mềm và mạng xã hội</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Dịch vụ xử lý dữ liệu cá nhân tự động dựa trên công nghệ dữ liệu lớn, trí tuệ nhân tạo, chuỗi khối, vũ trụ ảo</w:t>
            </w:r>
          </w:p>
        </w:tc>
        <w:tc>
          <w:tcPr>
            <w:tcW w:type="dxa" w:w="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Dịch vụ thu thập, xử lý dữ liệu cá nhân qua trang web, ứng dụng, phần mềm chăm sóc sức khỏe, theo dõi sức khỏe, dịch vụ y tế</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Dịch vụ nền tảng ứng dụng cung cấp dữ liệu vị trí cá nhân</w:t>
            </w:r>
          </w:p>
        </w:tc>
        <w:tc>
          <w:tcPr>
            <w:tcW w:type="dxa" w:w="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r>
      <w:tr>
        <w:trPr>
          <w:cantSplit/>
          <w:tblHeader w:val="false"/>
        </w:trPr>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Dịch vụ thu thập, xử lý dữ liệu cá nhân qua ứng dụng, phần mềm giáo dục có yếu tố giám sát như điểm danh, ghi hình, chấm điểm hành vi, nhận diện cảm xúc</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39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10. Chuyển dữ liệu cá nhân xuyên biên giới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Có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 Không: </w:t>
      </w:r>
      <w:r>
        <w:rPr>
          <w:rFonts w:ascii="Times New Roman" w:cs="Times New Roman" w:eastAsia="Times New Roman" w:hAnsi="Times New Roman"/>
          <w:b w:val="false"/>
          <w:bCs w:val="false"/>
          <w:i w:val="false"/>
          <w:iCs w:val="false"/>
          <w:sz w:val="26"/>
          <w:szCs w:val="26"/>
          <w:highlight w:val="yellow"/>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Máy chủ, bản sao lưu thư điện tử của Công ty TNHH Dữ liệu Mẫu đặt tại TP. Hồ Chí Minh (chính) và Hà Nội (dự phòng); nhà cung cấp cam kết không chuyển dữ liệu ra nước ngoài khi chưa có chấp thuận bằng văn bản (Phụ lục PL-01).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11. Biện pháp bảo vệ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11.1. Phương án bảo đảm an toàn dữ liệu cá nhân (nêu rõ các phương án đang triển khai để bảo đảm an toàn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Dữ liệu cá nhân được xử lý trên các hệ thống thông tin đã được phê duyệt cấp độ tại Quyết định số 03/2026/QĐ-PANM ngày 26/10/2026 (HT-02-INTRANET, HT-03-ERP, HT-04-LAN — cấp độ 2). Phương án gồm: (a) phân loại dữ liệu, phân quyền theo vai trò; dữ liệu nhạy cảm chỉ người được giao truy cập; (b) mã hóa dữ liệu trên đám mây khi lưu và khi truyền; (c) sao lưu, khôi phục; (d) ghi và rà soát nhật ký; (đ) quản lý bên xử lý bằng hợp đồng, phụ lục bảo vệ dữ liệu cá nhân; (e) quy trình ứng phó sự cố, thông báo vi phạm trong 72 giờ; (g) đào tạo, cam kết bảo mật của người lao động.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11.2. Biện pháp bảo vệ dữ liệu cá nhân (nêu rõ các biện pháp kỹ thuật, quản lý, đào tạo đã triển khai; việc áp dụng tiêu chuẩn liên quan đến bảo vệ dữ liệu cá nhân; sơ đồ thiết kế hệ thống và các biện pháp bảo vệ tương ứng)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72"/>
        <w:gridCol w:w="6853"/>
      </w:tblGrid>
      <w:tr>
        <w:trPr>
          <w:cantSplit/>
          <w:tblHeader/>
        </w:trPr>
        <w:tc>
          <w:tcPr>
            <w:tcW w:type="dxa" w:w="21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Nhóm</w:t>
            </w:r>
          </w:p>
        </w:tc>
        <w:tc>
          <w:tcPr>
            <w:tcW w:type="dxa" w:w="68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Biện pháp đã triển khai</w:t>
            </w:r>
          </w:p>
        </w:tc>
      </w:tr>
      <w:tr>
        <w:trPr>
          <w:cantSplit/>
          <w:tblHeader w:val="false"/>
        </w:trPr>
        <w:tc>
          <w:tcPr>
            <w:tcW w:type="dxa" w:w="2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Kỹ thuật</w:t>
            </w:r>
          </w:p>
        </w:tc>
        <w:tc>
          <w:tcPr>
            <w:tcW w:type="dxa" w:w="6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Xác thực đa yếu tố cho truy cập từ Internet và tài khoản quản trị; mật khẩu tối thiểu 08 ký tự (có xác thực đa yếu tố) hoặc 14 ký tự; khóa tài khoản không hoạt động sau 45 ngày; mã hóa ổ đĩa máy xách tay; kho ảnh thẻ căn cước tách riêng, mã hóa; thư điện tử mã hóa khi lưu và truyền, lọc thư rác, mã độc; tường lửa phân vùng mạng; sao lưu cơ sở dữ liệu ERP hằng ngày; nhật ký lưu 06 tháng; nhà cung cấp phần mềm hỗ trợ từ xa qua kết nối riêng có xác thực đa yếu tố, mở theo phiên</w:t>
            </w:r>
          </w:p>
        </w:tc>
      </w:tr>
      <w:tr>
        <w:trPr>
          <w:cantSplit/>
          <w:tblHeader w:val="false"/>
        </w:trPr>
        <w:tc>
          <w:tcPr>
            <w:tcW w:type="dxa" w:w="2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Quản lý</w:t>
            </w:r>
          </w:p>
        </w:tc>
        <w:tc>
          <w:tcPr>
            <w:tcW w:type="dxa" w:w="6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Quy chế bảo đảm an ninh mạng (Quyết định số 41/2026/QĐ-TURBO ngày 05/10/2026); Quy định bảo vệ dữ liệu cá nhân (Quyết định số 56/2026/QĐ-TURBO); chỉ định nhân sự bảo vệ dữ liệu cá nhân (Quyết định số 55/2026/QĐ-TURBO); cam kết bảo mật của người lao động (BM-DLCN-04); phụ lục hợp đồng với bên xử lý; rà soát tài khoản, phân quyền hằng năm</w:t>
            </w:r>
          </w:p>
        </w:tc>
      </w:tr>
      <w:tr>
        <w:trPr>
          <w:cantSplit/>
          <w:tblHeader w:val="false"/>
        </w:trPr>
        <w:tc>
          <w:tcPr>
            <w:tcW w:type="dxa" w:w="2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Đào tạo</w:t>
            </w:r>
          </w:p>
        </w:tc>
        <w:tc>
          <w:tcPr>
            <w:tcW w:type="dxa" w:w="6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Phổ biến nhận thức an ninh mạng và bảo vệ dữ liệu cá nhân cho toàn bộ 40 người dùng 01 lần/năm và khi tuyển mới; nhân sự bảo vệ dữ liệu cá nhân được đào tạo chuyên sâu</w:t>
            </w:r>
          </w:p>
        </w:tc>
      </w:tr>
      <w:tr>
        <w:trPr>
          <w:cantSplit/>
          <w:tblHeader w:val="false"/>
        </w:trPr>
        <w:tc>
          <w:tcPr>
            <w:tcW w:type="dxa" w:w="2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Tiêu chuẩn áp dụng</w:t>
            </w:r>
          </w:p>
        </w:tc>
        <w:tc>
          <w:tcPr>
            <w:tcW w:type="dxa" w:w="6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TCVN 14423:2026 (yêu cầu cơ bản cho hệ thống thông tin cấp độ 2 — mục 4) cho các hệ thống xử lý dữ liệu cá nhân; chưa áp dụng tiêu chuẩn riêng về bảo vệ dữ liệu cá nhân</w:t>
            </w:r>
          </w:p>
        </w:tc>
      </w:tr>
      <w:tr>
        <w:trPr>
          <w:cantSplit/>
          <w:tblHeader w:val="false"/>
        </w:trPr>
        <w:tc>
          <w:tcPr>
            <w:tcW w:type="dxa" w:w="21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Sơ đồ thiết kế hệ thống</w:t>
            </w:r>
          </w:p>
        </w:tc>
        <w:tc>
          <w:tcPr>
            <w:tcW w:type="dxa" w:w="6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Sơ đồ mạng, vùng mạng và danh mục thiết bị tại hồ sơ đề xuất cấp độ phiên bản 1.0 ngày 12/10/2026; sơ đồ luồng dữ liệu cá nhân tại Phụ lục 1</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11.3. Kiểm tra, đánh giá an ninh mạng, an toàn hệ thống thông tin, phương tiện, thiết bị nhằm bảo vệ dữ liệu cá nhân (nêu cụ thể nội dung, đối tượng, tần suất, mục đích)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81"/>
        <w:gridCol w:w="2236"/>
        <w:gridCol w:w="1957"/>
        <w:gridCol w:w="2951"/>
      </w:tblGrid>
      <w:tr>
        <w:trPr>
          <w:cantSplit/>
          <w:tblHeader/>
        </w:trPr>
        <w:tc>
          <w:tcPr>
            <w:tcW w:type="dxa" w:w="18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c>
          <w:tcPr>
            <w:tcW w:type="dxa" w:w="22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Đối tượng</w:t>
            </w:r>
          </w:p>
        </w:tc>
        <w:tc>
          <w:tcPr>
            <w:tcW w:type="dxa" w:w="19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Tần suất</w:t>
            </w:r>
          </w:p>
        </w:tc>
        <w:tc>
          <w:tcPr>
            <w:tcW w:type="dxa" w:w="29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Mục đích</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Rà quét lỗ hổng</w:t>
            </w:r>
          </w:p>
        </w:tc>
        <w:tc>
          <w:tcPr>
            <w:tcW w:type="dxa" w:w="2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Máy chủ, thiết bị mạng, máy trạm của HT-02, HT-03, HT-04</w:t>
            </w:r>
          </w:p>
        </w:tc>
        <w:tc>
          <w:tcPr>
            <w:tcW w:type="dxa" w:w="19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01 lần/năm và sau thay đổi lớn</w:t>
            </w:r>
          </w:p>
        </w:tc>
        <w:tc>
          <w:tcPr>
            <w:tcW w:type="dxa" w:w="29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Phát hiện, khắc phục điểm yếu có thể làm lộ dữ liệu</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Rà soát tài khoản, phân quyền dữ liệu</w:t>
            </w:r>
          </w:p>
        </w:tc>
        <w:tc>
          <w:tcPr>
            <w:tcW w:type="dxa" w:w="2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Active Directory, ERP, kho ảnh thẻ căn cước, hộp thư</w:t>
            </w:r>
          </w:p>
        </w:tc>
        <w:tc>
          <w:tcPr>
            <w:tcW w:type="dxa" w:w="19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01 lần/năm; kho dữ liệu nhạy cảm 06 tháng/lần</w:t>
            </w:r>
          </w:p>
        </w:tc>
        <w:tc>
          <w:tcPr>
            <w:tcW w:type="dxa" w:w="29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Bảo đảm chỉ người được giao truy cập</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Khôi phục thử bản sao lưu</w:t>
            </w:r>
          </w:p>
        </w:tc>
        <w:tc>
          <w:tcPr>
            <w:tcW w:type="dxa" w:w="2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Cơ sở dữ liệu ERP, dữ liệu Intranet</w:t>
            </w:r>
          </w:p>
        </w:tc>
        <w:tc>
          <w:tcPr>
            <w:tcW w:type="dxa" w:w="19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06 tháng/lần</w:t>
            </w:r>
          </w:p>
        </w:tc>
        <w:tc>
          <w:tcPr>
            <w:tcW w:type="dxa" w:w="29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Bảo đảm tính sẵn sàng, toàn vẹn</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Rà soát nhật ký</w:t>
            </w:r>
          </w:p>
        </w:tc>
        <w:tc>
          <w:tcPr>
            <w:tcW w:type="dxa" w:w="2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Nhật ký đăng nhập, truy cập dữ liệu nhạy cảm</w:t>
            </w:r>
          </w:p>
        </w:tc>
        <w:tc>
          <w:tcPr>
            <w:tcW w:type="dxa" w:w="19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01 lần/năm; dữ liệu nhạy cảm 06 tháng/lần</w:t>
            </w:r>
          </w:p>
        </w:tc>
        <w:tc>
          <w:tcPr>
            <w:tcW w:type="dxa" w:w="29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Phát hiện truy cập bất thường</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Đánh giá tuân thủ bảo vệ dữ liệu cá nhân của nhà cung cấp đám mây</w:t>
            </w:r>
          </w:p>
        </w:tc>
        <w:tc>
          <w:tcPr>
            <w:tcW w:type="dxa" w:w="2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Công ty TNHH Dữ liệu Mẫu</w:t>
            </w:r>
          </w:p>
        </w:tc>
        <w:tc>
          <w:tcPr>
            <w:tcW w:type="dxa" w:w="19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01 lần/năm (nhà cung cấp gửi kết quả)</w:t>
            </w:r>
          </w:p>
        </w:tc>
        <w:tc>
          <w:tcPr>
            <w:tcW w:type="dxa" w:w="29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Kiểm soát bên xử lý (Nghị định số 356/2025/NĐ-CP Điều 12 khoản 3 điểm d)</w:t>
            </w:r>
          </w:p>
        </w:tc>
      </w:tr>
      <w:tr>
        <w:trPr>
          <w:cantSplit/>
          <w:tblHeader w:val="false"/>
        </w:trPr>
        <w:tc>
          <w:tcPr>
            <w:tcW w:type="dxa" w:w="18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Tự đánh giá tuân thủ bảo vệ dữ liệu cá nhân</w:t>
            </w:r>
          </w:p>
        </w:tc>
        <w:tc>
          <w:tcPr>
            <w:tcW w:type="dxa" w:w="2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Toàn Công ty</w:t>
            </w:r>
          </w:p>
        </w:tc>
        <w:tc>
          <w:tcPr>
            <w:tcW w:type="dxa" w:w="19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01 lần/năm</w:t>
            </w:r>
          </w:p>
        </w:tc>
        <w:tc>
          <w:tcPr>
            <w:tcW w:type="dxa" w:w="29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Phát hiện, khắc phục thiếu sót</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12. Đánh giá tuân thủ các quy định về bảo vệ dữ liệu cá nhân (nêu cụ thể hình thức, thời điểm và kết quả đánh giá tuân thủ)</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Hình thức: </w:t>
      </w:r>
      <w:r>
        <w:rPr>
          <w:rFonts w:ascii="Times New Roman" w:cs="Times New Roman" w:eastAsia="Times New Roman" w:hAnsi="Times New Roman"/>
          <w:b w:val="false"/>
          <w:bCs w:val="false"/>
          <w:i w:val="false"/>
          <w:iCs w:val="false"/>
          <w:sz w:val="26"/>
          <w:szCs w:val="26"/>
          <w:highlight w:val="yellow"/>
        </w:rPr>
        <w:t xml:space="preserve">Tự đánh giá do nhân sự bảo vệ dữ liệu cá nhân thực hiện, đối chiếu bảng kiểm kê dữ liệu cá nhân và danh mục nghĩa vụ bảo vệ dữ liệu cá nhân; phỏng vấn Phòng Hành chính – Nhân sự, Phòng Tài chính – Kế toán, Phòng Vận hành hệ thống; kiểm tra mẫu hồ sơ</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Thời điểm: </w:t>
      </w:r>
      <w:r>
        <w:rPr>
          <w:rFonts w:ascii="Times New Roman" w:cs="Times New Roman" w:eastAsia="Times New Roman" w:hAnsi="Times New Roman"/>
          <w:b w:val="false"/>
          <w:bCs w:val="false"/>
          <w:i w:val="false"/>
          <w:iCs w:val="false"/>
          <w:sz w:val="26"/>
          <w:szCs w:val="26"/>
          <w:highlight w:val="yellow"/>
        </w:rPr>
        <w:t xml:space="preserve">Từ ngày 16/11/2026 đến ngày 18/11/2026 (biên bản ngày 18/11/2026)</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Kết quả: </w:t>
      </w:r>
      <w:r>
        <w:rPr>
          <w:rFonts w:ascii="Times New Roman" w:cs="Times New Roman" w:eastAsia="Times New Roman" w:hAnsi="Times New Roman"/>
          <w:b w:val="false"/>
          <w:bCs w:val="false"/>
          <w:i w:val="false"/>
          <w:iCs w:val="false"/>
          <w:sz w:val="26"/>
          <w:szCs w:val="26"/>
          <w:highlight w:val="yellow"/>
        </w:rPr>
        <w:t xml:space="preserve">Đáp ứng 24/28 nội dung; 04 nội dung đáp ứng một phần, có kế hoạch khắc phục dưới đây; không phát hiện vi phạm gây tổn hại cho chủ thể</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225"/>
        <w:gridCol w:w="2559"/>
        <w:gridCol w:w="1410"/>
        <w:gridCol w:w="1831"/>
      </w:tblGrid>
      <w:tr>
        <w:trPr>
          <w:cantSplit/>
          <w:tblHeader/>
        </w:trPr>
        <w:tc>
          <w:tcPr>
            <w:tcW w:type="dxa" w:w="32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Tồn tại</w:t>
            </w:r>
          </w:p>
        </w:tc>
        <w:tc>
          <w:tcPr>
            <w:tcW w:type="dxa" w:w="25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Biện pháp khắc phục</w:t>
            </w:r>
          </w:p>
        </w:tc>
        <w:tc>
          <w:tcPr>
            <w:tcW w:type="dxa" w:w="14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Hạn</w:t>
            </w:r>
          </w:p>
        </w:tc>
        <w:tc>
          <w:tcPr>
            <w:tcW w:type="dxa" w:w="18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Đơn vị thực hiện</w:t>
            </w:r>
          </w:p>
        </w:tc>
      </w:tr>
      <w:tr>
        <w:trPr>
          <w:cantSplit/>
          <w:tblHeader w:val="false"/>
        </w:trPr>
        <w:tc>
          <w:tcPr>
            <w:tcW w:type="dxa" w:w="32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Ảnh thẻ căn cước thu trước ngày 02/11/2026 còn lưu lẫn trong thư mục hồ sơ nhân sự</w:t>
            </w:r>
          </w:p>
        </w:tc>
        <w:tc>
          <w:tcPr>
            <w:tcW w:type="dxa" w:w="2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Xin đồng ý lại hoặc xóa; chuyển ảnh còn giữ sang kho mã hóa</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31/12/2026</w:t>
            </w:r>
          </w:p>
        </w:tc>
        <w:tc>
          <w:tcPr>
            <w:tcW w:type="dxa" w:w="1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Hành chính – Nhân sự</w:t>
            </w:r>
          </w:p>
        </w:tc>
      </w:tr>
      <w:tr>
        <w:trPr>
          <w:cantSplit/>
          <w:tblHeader w:val="false"/>
        </w:trPr>
        <w:tc>
          <w:tcPr>
            <w:tcW w:type="dxa" w:w="32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ký phụ lục bảo vệ dữ liệu cá nhân với Công ty TNHH Phần mềm Mẫu (bảo trì ERP)</w:t>
            </w:r>
          </w:p>
        </w:tc>
        <w:tc>
          <w:tcPr>
            <w:tcW w:type="dxa" w:w="2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Ký phụ lục theo mẫu của Công ty; nộp Mẫu số 03a cập nhật hồ sơ</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15/12/2026</w:t>
            </w:r>
          </w:p>
        </w:tc>
        <w:tc>
          <w:tcPr>
            <w:tcW w:type="dxa" w:w="1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 Phòng Pháp chế</w:t>
            </w:r>
          </w:p>
        </w:tc>
      </w:tr>
      <w:tr>
        <w:trPr>
          <w:cantSplit/>
          <w:tblHeader w:val="false"/>
        </w:trPr>
        <w:tc>
          <w:tcPr>
            <w:tcW w:type="dxa" w:w="32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Bảng lương gửi qua thư điện tử dưới dạng bảng tính không mã hóa</w:t>
            </w:r>
          </w:p>
        </w:tc>
        <w:tc>
          <w:tcPr>
            <w:tcW w:type="dxa" w:w="2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Chuyển sang phiếu lương cá nhân trên ERP; tệp gửi ra ngoài phải mã hóa</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31/01/2027</w:t>
            </w:r>
          </w:p>
        </w:tc>
        <w:tc>
          <w:tcPr>
            <w:tcW w:type="dxa" w:w="1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Tài chính – Kế toán</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III. ĐÁNH GIÁ TÁC ĐỘNG XỬ LÝ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Đánh giá tổng quan tình hình, hoạt động kinh doanh có liên quan tới việc thu thập, xử lý dữ liệu cá nhân (nêu rõ sự cần thiết của hoạt động xử lý dữ liệu cá nhân trong lĩnh vực hoạt động của tổ chức; thực trạng xử lý dữ liệu cá nhân của tổ chức bao gồm thuận lợi và khó khăn, rủi ro trong việc xử lý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Sự cần thiết: </w:t>
      </w:r>
      <w:r>
        <w:rPr>
          <w:rFonts w:ascii="Times New Roman" w:cs="Times New Roman" w:eastAsia="Times New Roman" w:hAnsi="Times New Roman"/>
          <w:b w:val="false"/>
          <w:bCs w:val="false"/>
          <w:i w:val="false"/>
          <w:iCs w:val="false"/>
          <w:sz w:val="26"/>
          <w:szCs w:val="26"/>
          <w:highlight w:val="yellow"/>
        </w:rPr>
        <w:t xml:space="preserve">Công ty hoạt động trong lĩnh vực dịch vụ công nghệ thông tin với 38 người lao động và 02 cộng tác viên; xử lý dữ liệu cá nhân chủ yếu phục vụ quản trị nội bộ (tuyển dụng, quản lý lao động, trả lương, bảo hiểm, thuế), liên lạc với khách hàng, đối tác và bảo đảm an ninh. Công ty không mua bán, không kinh doanh dịch vụ xử lý dữ liệu cá nhân, không dùng dữ liệu cho quảng cáo, không chuyển dữ liệu ra nước ngoài.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Thuận lợi: </w:t>
      </w:r>
      <w:r>
        <w:rPr>
          <w:rFonts w:ascii="Times New Roman" w:cs="Times New Roman" w:eastAsia="Times New Roman" w:hAnsi="Times New Roman"/>
          <w:b w:val="false"/>
          <w:bCs w:val="false"/>
          <w:i w:val="false"/>
          <w:iCs w:val="false"/>
          <w:sz w:val="26"/>
          <w:szCs w:val="26"/>
          <w:highlight w:val="yellow"/>
        </w:rPr>
        <w:t xml:space="preserve">Dữ liệu tập trung trên ít hệ thống (Intranet, ERP, Active Directory) đã được phê duyệt cấp độ 2 và có quy chế an ninh mạng; đã chuyển chấm công vân tay sang thẻ từ, không còn xử lý dữ liệu sinh trắc học; đã ban hành thông báo, phiếu đồng ý, quy trình yêu cầu của chủ thể, phụ lục hợp đồng với nhà cung cấp thư điện tử.</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Khó khăn, rủi ro: </w:t>
      </w:r>
      <w:r>
        <w:rPr>
          <w:rFonts w:ascii="Times New Roman" w:cs="Times New Roman" w:eastAsia="Times New Roman" w:hAnsi="Times New Roman"/>
          <w:b w:val="false"/>
          <w:bCs w:val="false"/>
          <w:i w:val="false"/>
          <w:iCs w:val="false"/>
          <w:sz w:val="26"/>
          <w:szCs w:val="26"/>
          <w:highlight w:val="yellow"/>
        </w:rPr>
        <w:t xml:space="preserve">Quy mô nhỏ, nhân sự bảo vệ dữ liệu cá nhân kiêm nhiệm; dữ liệu nhạy cảm (ảnh thẻ căn cước, sức khỏe) và dữ liệu lương còn được trao đổi qua thư điện tử, bảng tính; nhà cung cấp phần mềm ERP có quyền truy cập từ xa; thời hạn lưu một số chứng từ phụ thuộc pháp luật chuyên ngành chưa được rà soát đầy đủ.</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Đánh giá tác động việc xử lý dữ liệu cá nhân (đánh giá theo từng nội dung cụ thể, phân tích mỗi vấn đề, bao gồm mô tả thực trạng, phân tích yêu cầu, dự kiến tình huống phát sinh, nguyên nhân, giải pháp; đánh giá tác động các giải pháp đề xuất (tích cực, tiêu cực) của từng giải pháp; kiến nghị trên cơ sở so sánh tác động tích cực, tiêu cực. Tác động được đánh giá theo phương pháp định lượng, phương pháp định tính, nêu rõ hậu quả, thiệt hại không mong muốn có khả năng xảy ra, các biện pháp giảm thiểu hoặc loại bỏ nguy cơ, tác hại đó.)</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Phương pháp: </w:t>
      </w:r>
      <w:r>
        <w:rPr>
          <w:rFonts w:ascii="Times New Roman" w:cs="Times New Roman" w:eastAsia="Times New Roman" w:hAnsi="Times New Roman"/>
          <w:b w:val="false"/>
          <w:bCs w:val="false"/>
          <w:i w:val="false"/>
          <w:iCs w:val="false"/>
          <w:sz w:val="26"/>
          <w:szCs w:val="26"/>
          <w:highlight w:val="yellow"/>
        </w:rPr>
        <w:t xml:space="preserve">định tính (phân tích tình huống, nguyên nhân, hậu quả) kết hợp định lượng theo thang Khả năng (K, 1–5) × Tác động (T, 1–5): Mức = K × T; 1–4 Thấp, 5–9 Trung bình, 10–25 Cao — cùng thang với sổ đăng ký rủi ro an ninh mạng của Công ty.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2.1. Tác động đến chủ thể dữ liệu: được đánh giá trên cơ sở phân tích khả năng tác động trực tiếp của việc xử lý dữ liệu cá nhân tới các quyền và lợi ích của chủ thể dữ liệu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 Xác định các khía cạnh bị tác động và vấn đề</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30"/>
        <w:gridCol w:w="1405"/>
        <w:gridCol w:w="1508"/>
        <w:gridCol w:w="1967"/>
        <w:gridCol w:w="1080"/>
        <w:gridCol w:w="1563"/>
        <w:gridCol w:w="972"/>
      </w:tblGrid>
      <w:tr>
        <w:trPr>
          <w:cantSplit/>
          <w:tblHeader/>
        </w:trPr>
        <w:tc>
          <w:tcPr>
            <w:tcW w:type="dxa" w:w="5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14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Nhóm dữ liệu</w:t>
            </w:r>
          </w:p>
        </w:tc>
        <w:tc>
          <w:tcPr>
            <w:tcW w:type="dxa" w:w="15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Tình huống rủi ro</w:t>
            </w:r>
          </w:p>
        </w:tc>
        <w:tc>
          <w:tcPr>
            <w:tcW w:type="dxa" w:w="196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Hậu quả, thiệt hại có thể xảy ra</w:t>
            </w:r>
          </w:p>
        </w:tc>
        <w:tc>
          <w:tcPr>
            <w:tcW w:type="dxa" w:w="10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Mức ban đầu</w:t>
            </w:r>
          </w:p>
        </w:tc>
        <w:tc>
          <w:tcPr>
            <w:tcW w:type="dxa" w:w="1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Biện pháp giảm thiểu</w:t>
            </w:r>
          </w:p>
        </w:tc>
        <w:tc>
          <w:tcPr>
            <w:tcW w:type="dxa" w:w="9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Mức còn lại</w:t>
            </w: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R1</w:t>
            </w:r>
          </w:p>
        </w:tc>
        <w:tc>
          <w:tcPr>
            <w:tcW w:type="dxa" w:w="14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Hồ sơ nhân sự — ảnh thẻ căn cước (nhạy cảm)</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Truy cập trái phép, sao chép, gửi ra ngoài</w:t>
            </w:r>
          </w:p>
        </w:tc>
        <w:tc>
          <w:tcPr>
            <w:tcW w:type="dxa" w:w="1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Giả mạo danh tính, mở tài khoản, vay tiền đứng tên người lao động</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2×4 = 8</w:t>
            </w:r>
          </w:p>
        </w:tc>
        <w:tc>
          <w:tcPr>
            <w:tcW w:type="dxa" w:w="1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Chỉ lưu khi thủ tục bảo hiểm xã hội yêu cầu và có đồng ý; kho mã hóa riêng, 02 người được truy cập; xóa khi xong thủ tục</w:t>
            </w:r>
          </w:p>
        </w:tc>
        <w:tc>
          <w:tcPr>
            <w:tcW w:type="dxa" w:w="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1×4 = 4</w:t>
            </w: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R2</w:t>
            </w:r>
          </w:p>
        </w:tc>
        <w:tc>
          <w:tcPr>
            <w:tcW w:type="dxa" w:w="14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Lương, bảo hiểm, thuế, sức khỏe</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Gửi nhầm bảng lương, giấy tờ sức khỏe qua thư điện tử; bảng tính không đặt mật khẩu</w:t>
            </w:r>
          </w:p>
        </w:tc>
        <w:tc>
          <w:tcPr>
            <w:tcW w:type="dxa" w:w="1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Lộ thu nhập, số tài khoản, tình trạng sức khỏe; bị lừa đảo, phân biệt đối xử, ảnh hưởng danh dự</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3×4 = 12</w:t>
            </w:r>
          </w:p>
        </w:tc>
        <w:tc>
          <w:tcPr>
            <w:tcW w:type="dxa" w:w="1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Phiếu lương cá nhân qua ERP; tệp gửi ra ngoài phải mã hóa; cảnh báo khi gửi thư ra ngoài tổ chức; tắt tự động gợi ý địa chỉ ngoài; đào tạo Phòng Tài chính – Kế toán</w:t>
            </w:r>
          </w:p>
        </w:tc>
        <w:tc>
          <w:tcPr>
            <w:tcW w:type="dxa" w:w="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2×3 = 6</w:t>
            </w: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R3</w:t>
            </w:r>
          </w:p>
        </w:tc>
        <w:tc>
          <w:tcPr>
            <w:tcW w:type="dxa" w:w="14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Tuyển dụng</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Giữ hồ sơ ứng viên không trúng tuyển quá thời hạn; dùng cho mục đích khác</w:t>
            </w:r>
          </w:p>
        </w:tc>
        <w:tc>
          <w:tcPr>
            <w:tcW w:type="dxa" w:w="1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Vi phạm quyền của ứng viên; lộ thông tin khi hộp thư bị xâm nhập</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3×2 = 6</w:t>
            </w:r>
          </w:p>
        </w:tc>
        <w:tc>
          <w:tcPr>
            <w:tcW w:type="dxa" w:w="1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Xóa sau 30 ngày; chỉ lưu vào nguồn khi có đồng ý; nhắc xóa hằng tháng</w:t>
            </w:r>
          </w:p>
        </w:tc>
        <w:tc>
          <w:tcPr>
            <w:tcW w:type="dxa" w:w="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1×2 = 2</w:t>
            </w: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R4</w:t>
            </w:r>
          </w:p>
        </w:tc>
        <w:tc>
          <w:tcPr>
            <w:tcW w:type="dxa" w:w="14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Thư điện tử, văn phòng điện tử</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Tài khoản bị chiếm qua thư lừa đảo; lộ thư, tệp đính kèm</w:t>
            </w:r>
          </w:p>
        </w:tc>
        <w:tc>
          <w:tcPr>
            <w:tcW w:type="dxa" w:w="1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Lộ dữ liệu của người lao động, khách hàng; giả mạo thư để lừa đảo</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3×3 = 9</w:t>
            </w:r>
          </w:p>
        </w:tc>
        <w:tc>
          <w:tcPr>
            <w:tcW w:type="dxa" w:w="1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Xác thực đa yếu tố; lọc thư; đào tạo nhận diện lừa đảo; mã hóa khi lưu, truyền; nhà cung cấp báo sự cố trong 12 giờ</w:t>
            </w:r>
          </w:p>
        </w:tc>
        <w:tc>
          <w:tcPr>
            <w:tcW w:type="dxa" w:w="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2×3 = 6</w:t>
            </w: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R5</w:t>
            </w:r>
          </w:p>
        </w:tc>
        <w:tc>
          <w:tcPr>
            <w:tcW w:type="dxa" w:w="14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Danh bạ khách hàng, đối tác</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Dùng cho tiếp thị khi chưa có đồng ý; lưu quá lâu</w:t>
            </w:r>
          </w:p>
        </w:tc>
        <w:tc>
          <w:tcPr>
            <w:tcW w:type="dxa" w:w="1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Làm phiền, khiếu nại của chủ thể</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2×2 = 4</w:t>
            </w:r>
          </w:p>
        </w:tc>
        <w:tc>
          <w:tcPr>
            <w:tcW w:type="dxa" w:w="1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Phân quyền theo Phòng Kinh doanh; không gửi tiếp thị khi chưa có đồng ý; xóa sau 24 tháng không giao dịch</w:t>
            </w:r>
          </w:p>
        </w:tc>
        <w:tc>
          <w:tcPr>
            <w:tcW w:type="dxa" w:w="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1×2 = 2</w:t>
            </w: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R6</w:t>
            </w:r>
          </w:p>
        </w:tc>
        <w:tc>
          <w:tcPr>
            <w:tcW w:type="dxa" w:w="14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Camera</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Trích xuất, chia sẻ hình ảnh trái phép; ghi hình khu vực riêng tư</w:t>
            </w:r>
          </w:p>
        </w:tc>
        <w:tc>
          <w:tcPr>
            <w:tcW w:type="dxa" w:w="1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Xâm phạm đời sống riêng tư, danh dự</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2×3 = 6</w:t>
            </w:r>
          </w:p>
        </w:tc>
        <w:tc>
          <w:tcPr>
            <w:tcW w:type="dxa" w:w="1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Không lắp tại khu vực riêng tư; biển báo; ghi đè sau 30 ngày; trích xuất phải được phê duyệt, ghi sổ</w:t>
            </w:r>
          </w:p>
        </w:tc>
        <w:tc>
          <w:tcPr>
            <w:tcW w:type="dxa" w:w="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1×3 = 3</w:t>
            </w: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R7</w:t>
            </w:r>
          </w:p>
        </w:tc>
        <w:tc>
          <w:tcPr>
            <w:tcW w:type="dxa" w:w="14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Chấm công thẻ từ</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Dùng giờ vào, ra để giám sát ngoài mục đích tính công</w:t>
            </w:r>
          </w:p>
        </w:tc>
        <w:tc>
          <w:tcPr>
            <w:tcW w:type="dxa" w:w="1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Người lao động bị giám sát mà không được biết</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2×2 = 4</w:t>
            </w:r>
          </w:p>
        </w:tc>
        <w:tc>
          <w:tcPr>
            <w:tcW w:type="dxa" w:w="1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Chỉ dùng để tính công; đã thông báo cho người lao động (Luật Bảo vệ dữ liệu cá nhân Điều 25 khoản 3)</w:t>
            </w:r>
          </w:p>
        </w:tc>
        <w:tc>
          <w:tcPr>
            <w:tcW w:type="dxa" w:w="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1×2 = 2</w:t>
            </w: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R8</w:t>
            </w:r>
          </w:p>
        </w:tc>
        <w:tc>
          <w:tcPr>
            <w:tcW w:type="dxa" w:w="14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Nhật ký hệ thống, truy cập Internet</w:t>
            </w:r>
          </w:p>
        </w:tc>
        <w:tc>
          <w:tcPr>
            <w:tcW w:type="dxa" w:w="15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Dùng nhật ký để theo dõi hành vi cá nhân vượt mục đích an ninh</w:t>
            </w:r>
          </w:p>
        </w:tc>
        <w:tc>
          <w:tcPr>
            <w:tcW w:type="dxa" w:w="1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Xâm phạm quyền riêng tư của người lao động</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2×3 = 6</w:t>
            </w:r>
          </w:p>
        </w:tc>
        <w:tc>
          <w:tcPr>
            <w:tcW w:type="dxa" w:w="1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Chỉ Phòng An ninh mạng, Phòng Vận hành hệ thống truy cập; chỉ dùng điều tra sự cố; lưu 06 tháng; đã thông báo cho người lao động</w:t>
            </w:r>
          </w:p>
        </w:tc>
        <w:tc>
          <w:tcPr>
            <w:tcW w:type="dxa" w:w="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1×3 = 3</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2\. Mục tiêu giải quyết vấn đề</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Không để rủi ro nào đối với chủ thể ở mức Cao; đưa R2 về mức Trung bình trước 31/01/2027; bảo đảm chủ thể được biết và được thực hiện quyền đúng thời hạn tại Nghị định số 356/2025/NĐ-CP Điều 5; giảm lượng dữ liệu nhạy cảm phải lưu.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3\. Các biện pháp bảo vệ dữ liệu cá nhân đã áp dụng và đề xuất để giải quyết vấn đề</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Đã áp dụng: thông báo xử lý dữ liệu cho người lao động, ứng viên; phiếu đồng ý tách từng mục; bỏ chấm công vân tay; chỉ lưu số định danh thay cho ảnh thẻ căn cước khi không bắt buộc; kho mã hóa riêng; xác thực đa yếu tố; phụ lục hợp đồng với nhà cung cấp thư điện tử; quy trình tiếp nhận yêu cầu của chủ thể. Đề xuất: phiếu lương cá nhân qua ERP, mã hóa tệp gửi ra ngoài, cảnh báo gửi thư ra ngoài (R2); ký phụ lục bảo vệ dữ liệu cá nhân với Công ty TNHH Phần mềm Mẫu; nhắc xóa tự động hồ sơ ứng viên (R3).</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4\. Đánh giá hiệu quả và tác động của các biện pháp đối với đối tượng chịu sự tác động trực tiếp của biện pháp và các đối tượng khác có liên quan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Tích cực: giảm khả năng lộ dữ liệu nhạy cảm, dữ liệu lương; chủ thể được biết và kiểm soát dữ liệu của mình; giảm nguy cơ bị xử phạt. Tiêu cực: người lao động phải thao tác thêm (xác thực đa yếu tố, mã hóa tệp); Phòng Tài chính – Kế toán mất khoảng 01 tháng để chuyển sang phiếu lương trên ERP; người lao động không đồng ý lưu ảnh thẻ căn cước phải tự nộp bản sao khi làm thủ tục. Chi phí nhỏ (dùng tính năng sẵn có của ERP và dịch vụ thư điện tử).</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 Kiến nghị biện pháp bảo vệ dữ liệu cá nhân lựa chọn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Lựa chọn toàn bộ biện pháp tại tiểu mục 3; ưu tiên R2 và R4 (mức ban đầu cao nhất); nhân sự bảo vệ dữ liệu cá nhân theo dõi, báo cáo Tổng Giám đốc kết quả khắc phục trong lần rà soát hồ sơ 06 tháng.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2.2. Tác động đến an ninh, an toàn thông tin hệ thống của tổ chức: được đánh giá dựa trên khả năng ảnh hưởng trực tiếp của hoạt động xử lý dữ liệu cá nhân tới mức độ bảo mật, toàn vẹn và khả năng sẵn sàng của hệ thống thông tin. Việc đánh giá tập trung vào các yếu tố liên quan đến nguy cơ lộ lọt, truy cập trái phép, thay đổi trái phép dữ liệu, gián đoạn vận hành hệ thống, mức độ đáp ứng của các biện pháp kỹ thuật hiện hữu và khả năng phát sinh lỗ hổng bảo mật trong quá trình xử lý dữ liệu.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 Xác định các khía cạnh tác động và vấn đề</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30"/>
        <w:gridCol w:w="2022"/>
        <w:gridCol w:w="1160"/>
        <w:gridCol w:w="1677"/>
        <w:gridCol w:w="970"/>
        <w:gridCol w:w="1694"/>
        <w:gridCol w:w="972"/>
      </w:tblGrid>
      <w:tr>
        <w:trPr>
          <w:cantSplit/>
          <w:tblHeader/>
        </w:trPr>
        <w:tc>
          <w:tcPr>
            <w:tcW w:type="dxa" w:w="5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20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Hệ thống</w:t>
            </w:r>
          </w:p>
        </w:tc>
        <w:tc>
          <w:tcPr>
            <w:tcW w:type="dxa" w:w="116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Tình huống rủi ro</w:t>
            </w:r>
          </w:p>
        </w:tc>
        <w:tc>
          <w:tcPr>
            <w:tcW w:type="dxa" w:w="16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Hậu quả, thiệt hại có thể xảy ra</w:t>
            </w:r>
          </w:p>
        </w:tc>
        <w:tc>
          <w:tcPr>
            <w:tcW w:type="dxa" w:w="9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Mức ban đầu</w:t>
            </w:r>
          </w:p>
        </w:tc>
        <w:tc>
          <w:tcPr>
            <w:tcW w:type="dxa" w:w="16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Biện pháp giảm thiểu</w:t>
            </w:r>
          </w:p>
        </w:tc>
        <w:tc>
          <w:tcPr>
            <w:tcW w:type="dxa" w:w="9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Mức còn lại</w:t>
            </w: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S1</w:t>
            </w:r>
          </w:p>
        </w:tc>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HT-03-ERP</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Mã độc tống tiền mã hóa cơ sở dữ liệu</w:t>
            </w:r>
          </w:p>
        </w:tc>
        <w:tc>
          <w:tcPr>
            <w:tcW w:type="dxa" w:w="16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Mất sẵn sàng, toàn vẹn dữ liệu nhân sự, lương; chậm trả lương</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2×4 = 8</w:t>
            </w:r>
          </w:p>
        </w:tc>
        <w:tc>
          <w:tcPr>
            <w:tcW w:type="dxa" w:w="16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Sao lưu hằng ngày, bản sao tách biệt; khôi phục thử 06 tháng/lần; phần mềm phòng chống mã độc; vá định kỳ</w:t>
            </w:r>
          </w:p>
        </w:tc>
        <w:tc>
          <w:tcPr>
            <w:tcW w:type="dxa" w:w="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1×4 = 4</w:t>
            </w: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S2</w:t>
            </w:r>
          </w:p>
        </w:tc>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HT-03-ERP</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Nhà cung cấp phần mềm truy cập từ xa vượt phạm vi</w:t>
            </w:r>
          </w:p>
        </w:tc>
        <w:tc>
          <w:tcPr>
            <w:tcW w:type="dxa" w:w="16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Truy cập trái phép dữ liệu nhân sự, lương</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2×4 = 8</w:t>
            </w:r>
          </w:p>
        </w:tc>
        <w:tc>
          <w:tcPr>
            <w:tcW w:type="dxa" w:w="16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Kết nối riêng có xác thực đa yếu tố, mở theo phiên, ghi nhật ký; phụ lục bảo vệ dữ liệu cá nhân</w:t>
            </w:r>
          </w:p>
        </w:tc>
        <w:tc>
          <w:tcPr>
            <w:tcW w:type="dxa" w:w="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1×4 = 4</w:t>
            </w: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S3</w:t>
            </w:r>
          </w:p>
        </w:tc>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Máy xách tay</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Mất, thất lạc máy có tệp dữ liệu cá nhân</w:t>
            </w:r>
          </w:p>
        </w:tc>
        <w:tc>
          <w:tcPr>
            <w:tcW w:type="dxa" w:w="16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Lộ dữ liệu lưu cục bộ</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3×3 = 9</w:t>
            </w:r>
          </w:p>
        </w:tc>
        <w:tc>
          <w:tcPr>
            <w:tcW w:type="dxa" w:w="16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Mã hóa toàn bộ ổ đĩa; không lưu dữ liệu nhạy cảm cục bộ; khóa từ xa</w:t>
            </w:r>
          </w:p>
        </w:tc>
        <w:tc>
          <w:tcPr>
            <w:tcW w:type="dxa" w:w="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1×3 = 3</w:t>
            </w: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S4</w:t>
            </w:r>
          </w:p>
        </w:tc>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HT-02-INTRANET, thư mục dùng chung</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Phân quyền sai, chia sẻ liên kết công khai</w:t>
            </w:r>
          </w:p>
        </w:tc>
        <w:tc>
          <w:tcPr>
            <w:tcW w:type="dxa" w:w="16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Người không có thẩm quyền xem được dữ liệu</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2×3 = 6</w:t>
            </w:r>
          </w:p>
        </w:tc>
        <w:tc>
          <w:tcPr>
            <w:tcW w:type="dxa" w:w="16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Tắt chia sẻ liên kết công khai; rà soát phân quyền hằng năm; nhóm quyền theo phòng</w:t>
            </w:r>
          </w:p>
        </w:tc>
        <w:tc>
          <w:tcPr>
            <w:tcW w:type="dxa" w:w="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1×3 = 3</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2\. Mục tiêu giải quyết vấn đề</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Bảo đảm tính bí mật, toàn vẹn, sẵn sàng của dữ liệu cá nhân trên các hệ thống cấp độ 2; không có rủi ro hệ thống ở mức Cao; khôi phục được dữ liệu ERP trong ngày làm việc.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3\. Các biện pháp bảo vệ dữ liệu cá nhân đã áp dụng và đề xuất để giải quyết vấn đề</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Đã áp dụng các biện pháp tại mục II.11 và cột "Biện pháp giảm thiểu" của bảng trên theo Quy chế bảo đảm an ninh mạng. Đề xuất: bật cảnh báo khi tải xuống hàng loạt dữ liệu từ ERP; rà soát phân quyền kho dữ liệu nhạy cảm 06 tháng/lần.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4\. Đánh giá hiệu quả và tác động của các biện pháp đối với đối tượng chịu sự tác động trực tiếp của biện pháp và các đối tượng khác có liên quan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Tích cực: giảm khả năng lộ lọt, gián đoạn; có bằng chứng phục vụ kiểm tra. Tiêu cực: tăng thao tác quản trị cho Phòng Vận hành hệ thống; nhà cung cấp phần mềm hỗ trợ chậm hơn do phải mở phiên theo yêu cầu.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 Kiến nghị biện pháp bảo vệ dữ liệu cá nhân lựa chọn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Duy trì các biện pháp đã áp dụng; đưa hai biện pháp đề xuất vào kế hoạch an ninh mạng năm 2027.</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2.3. Tác động đến an ninh quốc gia, trật tự an toàn xã hội: đánh giá trong trường hợp xử lý dữ liệu cá nhân cơ bản của trên 100.000 chủ thể dữ liệu hoặc xử lý dữ liệu cá nhân nhạy cảm của trên 10.000 chủ thể dữ liệu. Việc đánh giá tập trung vào các yếu tố liên quan đến việc xử lý dữ liệu cá nhân với số lượng lớn có thể gây ảnh hưởng đến an ninh quốc gia, trật tự an toàn xã hội và các biện pháp bảo vệ dữ liệu cá nhân tương ứng.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 Xác định các khía cạnh tác động và vấn đề: </w:t>
      </w:r>
      <w:r>
        <w:rPr>
          <w:rFonts w:ascii="Times New Roman" w:cs="Times New Roman" w:eastAsia="Times New Roman" w:hAnsi="Times New Roman"/>
          <w:b w:val="false"/>
          <w:bCs w:val="false"/>
          <w:i w:val="false"/>
          <w:iCs w:val="false"/>
          <w:sz w:val="26"/>
          <w:szCs w:val="26"/>
          <w:highlight w:val="yellow"/>
        </w:rPr>
        <w:t xml:space="preserve">Không áp dụng — Công ty xử lý dữ liệu cá nhân cơ bản của khoảng 800 chủ thể và dữ liệu cá nhân nhạy cảm của khoảng 40 chủ thể, dưới ngưỡng 100.000 và 10.000 chủ thể.</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2\. Mục tiêu giải quyết vấn đề: </w:t>
      </w:r>
      <w:r>
        <w:rPr>
          <w:rFonts w:ascii="Times New Roman" w:cs="Times New Roman" w:eastAsia="Times New Roman" w:hAnsi="Times New Roman"/>
          <w:b w:val="false"/>
          <w:bCs w:val="false"/>
          <w:i w:val="false"/>
          <w:iCs w:val="false"/>
          <w:sz w:val="26"/>
          <w:szCs w:val="26"/>
          <w:highlight w:val="yellow"/>
        </w:rPr>
        <w:t xml:space="preserve">Không áp dụng.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3\. Các biện pháp bảo vệ dữ liệu cá nhân đã áp dụng và đề xuất để giải quyết vấn đề: </w:t>
      </w:r>
      <w:r>
        <w:rPr>
          <w:rFonts w:ascii="Times New Roman" w:cs="Times New Roman" w:eastAsia="Times New Roman" w:hAnsi="Times New Roman"/>
          <w:b w:val="false"/>
          <w:bCs w:val="false"/>
          <w:i w:val="false"/>
          <w:iCs w:val="false"/>
          <w:sz w:val="26"/>
          <w:szCs w:val="26"/>
          <w:highlight w:val="yellow"/>
        </w:rPr>
        <w:t xml:space="preserve">Không áp dụng.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4\. Đánh giá hiệu quả và tác động của các biện pháp đối với đối tượng chịu sự tác động trực tiếp của biện pháp và các đối tượng khác có liên quan: </w:t>
      </w:r>
      <w:r>
        <w:rPr>
          <w:rFonts w:ascii="Times New Roman" w:cs="Times New Roman" w:eastAsia="Times New Roman" w:hAnsi="Times New Roman"/>
          <w:b w:val="false"/>
          <w:bCs w:val="false"/>
          <w:i w:val="false"/>
          <w:iCs w:val="false"/>
          <w:sz w:val="26"/>
          <w:szCs w:val="26"/>
          <w:highlight w:val="yellow"/>
        </w:rPr>
        <w:t xml:space="preserve">Không áp dụng.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 Kiến nghị biện pháp bảo vệ dữ liệu cá nhân lựa chọn: </w:t>
      </w:r>
      <w:r>
        <w:rPr>
          <w:rFonts w:ascii="Times New Roman" w:cs="Times New Roman" w:eastAsia="Times New Roman" w:hAnsi="Times New Roman"/>
          <w:b w:val="false"/>
          <w:bCs w:val="false"/>
          <w:i w:val="false"/>
          <w:iCs w:val="false"/>
          <w:sz w:val="26"/>
          <w:szCs w:val="26"/>
          <w:highlight w:val="yellow"/>
        </w:rPr>
        <w:t xml:space="preserve">Không áp dụng.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IV. PHỤ LỤC (Liệt kê danh sách tên các tài liệu, chính sách, quy trình, quy định, biểu mẫu kèm theo hồ sơ khai này)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2235"/>
        <w:gridCol w:w="3302"/>
        <w:gridCol w:w="2816"/>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22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Tài liệu</w:t>
            </w:r>
          </w:p>
        </w:tc>
        <w:tc>
          <w:tcPr>
            <w:tcW w:type="dxa" w:w="33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Số, ngày</w:t>
            </w:r>
          </w:p>
        </w:tc>
        <w:tc>
          <w:tcPr>
            <w:tcW w:type="dxa" w:w="28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Thành phần hồ sơ (NĐ 356/2025/NĐ-CP Điều 19 khoản 2)</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2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Phụ lục 1 — Sơ đồ luồng dữ liệu cá nhân và sơ đồ hệ thống</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Kèm Hồ sơ này</w:t>
            </w:r>
          </w:p>
        </w:tc>
        <w:tc>
          <w:tcPr>
            <w:tcW w:type="dxa" w:w="28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Điểm a (sơ đồ luồng, sơ đồ hệ thống — khoản 3 điểm c, đ)</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2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Bản sao Hợp đồng dịch vụ thư điện tử với Công ty TNHH Dữ liệu Mẫu</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Số 08/2026/HĐDV/TURBO-DLM ngày 16/02/2026</w:t>
            </w:r>
          </w:p>
        </w:tc>
        <w:tc>
          <w:tcPr>
            <w:tcW w:type="dxa" w:w="28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Điểm b</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2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Bản sao Phụ lục hợp đồng về bảo vệ dữ liệu cá nhân với Công ty TNHH Dữ liệu Mẫu</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Số PL-01 ngày 05/11/2026</w:t>
            </w:r>
          </w:p>
        </w:tc>
        <w:tc>
          <w:tcPr>
            <w:tcW w:type="dxa" w:w="28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Điểm b</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2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Bản sao Hợp đồng bảo trì phần mềm ERP với Công ty TNHH Phần mềm Mẫu</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Số 03/2026/HĐDV/TURBO-PMM ngày 12/01/2026</w:t>
            </w:r>
          </w:p>
        </w:tc>
        <w:tc>
          <w:tcPr>
            <w:tcW w:type="dxa" w:w="28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Điểm b</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2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Bản sao Hợp đồng dịch vụ chi lương với Ngân hàng TMCP Mẫu</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Số 02/2026/HĐCL ngày 05/01/2026</w:t>
            </w:r>
          </w:p>
        </w:tc>
        <w:tc>
          <w:tcPr>
            <w:tcW w:type="dxa" w:w="28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Điểm b</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2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Phiếu xác định quy mô doanh nghiệp và diện miễn trừ bảo vệ dữ liệu cá nhân</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BM-DLCN-05 ngày 02/11/2026</w:t>
            </w:r>
          </w:p>
        </w:tc>
        <w:tc>
          <w:tcPr>
            <w:tcW w:type="dxa" w:w="28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Điểm c</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7</w:t>
            </w:r>
          </w:p>
        </w:tc>
        <w:tc>
          <w:tcPr>
            <w:tcW w:type="dxa" w:w="2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Quyết định chỉ định nhân sự bảo vệ dữ liệu cá nhân, kèm thỏa thuận trách nhiệm bảo mật</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Số 55/2026/QĐ-TURBO ngày 02/11/2026</w:t>
            </w:r>
          </w:p>
        </w:tc>
        <w:tc>
          <w:tcPr>
            <w:tcW w:type="dxa" w:w="28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Điểm c</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8</w:t>
            </w:r>
          </w:p>
        </w:tc>
        <w:tc>
          <w:tcPr>
            <w:tcW w:type="dxa" w:w="2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Quy định bảo vệ dữ liệu cá nhân (gồm chính sách lưu trữ, xóa, hủy)</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Số 56/2026/QĐ-TURBO ngày 02/11/2026</w:t>
            </w:r>
          </w:p>
        </w:tc>
        <w:tc>
          <w:tcPr>
            <w:tcW w:type="dxa" w:w="28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Điểm c</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9</w:t>
            </w:r>
          </w:p>
        </w:tc>
        <w:tc>
          <w:tcPr>
            <w:tcW w:type="dxa" w:w="2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Thông báo xử lý dữ liệu cá nhân gửi người lao động</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Số 53/2026/TB-TURBO ngày 02/11/2026</w:t>
            </w:r>
          </w:p>
        </w:tc>
        <w:tc>
          <w:tcPr>
            <w:tcW w:type="dxa" w:w="28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Điểm c</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10</w:t>
            </w:r>
          </w:p>
        </w:tc>
        <w:tc>
          <w:tcPr>
            <w:tcW w:type="dxa" w:w="2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Thông báo xử lý dữ liệu cá nhân gửi ứng viên</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Áp dụng từ ngày 02/11/2026</w:t>
            </w:r>
          </w:p>
        </w:tc>
        <w:tc>
          <w:tcPr>
            <w:tcW w:type="dxa" w:w="28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Điểm c</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11</w:t>
            </w:r>
          </w:p>
        </w:tc>
        <w:tc>
          <w:tcPr>
            <w:tcW w:type="dxa" w:w="2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Phiếu đồng ý xử lý dữ liệu cá nhân (BM-DLCN-03)</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Áp dụng từ ngày 02/11/2026</w:t>
            </w:r>
          </w:p>
        </w:tc>
        <w:tc>
          <w:tcPr>
            <w:tcW w:type="dxa" w:w="28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Điểm c</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12</w:t>
            </w:r>
          </w:p>
        </w:tc>
        <w:tc>
          <w:tcPr>
            <w:tcW w:type="dxa" w:w="2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Quy trình tiếp nhận, xử lý yêu cầu của chủ thể dữ liệu (phiếu yêu cầu, sổ theo dõi)</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Số 54/2026/QĐ-TURBO ngày 02/11/2026</w:t>
            </w:r>
          </w:p>
        </w:tc>
        <w:tc>
          <w:tcPr>
            <w:tcW w:type="dxa" w:w="28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Điểm c</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13</w:t>
            </w:r>
          </w:p>
        </w:tc>
        <w:tc>
          <w:tcPr>
            <w:tcW w:type="dxa" w:w="2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Mẫu cam kết bảo mật dữ liệu của người lao động (BM-DLCN-04)</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Áp dụng từ ngày 02/11/2026</w:t>
            </w:r>
          </w:p>
        </w:tc>
        <w:tc>
          <w:tcPr>
            <w:tcW w:type="dxa" w:w="28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Điểm c</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14</w:t>
            </w:r>
          </w:p>
        </w:tc>
        <w:tc>
          <w:tcPr>
            <w:tcW w:type="dxa" w:w="2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Biển thông báo khu vực có camera</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Áp dụng từ ngày 02/11/2026</w:t>
            </w:r>
          </w:p>
        </w:tc>
        <w:tc>
          <w:tcPr>
            <w:tcW w:type="dxa" w:w="28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Điểm c</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15</w:t>
            </w:r>
          </w:p>
        </w:tc>
        <w:tc>
          <w:tcPr>
            <w:tcW w:type="dxa" w:w="2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Quy chế bảo đảm an ninh mạng, kèm Quy trình ứng phó sự cố (có thông báo vi phạm dữ liệu cá nhân)</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Số 41/2026/QĐ-TURBO ngày 05/10/2026</w:t>
            </w:r>
          </w:p>
        </w:tc>
        <w:tc>
          <w:tcPr>
            <w:tcW w:type="dxa" w:w="28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Điểm c</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16</w:t>
            </w:r>
          </w:p>
        </w:tc>
        <w:tc>
          <w:tcPr>
            <w:tcW w:type="dxa" w:w="22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Quyết định phê duyệt cấp độ hệ thống thông tin; bảng kiểm kê dữ liệu cá nhân và biên bản tự đánh giá tuân thủ</w:t>
            </w:r>
          </w:p>
        </w:tc>
        <w:tc>
          <w:tcPr>
            <w:tcW w:type="dxa" w:w="33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Số 03/2026/QĐ-PANM ngày 26/10/2026; biên bản ngày 18/11/2026</w:t>
            </w:r>
          </w:p>
        </w:tc>
        <w:tc>
          <w:tcPr>
            <w:tcW w:type="dxa" w:w="28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Điểm c (khoản 3 điểm đ, e)</w:t>
            </w:r>
          </w:p>
        </w:tc>
      </w:tr>
    </w:tbl>
    <w:p>
      <w:pPr>
        <w:spacing w:after="60" w:before="0" w:line="276" w:lineRule="auto"/>
        <w:jc w:val="both"/>
      </w:pPr>
    </w:p>
    <w:p>
      <w:r>
        <w:br w:type="page"/>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PHẦN B. THÔNG TIN CÁC BÊN LIÊN QUAN TRONG HOẠT ĐỘNG XỬ LÝ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 THÔNG TIN CỦA BÊN KIỂM SOÁT DỮ LIỆU CÁ NHÂN (Kê khai phù hợp với mối quan hệ trong hoạt động xử lý dữ liệu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04"/>
        <w:gridCol w:w="1152"/>
        <w:gridCol w:w="741"/>
        <w:gridCol w:w="1916"/>
        <w:gridCol w:w="2409"/>
        <w:gridCol w:w="741"/>
        <w:gridCol w:w="1462"/>
      </w:tblGrid>
      <w:tr>
        <w:trPr>
          <w:cantSplit/>
          <w:tblHeader/>
        </w:trPr>
        <w:tc>
          <w:tcPr>
            <w:tcW w:type="dxa" w:w="6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1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Tên tổ chức/cá nhân</w:t>
            </w:r>
          </w:p>
        </w:tc>
        <w:tc>
          <w:tcPr>
            <w:tcW w:type="dxa" w:w="7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Mã số thuế</w:t>
            </w:r>
          </w:p>
        </w:tc>
        <w:tc>
          <w:tcPr>
            <w:tcW w:type="dxa" w:w="19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Thông tin Bộ phận/ Nhân sự bảo vệ dữ liệu cá nhân</w:t>
            </w:r>
          </w:p>
        </w:tc>
        <w:tc>
          <w:tcPr>
            <w:tcW w:type="dxa" w:w="24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Hợp đồng/ Thỏa thuận xử lý dữ liệu cá nhân (Số, ngày tháng năm)</w:t>
            </w:r>
          </w:p>
        </w:tc>
        <w:tc>
          <w:tcPr>
            <w:tcW w:type="dxa" w:w="7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Dịch vụ hợp tác</w:t>
            </w:r>
          </w:p>
        </w:tc>
        <w:tc>
          <w:tcPr>
            <w:tcW w:type="dxa" w:w="146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Ghi chú (Lý do, nội dung giải thích)</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w:t>
            </w:r>
          </w:p>
        </w:tc>
        <w:tc>
          <w:tcPr>
            <w:tcW w:type="dxa" w:w="11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w:t>
            </w:r>
          </w:p>
        </w:tc>
        <w:tc>
          <w:tcPr>
            <w:tcW w:type="dxa" w:w="7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w:t>
            </w:r>
          </w:p>
        </w:tc>
        <w:tc>
          <w:tcPr>
            <w:tcW w:type="dxa" w:w="1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w:t>
            </w:r>
          </w:p>
        </w:tc>
        <w:tc>
          <w:tcPr>
            <w:tcW w:type="dxa" w:w="24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w:t>
            </w:r>
          </w:p>
        </w:tc>
        <w:tc>
          <w:tcPr>
            <w:tcW w:type="dxa" w:w="7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w:t>
            </w:r>
          </w:p>
        </w:tc>
        <w:tc>
          <w:tcPr>
            <w:tcW w:type="dxa" w:w="1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Không có bên kiểm soát khác; Công ty là bên kiểm soát dữ liệu cá nhân (Phần A)</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 THÔNG TIN CỦA BÊN XỬ LÝ DỮ LIỆU CÁ NHÂN (Kê khai phù hợp với mối quan hệ trong hoạt động xử lý dữ liệu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79"/>
        <w:gridCol w:w="914"/>
        <w:gridCol w:w="990"/>
        <w:gridCol w:w="1995"/>
        <w:gridCol w:w="1995"/>
        <w:gridCol w:w="1492"/>
        <w:gridCol w:w="1160"/>
      </w:tblGrid>
      <w:tr>
        <w:trPr>
          <w:cantSplit/>
          <w:tblHeader/>
        </w:trPr>
        <w:tc>
          <w:tcPr>
            <w:tcW w:type="dxa" w:w="4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91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Tên tổ chức/cá nhân</w:t>
            </w:r>
          </w:p>
        </w:tc>
        <w:tc>
          <w:tcPr>
            <w:tcW w:type="dxa" w:w="9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Mã số thuế</w:t>
            </w:r>
          </w:p>
        </w:tc>
        <w:tc>
          <w:tcPr>
            <w:tcW w:type="dxa" w:w="19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Thông tin Bộ phận/ Nhân sự bảo vệ dữ liệu cá nhân</w:t>
            </w:r>
          </w:p>
        </w:tc>
        <w:tc>
          <w:tcPr>
            <w:tcW w:type="dxa" w:w="19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Hợp đồng/ Thỏa thuận xử lý dữ liệu cá nhân (Số, ngày tháng năm)</w:t>
            </w:r>
          </w:p>
        </w:tc>
        <w:tc>
          <w:tcPr>
            <w:tcW w:type="dxa" w:w="14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Dịch vụ hợp tác</w:t>
            </w:r>
          </w:p>
        </w:tc>
        <w:tc>
          <w:tcPr>
            <w:tcW w:type="dxa" w:w="116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Ghi chú (Lý do, nội dung giải thích)</w:t>
            </w:r>
          </w:p>
        </w:tc>
      </w:tr>
      <w:tr>
        <w:trPr>
          <w:cantSplit/>
          <w:tblHeader w:val="false"/>
        </w:trPr>
        <w:tc>
          <w:tcPr>
            <w:tcW w:type="dxa" w:w="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Công ty TNHH Dữ liệu Mẫu</w:t>
            </w:r>
          </w:p>
        </w:tc>
        <w:tc>
          <w:tcPr>
            <w:tcW w:type="dxa" w:w="9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0000000002 (giả lập)</w:t>
            </w:r>
          </w:p>
        </w:tc>
        <w:tc>
          <w:tcPr>
            <w:tcW w:type="dxa" w:w="1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Bộ phận Bảo vệ dữ liệu cá nhân (bà Ngô Thị Lan); baove-dlcn@dlm.example.vn; 028 8765 4321</w:t>
            </w:r>
          </w:p>
        </w:tc>
        <w:tc>
          <w:tcPr>
            <w:tcW w:type="dxa" w:w="1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Hợp đồng số 08/2026/HĐDV/TURBO-DLM ngày 16/02/2026; Phụ lục số PL-01 ngày 05/11/2026</w:t>
            </w:r>
          </w:p>
        </w:tc>
        <w:tc>
          <w:tcPr>
            <w:tcW w:type="dxa" w:w="14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Thư điện tử trên nền tảng đám mây (HT-02-INTRANET)</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Máy chủ tại Việt Nam; mã hóa khi lưu và truyền; báo vi phạm trong 12 giờ</w:t>
            </w:r>
          </w:p>
        </w:tc>
      </w:tr>
      <w:tr>
        <w:trPr>
          <w:cantSplit/>
          <w:tblHeader w:val="false"/>
        </w:trPr>
        <w:tc>
          <w:tcPr>
            <w:tcW w:type="dxa" w:w="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Công ty TNHH Phần mềm Mẫu</w:t>
            </w:r>
          </w:p>
        </w:tc>
        <w:tc>
          <w:tcPr>
            <w:tcW w:type="dxa" w:w="9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0000000003 (giả lập)</w:t>
            </w:r>
          </w:p>
        </w:tc>
        <w:tc>
          <w:tcPr>
            <w:tcW w:type="dxa" w:w="1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Ông Trịnh Văn Tâm, phụ trách bảo vệ dữ liệu cá nhân; dlcn@pmm.example.vn</w:t>
            </w:r>
          </w:p>
        </w:tc>
        <w:tc>
          <w:tcPr>
            <w:tcW w:type="dxa" w:w="1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Hợp đồng số 03/2026/HĐDV/TURBO-PMM ngày 12/01/2026</w:t>
            </w:r>
          </w:p>
        </w:tc>
        <w:tc>
          <w:tcPr>
            <w:tcW w:type="dxa" w:w="14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Bảo trì, hỗ trợ từ xa phần mềm ERP (HT-03-ERP)</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có phụ lục bảo vệ dữ liệu cá nhân — dự kiến ký trước 15/12/2026 (mục II.12), sẽ cập nhật bằng Mẫu số 03a</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III. THÔNG TIN CỦA BÊN THỨ BA (Kê khai phù hợp với mối quan hệ trong hoạt động xử lý dữ liệu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72"/>
        <w:gridCol w:w="1091"/>
        <w:gridCol w:w="1181"/>
        <w:gridCol w:w="1814"/>
        <w:gridCol w:w="2281"/>
        <w:gridCol w:w="701"/>
        <w:gridCol w:w="1385"/>
      </w:tblGrid>
      <w:tr>
        <w:trPr>
          <w:cantSplit/>
          <w:tblHeader/>
        </w:trPr>
        <w:tc>
          <w:tcPr>
            <w:tcW w:type="dxa" w:w="5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09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Tên tổ chức/cá nhân</w:t>
            </w:r>
          </w:p>
        </w:tc>
        <w:tc>
          <w:tcPr>
            <w:tcW w:type="dxa" w:w="11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Mã số thuế</w:t>
            </w:r>
          </w:p>
        </w:tc>
        <w:tc>
          <w:tcPr>
            <w:tcW w:type="dxa" w:w="181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Thông tin Bộ phận/ Nhân sự bảo vệ dữ liệu cá nhân</w:t>
            </w:r>
          </w:p>
        </w:tc>
        <w:tc>
          <w:tcPr>
            <w:tcW w:type="dxa" w:w="22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Hợp đồng/ Thỏa thuận xử lý dữ liệu cá nhân (Số, ngày tháng năm)</w:t>
            </w:r>
          </w:p>
        </w:tc>
        <w:tc>
          <w:tcPr>
            <w:tcW w:type="dxa" w:w="7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Dịch vụ hợp tác</w:t>
            </w:r>
          </w:p>
        </w:tc>
        <w:tc>
          <w:tcPr>
            <w:tcW w:type="dxa" w:w="138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Ghi chú (Lý do, nội dung giải thích)</w:t>
            </w:r>
          </w:p>
        </w:tc>
      </w:tr>
      <w:tr>
        <w:trPr>
          <w:cantSplit/>
          <w:tblHeader w:val="false"/>
        </w:trPr>
        <w:tc>
          <w:tcPr>
            <w:tcW w:type="dxa" w:w="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0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Ngân hàng TMCP Mẫu — Chi nhánh TP. Hồ Chí Minh</w:t>
            </w:r>
          </w:p>
        </w:tc>
        <w:tc>
          <w:tcPr>
            <w:tcW w:type="dxa" w:w="11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0000000004 (giả lập)</w:t>
            </w:r>
          </w:p>
        </w:tc>
        <w:tc>
          <w:tcPr>
            <w:tcW w:type="dxa" w:w="18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Bộ phận bảo vệ dữ liệu cá nhân của ngân hàng (theo thông tin ngân hàng công bố)</w:t>
            </w:r>
          </w:p>
        </w:tc>
        <w:tc>
          <w:tcPr>
            <w:tcW w:type="dxa" w:w="22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Hợp đồng dịch vụ chi lương số 02/2026/HĐCL ngày 05/01/2026</w:t>
            </w:r>
          </w:p>
        </w:tc>
        <w:tc>
          <w:tcPr>
            <w:tcW w:type="dxa" w:w="7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Chi lương qua tài khoản</w:t>
            </w:r>
          </w:p>
        </w:tc>
        <w:tc>
          <w:tcPr>
            <w:tcW w:type="dxa" w:w="13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Nhận họ tên, số tài khoản, số tiền để chi lương; vai trò (bên thứ ba hay bên kiểm soát độc lập) kê khai theo cách hiểu thận trọng</w:t>
            </w:r>
          </w:p>
        </w:tc>
      </w:tr>
    </w:tbl>
    <w:p>
      <w:pPr>
        <w:spacing w:after="60" w:before="0" w:line="276" w:lineRule="auto"/>
        <w:jc w:val="both"/>
      </w:pPr>
    </w:p>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PHIẾU THEO DÕI HỒ SƠ ĐÁNH GIÁ TÁC ĐỘNG XỬ LÝ DỮ LIỆU CÁ NHÂN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(Tài liệu nội bộ — lưu cùng hồ sơ, không nộp cơ quan nhà nước)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Căn cứ lập hồ sơ</w:t>
      </w:r>
      <w:r>
        <w:rPr>
          <w:rFonts w:ascii="Times New Roman" w:cs="Times New Roman" w:eastAsia="Times New Roman" w:hAnsi="Times New Roman"/>
          <w:b w:val="false"/>
          <w:bCs w:val="false"/>
          <w:i w:val="false"/>
          <w:iCs w:val="false"/>
          <w:sz w:val="26"/>
          <w:szCs w:val="26"/>
        </w:rPr>
        <w:t xml:space="preserve"> (đối chiếu Phiếu xác định quy mô doanh nghiệp và diện miễn trừ — </w:t>
      </w:r>
      <w:r>
        <w:rPr>
          <w:rFonts w:ascii="Times New Roman" w:cs="Times New Roman" w:eastAsia="Times New Roman" w:hAnsi="Times New Roman"/>
          <w:b w:val="false"/>
          <w:bCs w:val="false"/>
          <w:i w:val="false"/>
          <w:iCs w:val="false"/>
          <w:sz w:val="26"/>
          <w:szCs w:val="26"/>
          <w:highlight w:val="yellow"/>
        </w:rPr>
        <w:t xml:space="preserve">mẫu BM-DLCN-05 lập ngày 02/11/2026, Tổng Giám đốc duyệt</w:t>
      </w:r>
      <w:r>
        <w:rPr>
          <w:rFonts w:ascii="Times New Roman" w:cs="Times New Roman" w:eastAsia="Times New Roman" w:hAnsi="Times New Roman"/>
          <w:b w:val="false"/>
          <w:bCs w:val="false"/>
          <w:i w:val="false"/>
          <w:iCs w:val="false"/>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138"/>
        <w:gridCol w:w="887"/>
      </w:tblGrid>
      <w:tr>
        <w:trPr>
          <w:cantSplit/>
          <w:tblHeader/>
        </w:trPr>
        <w:tc>
          <w:tcPr>
            <w:tcW w:type="dxa" w:w="81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Trường hợp</w:t>
            </w:r>
          </w:p>
        </w:tc>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Chọn</w:t>
            </w: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Doanh nghiệp vừa, lớn hoặc tổ chức khác — bắt buộc (Luật Bảo vệ dữ liệu cá nhân Điều 21 khoản 1)</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w:t>
            </w: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Doanh nghiệp nhỏ, khởi nghiệp — không thuộc ngoại lệ, tự nguyện lựa chọn thực hiện (Luật Bảo vệ dữ liệu cá nhân Điều 38 khoản 2)</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w:t>
            </w: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Doanh nghiệp nhỏ, khởi nghiệp, siêu nhỏ, hộ kinh doanh — mất miễn trừ do kinh doanh dịch vụ xử lý dữ liệu cá nhân</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w:t>
            </w: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Doanh nghiệp nhỏ, khởi nghiệp, siêu nhỏ, hộ kinh doanh — mất miễn trừ do trực tiếp xử lý dữ liệu cá nhân nhạy cảm (liệt kê loại dữ liệu, điểm của Nghị định số 356/2025/NĐ-CP Điều 4 khoản 1): </w:t>
            </w:r>
            <w:r>
              <w:rPr>
                <w:rFonts w:ascii="Times New Roman" w:cs="Times New Roman" w:eastAsia="Times New Roman" w:hAnsi="Times New Roman"/>
                <w:b w:val="false"/>
                <w:bCs w:val="false"/>
                <w:i w:val="false"/>
                <w:iCs w:val="false"/>
                <w:sz w:val="24"/>
                <w:szCs w:val="24"/>
                <w:highlight w:val="yellow"/>
              </w:rPr>
              <w:t xml:space="preserve">ảnh thẻ căn cước (điểm i); giấy khám sức khỏe, hồ sơ nghỉ ốm, thai sản (điểm d) — theo cách đọc thận trọng (điểm C19)</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w:t>
            </w: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Doanh nghiệp nhỏ, khởi nghiệp, siêu nhỏ, hộ kinh doanh — mất miễn trừ do xử lý dữ liệu cá nhân từ 100.000 chủ thể trở lên (tích lũy)</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Các mốc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428"/>
        <w:gridCol w:w="4597"/>
      </w:tblGrid>
      <w:tr>
        <w:trPr>
          <w:cantSplit/>
          <w:tblHeader/>
        </w:trPr>
        <w:tc>
          <w:tcPr>
            <w:tcW w:type="dxa" w:w="442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45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w:t>
            </w:r>
          </w:p>
        </w:tc>
      </w:tr>
      <w:tr>
        <w:trPr>
          <w:cantSplit/>
          <w:tblHeader w:val="false"/>
        </w:trPr>
        <w:tc>
          <w:tcPr>
            <w:tcW w:type="dxa" w:w="4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bắt đầu xử lý dữ liệu cá nhân (hoặc mốc tính hạn đã chọn và lý do)</w:t>
            </w:r>
          </w:p>
        </w:tc>
        <w:tc>
          <w:tcPr>
            <w:tcW w:type="dxa" w:w="45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Hoạt động xử lý có từ trước 01/01/2026; chọn mốc 01/01/2026 theo cách hiểu thận trọng</w:t>
            </w:r>
          </w:p>
        </w:tc>
      </w:tr>
      <w:tr>
        <w:trPr>
          <w:cantSplit/>
          <w:tblHeader w:val="false"/>
        </w:trPr>
        <w:tc>
          <w:tcPr>
            <w:tcW w:type="dxa" w:w="4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Hạn gửi hồ sơ (60 ngày)</w:t>
            </w:r>
          </w:p>
        </w:tc>
        <w:tc>
          <w:tcPr>
            <w:tcW w:type="dxa" w:w="45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01/3/2026 — đã quá hạn; lập, gửi ngay và ghi nhận là biện pháp khắc phục</w:t>
            </w:r>
          </w:p>
        </w:tc>
      </w:tr>
      <w:tr>
        <w:trPr>
          <w:cantSplit/>
          <w:tblHeader w:val="false"/>
        </w:trPr>
        <w:tc>
          <w:tcPr>
            <w:tcW w:type="dxa" w:w="4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lập hồ sơ; người lập</w:t>
            </w:r>
          </w:p>
        </w:tc>
        <w:tc>
          <w:tcPr>
            <w:tcW w:type="dxa" w:w="45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20/11/2026; Phạm Thu Dung</w:t>
            </w:r>
          </w:p>
        </w:tc>
      </w:tr>
      <w:tr>
        <w:trPr>
          <w:cantSplit/>
          <w:tblHeader w:val="false"/>
        </w:trPr>
        <w:tc>
          <w:tcPr>
            <w:tcW w:type="dxa" w:w="4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gửi; phương thức; mã hồ sơ, biên nhận</w:t>
            </w:r>
          </w:p>
        </w:tc>
        <w:tc>
          <w:tcPr>
            <w:tcW w:type="dxa" w:w="45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25/11/2026; Cổng Dịch vụ công quốc gia; mã hồ sơ: ……</w:t>
            </w:r>
          </w:p>
        </w:tc>
      </w:tr>
      <w:tr>
        <w:trPr>
          <w:cantSplit/>
          <w:tblHeader w:val="false"/>
        </w:trPr>
        <w:tc>
          <w:tcPr>
            <w:tcW w:type="dxa" w:w="4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Kết quả đánh giá (đạt/không đạt), số, ngày văn bản; yêu cầu hoàn thiện (nếu có)</w:t>
            </w:r>
          </w:p>
        </w:tc>
        <w:tc>
          <w:tcPr>
            <w:tcW w:type="dxa" w:w="45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Rà soát, cập nhật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2046"/>
        <w:gridCol w:w="2046"/>
        <w:gridCol w:w="2212"/>
        <w:gridCol w:w="2049"/>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Lần</w:t>
            </w:r>
          </w:p>
        </w:tc>
        <w:tc>
          <w:tcPr>
            <w:tcW w:type="dxa" w:w="20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Ngày rà soát</w:t>
            </w:r>
          </w:p>
        </w:tc>
        <w:tc>
          <w:tcPr>
            <w:tcW w:type="dxa" w:w="20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Có thay đổi? Nội dung</w:t>
            </w:r>
          </w:p>
        </w:tc>
        <w:tc>
          <w:tcPr>
            <w:tcW w:type="dxa" w:w="22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Mẫu 03a đã nộp (ngày, mã hồ sơ)</w:t>
            </w:r>
          </w:p>
        </w:tc>
        <w:tc>
          <w:tcPr>
            <w:tcW w:type="dxa" w:w="20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Người rà soát</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2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25/05/2027</w:t>
            </w:r>
          </w:p>
        </w:tc>
        <w:tc>
          <w:tcPr>
            <w:tcW w:type="dxa" w:w="2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2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2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25/11/2027</w:t>
            </w:r>
          </w:p>
        </w:tc>
        <w:tc>
          <w:tcPr>
            <w:tcW w:type="dxa" w:w="2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2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2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25/05/2028</w:t>
            </w:r>
          </w:p>
        </w:tc>
        <w:tc>
          <w:tcPr>
            <w:tcW w:type="dxa" w:w="2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2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2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25/11/2028</w:t>
            </w:r>
          </w:p>
        </w:tc>
        <w:tc>
          <w:tcPr>
            <w:tcW w:type="dxa" w:w="2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2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Hồ sơ đánh giá tác động xử lý dữ liệu cá nhân (Mẫu số 02a, Mẫu số 10 NĐ 356)</dc:title>
  <dc:creator>vn-cyber-compliance</dc:creator>
  <cp:lastModifiedBy>Un-named</cp:lastModifiedBy>
  <cp:revision>1</cp:revision>
  <dcterms:created xsi:type="dcterms:W3CDTF">2026-09-29T06:06:19.861Z</dcterms:created>
  <dcterms:modified xsi:type="dcterms:W3CDTF">2026-09-29T06:06:19.861Z</dcterms:modified>
</cp:coreProperties>
</file>

<file path=docProps/custom.xml><?xml version="1.0" encoding="utf-8"?>
<Properties xmlns="http://schemas.openxmlformats.org/officeDocument/2006/custom-properties" xmlns:vt="http://schemas.openxmlformats.org/officeDocument/2006/docPropsVTypes"/>
</file>