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Mẫu: </w:t>
            </w:r>
            <w:r>
              <w:rPr>
                <w:rFonts w:ascii="Times New Roman" w:cs="Times New Roman" w:eastAsia="Times New Roman" w:hAnsi="Times New Roman"/>
                <w:b w:val="false"/>
                <w:bCs w:val="false"/>
                <w:i w:val="false"/>
                <w:iCs w:val="false"/>
                <w:caps w:val="false"/>
                <w:sz w:val="26"/>
                <w:szCs w:val="26"/>
                <w:highlight w:val="yellow"/>
              </w:rPr>
              <w:t xml:space="preserve">BM-DLCN-05</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PHIẾU XÁC ĐỊNH QUY MÔ DOANH NGHIỆP VÀ DIỆN MIỄN TRỪ</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NGHĨA VỤ 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(Khoản 2, khoản 3 Điều 38 Luật Bảo vệ dữ liệu cá nhân; Điều 41 Nghị định số 356/2025/NĐ-CP)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Kỳ xác định: năm </w:t>
      </w:r>
      <w:r>
        <w:rPr>
          <w:rFonts w:ascii="Times New Roman" w:cs="Times New Roman" w:eastAsia="Times New Roman" w:hAnsi="Times New Roman"/>
          <w:b w:val="false"/>
          <w:bCs w:val="false"/>
          <w:i w:val="false"/>
          <w:iCs w:val="false"/>
          <w:sz w:val="26"/>
          <w:szCs w:val="26"/>
          <w:highlight w:val="yellow"/>
        </w:rPr>
        <w:t xml:space="preserve">2026</w:t>
      </w:r>
      <w:r>
        <w:rPr>
          <w:rFonts w:ascii="Times New Roman" w:cs="Times New Roman" w:eastAsia="Times New Roman" w:hAnsi="Times New Roman"/>
          <w:b w:val="false"/>
          <w:bCs w:val="false"/>
          <w:i w:val="false"/>
          <w:iCs w:val="false"/>
          <w:sz w:val="26"/>
          <w:szCs w:val="26"/>
        </w:rPr>
        <w:t xml:space="preserve"> · Số liệu quy mô: năm </w:t>
      </w:r>
      <w:r>
        <w:rPr>
          <w:rFonts w:ascii="Times New Roman" w:cs="Times New Roman" w:eastAsia="Times New Roman" w:hAnsi="Times New Roman"/>
          <w:b w:val="false"/>
          <w:bCs w:val="false"/>
          <w:i w:val="false"/>
          <w:iCs w:val="false"/>
          <w:sz w:val="26"/>
          <w:szCs w:val="26"/>
          <w:highlight w:val="yellow"/>
        </w:rPr>
        <w:t xml:space="preserve">2025</w:t>
      </w:r>
      <w:r>
        <w:rPr>
          <w:rFonts w:ascii="Times New Roman" w:cs="Times New Roman" w:eastAsia="Times New Roman" w:hAnsi="Times New Roman"/>
          <w:b w:val="false"/>
          <w:bCs w:val="false"/>
          <w:i w:val="false"/>
          <w:iCs w:val="false"/>
          <w:sz w:val="26"/>
          <w:szCs w:val="26"/>
        </w:rPr>
        <w:t xml:space="preserve"> · Lần lập: </w:t>
      </w:r>
      <w:r>
        <w:rPr>
          <w:rFonts w:ascii="Times New Roman" w:cs="Times New Roman" w:eastAsia="Times New Roman" w:hAnsi="Times New Roman"/>
          <w:b w:val="false"/>
          <w:bCs w:val="false"/>
          <w:i w:val="false"/>
          <w:iCs w:val="false"/>
          <w:sz w:val="26"/>
          <w:szCs w:val="26"/>
          <w:highlight w:val="yellow"/>
        </w:rPr>
        <w:t xml:space="preserve">Lần đầu</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THÔNG TIN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03"/>
        <w:gridCol w:w="5022"/>
      </w:tblGrid>
      <w:tr>
        <w:trPr>
          <w:cantSplit/>
          <w:tblHeader/>
        </w:trPr>
        <w:tc>
          <w:tcPr>
            <w:tcW w:type="dxa" w:w="40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0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40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tổ chức</w:t>
            </w:r>
          </w:p>
        </w:tc>
        <w:tc>
          <w:tcPr>
            <w:tcW w:type="dxa" w:w="5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40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số doanh nghiệp</w:t>
            </w:r>
          </w:p>
        </w:tc>
        <w:tc>
          <w:tcPr>
            <w:tcW w:type="dxa" w:w="5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0000000001 (giả lập)</w:t>
            </w:r>
          </w:p>
        </w:tc>
      </w:tr>
      <w:tr>
        <w:trPr>
          <w:cantSplit/>
          <w:tblHeader w:val="false"/>
        </w:trPr>
        <w:tc>
          <w:tcPr>
            <w:tcW w:type="dxa" w:w="40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hình</w:t>
            </w:r>
          </w:p>
        </w:tc>
        <w:tc>
          <w:tcPr>
            <w:tcW w:type="dxa" w:w="5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Doanh nghiệp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Hộ kinh doanh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Tổ chức khác: </w:t>
            </w:r>
            <w:r>
              <w:rPr>
                <w:rFonts w:ascii="Times New Roman" w:cs="Times New Roman" w:eastAsia="Times New Roman" w:hAnsi="Times New Roman"/>
                <w:b w:val="false"/>
                <w:bCs w:val="false"/>
                <w:i w:val="false"/>
                <w:iCs w:val="false"/>
                <w:sz w:val="24"/>
                <w:szCs w:val="24"/>
                <w:highlight w:val="yellow"/>
              </w:rPr>
              <w:t xml:space="preserve">……</w:t>
            </w:r>
          </w:p>
        </w:tc>
      </w:tr>
      <w:tr>
        <w:trPr>
          <w:cantSplit/>
          <w:tblHeader w:val="false"/>
        </w:trPr>
        <w:tc>
          <w:tcPr>
            <w:tcW w:type="dxa" w:w="40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Ngành, nghề kinh doanh chính đã đăng ký</w:t>
            </w:r>
          </w:p>
        </w:tc>
        <w:tc>
          <w:tcPr>
            <w:tcW w:type="dxa" w:w="5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Lập trình máy vi tính (ngành, nghề kinh doanh chính trên Giấy chứng nhận đăng ký doanh nghiệp)</w:t>
            </w:r>
          </w:p>
        </w:tc>
      </w:tr>
      <w:tr>
        <w:trPr>
          <w:cantSplit/>
          <w:tblHeader w:val="false"/>
        </w:trPr>
        <w:tc>
          <w:tcPr>
            <w:tcW w:type="dxa" w:w="40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Lĩnh vực (Điều 6 Nghị định số 80/2021/NĐ-CP)</w:t>
            </w:r>
          </w:p>
        </w:tc>
        <w:tc>
          <w:tcPr>
            <w:tcW w:type="dxa" w:w="50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Nông, lâm nghiệp, thủy sản; công nghiệp, xây dựng </w:t>
            </w:r>
            <w:r>
              <w:rPr>
                <w:rFonts w:ascii="Times New Roman" w:cs="Times New Roman" w:eastAsia="Times New Roman" w:hAnsi="Times New Roman"/>
                <w:b w:val="false"/>
                <w:bCs w:val="false"/>
                <w:i w:val="false"/>
                <w:iCs w:val="false"/>
                <w:sz w:val="24"/>
                <w:szCs w:val="24"/>
                <w:highlight w:val="yellow"/>
              </w:rPr>
              <w:t xml:space="preserve">☒</w:t>
            </w:r>
            <w:r>
              <w:rPr>
                <w:rFonts w:ascii="Times New Roman" w:cs="Times New Roman" w:eastAsia="Times New Roman" w:hAnsi="Times New Roman"/>
                <w:b w:val="false"/>
                <w:bCs w:val="false"/>
                <w:i w:val="false"/>
                <w:iCs w:val="false"/>
                <w:sz w:val="24"/>
                <w:szCs w:val="24"/>
              </w:rPr>
              <w:t xml:space="preserve"> Thương mại, dịch vụ</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QUY MÔ (Điều 5, Điều 7 – Điều 9 Nghị định số 80/2021/NĐ-CP)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930"/>
        <w:gridCol w:w="1520"/>
        <w:gridCol w:w="4575"/>
      </w:tblGrid>
      <w:tr>
        <w:trPr>
          <w:cantSplit/>
          <w:tblHeader/>
        </w:trPr>
        <w:tc>
          <w:tcPr>
            <w:tcW w:type="dxa" w:w="2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Chỉ tiêu</w:t>
            </w:r>
          </w:p>
        </w:tc>
        <w:tc>
          <w:tcPr>
            <w:tcW w:type="dxa" w:w="1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Số liệu</w:t>
            </w:r>
          </w:p>
        </w:tc>
        <w:tc>
          <w:tcPr>
            <w:tcW w:type="dxa" w:w="45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Nguồn số liệu</w:t>
            </w:r>
          </w:p>
        </w:tc>
      </w:tr>
      <w:tr>
        <w:trPr>
          <w:cantSplit/>
          <w:tblHeader w:val="false"/>
        </w:trPr>
        <w:tc>
          <w:tcPr>
            <w:tcW w:type="dxa" w:w="2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lao động có tham gia bảo hiểm xã hội bình quân năm</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38 người</w:t>
            </w:r>
          </w:p>
        </w:tc>
        <w:tc>
          <w:tcPr>
            <w:tcW w:type="dxa" w:w="4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Tổng số lao động tham gia bảo hiểm xã hội tại cuối các tháng 01–12/2025 theo chứng từ nộp bảo hiểm xã hội, chia 12</w:t>
            </w:r>
          </w:p>
        </w:tc>
      </w:tr>
      <w:tr>
        <w:trPr>
          <w:cantSplit/>
          <w:tblHeader w:val="false"/>
        </w:trPr>
        <w:tc>
          <w:tcPr>
            <w:tcW w:type="dxa" w:w="2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Tổng doanh thu của năm</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42 tỷ đồng</w:t>
            </w:r>
          </w:p>
        </w:tc>
        <w:tc>
          <w:tcPr>
            <w:tcW w:type="dxa" w:w="4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Báo cáo tài chính năm 2025 đã nộp cơ quan thuế</w:t>
            </w:r>
          </w:p>
        </w:tc>
      </w:tr>
      <w:tr>
        <w:trPr>
          <w:cantSplit/>
          <w:tblHeader w:val="false"/>
        </w:trPr>
        <w:tc>
          <w:tcPr>
            <w:tcW w:type="dxa" w:w="2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Tổng nguồn vốn của năm</w:t>
            </w:r>
          </w:p>
        </w:tc>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18 tỷ đồng</w:t>
            </w:r>
          </w:p>
        </w:tc>
        <w:tc>
          <w:tcPr>
            <w:tcW w:type="dxa" w:w="45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Báo cáo tài chính năm 2025 đã nộp cơ quan thuế</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quả: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Doanh nghiệp siêu nhỏ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Doanh nghiệp nhỏ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Doanh nghiệp vừa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phải doanh nghiệp nhỏ và vừa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Hộ kinh doanh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Tổ chức không phải doanh nghiệp.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Doanh nghiệp khởi nghiệp: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Có — căn cứ: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CÁC TRƯỜNG HỢP KHÔNG ĐƯỢC MIỄN TRỪ</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Câu 1. Tổ chức có kinh doanh dịch vụ xử lý dữ liệu cá nhân (Điều 21 Nghị định số 356/2025/NĐ-CP) không?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 Giải thích: </w:t>
      </w:r>
      <w:r>
        <w:rPr>
          <w:rFonts w:ascii="Times New Roman" w:cs="Times New Roman" w:eastAsia="Times New Roman" w:hAnsi="Times New Roman"/>
          <w:b w:val="false"/>
          <w:bCs w:val="false"/>
          <w:i w:val="false"/>
          <w:iCs w:val="false"/>
          <w:sz w:val="26"/>
          <w:szCs w:val="26"/>
          <w:highlight w:val="yellow"/>
        </w:rPr>
        <w:t xml:space="preserve">Công ty phát triển phần mềm theo đơn đặt hàng và bàn giao cho khách hàng tự vận hành; không vận hành hệ thống, không thu thập, phân tích dữ liệu cá nhân thay khách hàng (đã đối chiếu 9 khoản Điều 21 Nghị định số 356/2025/NĐ-CP)</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Câu 2. Tổ chức có trực tiếp xử lý dữ liệu cá nhân nhạy cảm (khoản 1 Điều 4 Nghị định số 356/2025/NĐ-CP) không?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73"/>
        <w:gridCol w:w="3264"/>
        <w:gridCol w:w="563"/>
        <w:gridCol w:w="3425"/>
      </w:tblGrid>
      <w:tr>
        <w:trPr>
          <w:cantSplit/>
          <w:tblHeader/>
        </w:trPr>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Điểm</w:t>
            </w:r>
          </w:p>
        </w:tc>
        <w:tc>
          <w:tcPr>
            <w:tcW w:type="dxa" w:w="3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Loại dữ liệu cá nhân nhạy cảm</w:t>
            </w:r>
          </w:p>
        </w:tc>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Có xử lý</w:t>
            </w:r>
          </w:p>
        </w:tc>
        <w:tc>
          <w:tcPr>
            <w:tcW w:type="dxa" w:w="34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Của ai; hệ thống, hồ sơ; mục đích</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i</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 thẻ căn cước, thẻ căn cước công dân, chứng minh nhân dân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lao động — chỉ lưu khi hồ sơ bảo hiểm xã hội yêu cầu; lưu tách riêng, mã hóa trên hệ thống kế toán – nhân sự (HT-03-ERP)</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i</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Tên đăng nhập, mật khẩu tài khoản định danh điện tử của cá nhân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thu thập</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Tình trạng sức khỏe (giấy khám sức khỏe, nghỉ ốm, thai sản, bệnh nghề nghiệp)</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lao động — giấy khám sức khỏe, hồ sơ nghỉ ốm, thai sản (hồ sơ nhân sự, lương – bảo hiểm)</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sinh trắc học (vân tay, khuôn mặt), đặc điểm di truyền</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 chấm công bằng thẻ từ; camera không nhận diện khuôn mặt</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Vị trí của cá nhân xác định qua dịch vụ định vị</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Tên đăng nhập, mật khẩu tài khoản ngân hàng; thông tin thẻ, lịch sử giao dịch ngân hàng; thông tin tài chính, tín dụng tại tổ chức tín dụng, bảo hiểm</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(chỉ lưu số tài khoản nhận lương)</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theo dõi hành vi, hoạt động sử dụng dịch vụ viễn thông, mạng xã hội, dịch vụ trên không gian mạng</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lao động — nhật ký tên miền truy cập Internet trên tường lửa (có thể thuộc điểm này — bảo vệ như dữ liệu nhạy cảm)</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về đời sống riêng tư, bí mật cá nhân, bí mật gia đình</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chủ động thu thập</w:t>
            </w:r>
          </w:p>
        </w:tc>
      </w:tr>
      <w:tr>
        <w:trPr>
          <w:cantSplit/>
          <w:tblHeader w:val="false"/>
        </w:trPr>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 b, e, g, m</w:t>
            </w:r>
          </w:p>
        </w:tc>
        <w:tc>
          <w:tcPr>
            <w:tcW w:type="dxa" w:w="3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Nguồn gốc chủng tộc, dân tộc; quan điểm chính trị, tôn giáo; đời sống tình dục; dữ liệu tội phạm do cơ quan thực thi pháp luật thu thập; dữ liệu khác pháp luật yêu cầu giữ bí mật</w:t>
            </w:r>
          </w:p>
        </w:tc>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w:t>
            </w:r>
          </w:p>
        </w:tc>
        <w:tc>
          <w:tcPr>
            <w:tcW w:type="dxa" w:w="34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luận câu 2: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Có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Nếu Có, dữ liệu nhạy cảm chỉ là của người lao động, thu để thực hiện nghĩa vụ theo pháp luật: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Đúng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đúng (có dữ liệu nhạy cảm của khách hàng, người khác).</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Câu 3. Tổng số chủ thể dữ liệu cá nhân đã xử lý (tích lũy) có từ 100.000 trở lên không?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05"/>
        <w:gridCol w:w="4920"/>
      </w:tblGrid>
      <w:tr>
        <w:trPr>
          <w:cantSplit/>
          <w:tblHeader/>
        </w:trPr>
        <w:tc>
          <w:tcPr>
            <w:tcW w:type="dxa" w:w="41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Nhóm chủ thể</w:t>
            </w:r>
          </w:p>
        </w:tc>
        <w:tc>
          <w:tcPr>
            <w:tcW w:type="dxa" w:w="49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Số lượng ước tính (tích lũy)</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lao động, cộng tác viên (kể cả đã nghỉ việc)</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khoảng 110 (40 hiện tại, khoảng 70 đã nghỉ việc)</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thân, người phụ thuộc của người lao động</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khoảng 60</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Ứng viên</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khoảng 560 (khoảng 80/năm)</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hàng, đối tác là cá nhân; người liên hệ của tổ chức đối tác</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khoảng 2.500</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đến trụ sở được camera ghi hình</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khoảng 26.000 lượt (không nhận diện danh tính, không loại trùng)</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 </w:t>
            </w:r>
            <w:r>
              <w:rPr>
                <w:rFonts w:ascii="Times New Roman" w:cs="Times New Roman" w:eastAsia="Times New Roman" w:hAnsi="Times New Roman"/>
                <w:b w:val="false"/>
                <w:bCs w:val="false"/>
                <w:i w:val="false"/>
                <w:iCs w:val="false"/>
                <w:sz w:val="24"/>
                <w:szCs w:val="24"/>
                <w:highlight w:val="yellow"/>
              </w:rPr>
              <w:t xml:space="preserve">không có</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w:t>
            </w:r>
          </w:p>
        </w:tc>
      </w:tr>
      <w:tr>
        <w:trPr>
          <w:cantSplit/>
          <w:tblHeader w:val="false"/>
        </w:trPr>
        <w:tc>
          <w:tcPr>
            <w:tcW w:type="dxa" w:w="4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Tổng (đã loại trùng nếu có thể)</w:t>
            </w:r>
          </w:p>
        </w:tc>
        <w:tc>
          <w:tcPr>
            <w:tcW w:type="dxa" w:w="49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dưới 30.000 (ước tính tối đa, chưa loại trùng khách được camera ghi hình)</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Phương pháp đếm, mốc bắt đầu cộng dồn: </w:t>
      </w:r>
      <w:r>
        <w:rPr>
          <w:rFonts w:ascii="Times New Roman" w:cs="Times New Roman" w:eastAsia="Times New Roman" w:hAnsi="Times New Roman"/>
          <w:b w:val="false"/>
          <w:bCs w:val="false"/>
          <w:i w:val="false"/>
          <w:iCs w:val="false"/>
          <w:sz w:val="26"/>
          <w:szCs w:val="26"/>
          <w:highlight w:val="yellow"/>
        </w:rPr>
        <w:t xml:space="preserve">cộng dồn từ năm 2019 (năm bắt đầu hoạt động) theo hồ sơ nhân sự, hộp thư tuyển dụng, danh bạ khách hàng; khách được camera ghi hình ước tính 15 lượt/ngày × 250 ngày × 7 năm</w:t>
      </w:r>
      <w:r>
        <w:rPr>
          <w:rFonts w:ascii="Times New Roman" w:cs="Times New Roman" w:eastAsia="Times New Roman" w:hAnsi="Times New Roman"/>
          <w:b w:val="false"/>
          <w:bCs w:val="false"/>
          <w:i w:val="false"/>
          <w:iCs w:val="false"/>
          <w:sz w:val="26"/>
          <w:szCs w:val="26"/>
        </w:rPr>
        <w:t xml:space="preserve">. Kết luận câu 3: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Từ 100.000 trở lên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Dưới 100.000.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KẾT LUẬN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87"/>
        <w:gridCol w:w="3079"/>
        <w:gridCol w:w="5059"/>
      </w:tblGrid>
      <w:tr>
        <w:trPr>
          <w:cantSplit/>
          <w:tblHeader/>
        </w:trPr>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Chọn</w:t>
            </w:r>
          </w:p>
        </w:tc>
        <w:tc>
          <w:tcPr>
            <w:tcW w:type="dxa" w:w="3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Kết luận</w:t>
            </w:r>
          </w:p>
        </w:tc>
        <w:tc>
          <w:tcPr>
            <w:tcW w:type="dxa" w:w="5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Nghĩa vụ tại Điều 21, Điều 22, khoản 2 Điều 33 Luật Bảo vệ dữ liệu cá nhân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A. Không thuộc đối tượng miễn trừ (doanh nghiệp vừa, lớn; tổ chức không phải doanh nghiệp)</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Bắt buộc thực hiện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 Doanh nghiệp nhỏ, khởi nghiệp; câu 1, 2, 3 đều "Không"</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Được lựa chọn thực hiện hoặc không đến hết ngày 31/12/2030</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 Doanh nghiệp siêu nhỏ, hộ kinh doanh; câu 1, 2, 3 đều "Không"</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phải thực hiện</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 Thuộc nhóm B hoặc C nhưng câu 1 hoặc câu 3 là "Có"</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Bắt buộc thực hiện (mất miễn trừ)</w:t>
            </w:r>
          </w:p>
        </w:tc>
      </w:tr>
      <w:tr>
        <w:trPr>
          <w:cantSplit/>
          <w:tblHeader w:val="false"/>
        </w:trPr>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w:t>
            </w:r>
          </w:p>
        </w:tc>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E. Thuộc nhóm B hoặc C; chỉ câu 2 là "Có"</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Mất miễn trừ theo cách đọc thận trọng; cách đọc khác chưa được hướng dẫn — người đứng đầu quyết định tại Phần V</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Lập luận bổ sung: </w:t>
      </w:r>
      <w:r>
        <w:rPr>
          <w:rFonts w:ascii="Times New Roman" w:cs="Times New Roman" w:eastAsia="Times New Roman" w:hAnsi="Times New Roman"/>
          <w:b w:val="false"/>
          <w:bCs w:val="false"/>
          <w:i w:val="false"/>
          <w:iCs w:val="false"/>
          <w:sz w:val="26"/>
          <w:szCs w:val="26"/>
          <w:highlight w:val="yellow"/>
        </w:rPr>
        <w:t xml:space="preserve">Công ty là doanh nghiệp nhỏ (thương mại, dịch vụ: 38 lao động ≤ 50; doanh thu 42 tỷ đồng ≤ 100 tỷ đồng). Công ty chỉ lưu dữ liệu nhạy cảm của người lao động (hình ảnh thẻ căn cước khi hồ sơ bảo hiểm xã hội yêu cầu; giấy khám sức khỏe). Áp dụng cách hiểu thận trọng: coi là trực tiếp xử lý dữ liệu cá nhân nhạy cảm, không được miễn trừ.</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QUYẾT ĐỊNH CỦA NGƯỜI ĐỨNG ĐẦU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(bắt buộc với kết luận B, E; ghi nhận với A, C, D)</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Thực hiện đầy đủ Điều 21, Điều 22, khoản 2 Điều 33: chỉ định nhân sự (bộ phận) bảo vệ dữ liệu cá nhân hoặc thuê dịch vụ trước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lập, nộp hồ sơ đánh giá tác động xử lý dữ liệu cá nhân trước ngày </w:t>
      </w:r>
      <w:r>
        <w:rPr>
          <w:rFonts w:ascii="Times New Roman" w:cs="Times New Roman" w:eastAsia="Times New Roman" w:hAnsi="Times New Roman"/>
          <w:b w:val="false"/>
          <w:bCs w:val="false"/>
          <w:i w:val="false"/>
          <w:iCs w:val="false"/>
          <w:sz w:val="26"/>
          <w:szCs w:val="26"/>
          <w:highlight w:val="yellow"/>
        </w:rPr>
        <w:t xml:space="preserve">30/11/2026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Không thực hiện Điều 21, Điều 22, khoản 2 Điều 33 trong thời gian được miễn trừ; giao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làm đầu mối tiếp nhận yêu cầu của chủ thể dữ liệu và thông báo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Giảm dữ liệu cá nhân nhạy cảm để giữ miễn trừ: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hoàn thành trước ngày </w:t>
      </w: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Trong thời gian chưa hoàn thành, áp dụng phương án thực hiện đầy đủ.</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Ý kiến khác: </w:t>
      </w:r>
      <w:r>
        <w:rPr>
          <w:rFonts w:ascii="Times New Roman" w:cs="Times New Roman" w:eastAsia="Times New Roman" w:hAnsi="Times New Roman"/>
          <w:b w:val="false"/>
          <w:bCs w:val="false"/>
          <w:i w:val="false"/>
          <w:iCs w:val="false"/>
          <w:sz w:val="26"/>
          <w:szCs w:val="26"/>
          <w:highlight w:val="yellow"/>
        </w:rPr>
        <w:t xml:space="preserve">Đồng ý thực hiện đầy đủ. Giao Trưởng phòng Pháp chế trình Quyết định chỉ định nhân sự bảo vệ dữ liệu cá nhân và Quy định bảo vệ dữ liệu cá nhân ngày 02/11/2026; nghiên cứu phương án thôi lưu hình ảnh thẻ căn cước.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nghĩa vụ không được miễn trừ (nguyên tắc xử lý, sự đồng ý, thông báo, quyền của chủ thể, xóa, hủy, bảo vệ dữ liệu người lao động và ứng viên, camera, điện toán đám mây, chuyển dữ liệu cá nhân xuyên biên giới, thông báo vi phạm chậm nhất 72 giờ) vẫn được thực hiện theo Quy định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RÀ SOÁT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Rà soát hằng năm trong thời hạn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kể từ ngày nộp báo cáo tài chính năm cho cơ quan thuế; rà soát ngay khi bắt đầu xử lý loại dữ liệu cá nhân nhạy cảm mới, bắt đầu cung cấp dịch vụ xử lý dữ liệu cá nhân, số chủ thể tích lũy vượt </w:t>
      </w:r>
      <w:r>
        <w:rPr>
          <w:rFonts w:ascii="Times New Roman" w:cs="Times New Roman" w:eastAsia="Times New Roman" w:hAnsi="Times New Roman"/>
          <w:b w:val="false"/>
          <w:bCs w:val="false"/>
          <w:i w:val="false"/>
          <w:iCs w:val="false"/>
          <w:sz w:val="26"/>
          <w:szCs w:val="26"/>
          <w:highlight w:val="yellow"/>
        </w:rPr>
        <w:t xml:space="preserve">80.000 chủ thể</w:t>
      </w:r>
      <w:r>
        <w:rPr>
          <w:rFonts w:ascii="Times New Roman" w:cs="Times New Roman" w:eastAsia="Times New Roman" w:hAnsi="Times New Roman"/>
          <w:b w:val="false"/>
          <w:bCs w:val="false"/>
          <w:i w:val="false"/>
          <w:iCs w:val="false"/>
          <w:sz w:val="26"/>
          <w:szCs w:val="26"/>
        </w:rPr>
        <w:t xml:space="preserve"> hoặc thay đổi ngành, nghề kinh doanh chính. Lần rà soát tiếp theo dự kiến: </w:t>
      </w:r>
      <w:r>
        <w:rPr>
          <w:rFonts w:ascii="Times New Roman" w:cs="Times New Roman" w:eastAsia="Times New Roman" w:hAnsi="Times New Roman"/>
          <w:b w:val="false"/>
          <w:bCs w:val="false"/>
          <w:i w:val="false"/>
          <w:iCs w:val="false"/>
          <w:sz w:val="26"/>
          <w:szCs w:val="26"/>
          <w:highlight w:val="yellow"/>
        </w:rPr>
        <w:t xml:space="preserve">tháng 4/2027 (sau khi nộp báo cáo tài chính năm 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kèm theo: </w:t>
      </w:r>
      <w:r>
        <w:rPr>
          <w:rFonts w:ascii="Times New Roman" w:cs="Times New Roman" w:eastAsia="Times New Roman" w:hAnsi="Times New Roman"/>
          <w:b w:val="false"/>
          <w:bCs w:val="false"/>
          <w:i w:val="false"/>
          <w:iCs w:val="false"/>
          <w:sz w:val="26"/>
          <w:szCs w:val="26"/>
          <w:highlight w:val="yellow"/>
        </w:rPr>
        <w:t xml:space="preserve">bảng kê lao động tham gia bảo hiểm xã hội năm 2025; trang báo cáo tài chính năm 2025 thể hiện doanh thu, nguồn vốn; bảng kiểm kê dữ liệu cá nhân ngày 02/11/2026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864"/>
        <w:gridCol w:w="4161"/>
      </w:tblGrid>
      <w:tr>
        <w:trPr>
          <w:cantSplit/>
          <w:tblHeader/>
        </w:trPr>
        <w:tc>
          <w:tcPr>
            <w:tcW w:type="dxa" w:w="48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LẬP</w:t>
            </w:r>
          </w:p>
        </w:tc>
        <w:tc>
          <w:tcPr>
            <w:tcW w:type="dxa" w:w="41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DUYỆT</w:t>
            </w:r>
          </w:p>
          <w:p>
            <w:pPr>
              <w:keepNext/>
              <w:spacing w:after="0" w:before="0" w:line="240" w:lineRule="auto"/>
              <w:jc w:val="center"/>
            </w:pPr>
            <w:r>
              <w:rPr>
                <w:rFonts w:ascii="Times New Roman" w:cs="Times New Roman" w:eastAsia="Times New Roman" w:hAnsi="Times New Roman"/>
                <w:b w:val="false"/>
                <w:bCs w:val="false"/>
                <w:i w:val="false"/>
                <w:iCs w:val="false"/>
                <w:sz w:val="24"/>
                <w:szCs w:val="24"/>
                <w:highlight w:val="yellow"/>
              </w:rPr>
              <w:t xml:space="preserve">TỔNG GIÁM ĐỐC</w:t>
            </w:r>
          </w:p>
        </w:tc>
      </w:tr>
      <w:tr>
        <w:trPr>
          <w:cantSplit/>
          <w:tblHeader w:val="false"/>
        </w:trPr>
        <w:tc>
          <w:tcPr>
            <w:tcW w:type="dxa" w:w="48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Phạm Thu Dung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pháp chế</w:t>
            </w:r>
          </w:p>
        </w:tc>
        <w:tc>
          <w:tcPr>
            <w:tcW w:type="dxa" w:w="4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 đóng dấu)</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Nguyễn Văn An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Phiếu xác định quy mô doanh nghiệp và diện miễn trừ nghĩa vụ bảo vệ dữ liệu cá nhân</dc:title>
  <dc:creator>vn-cyber-compliance</dc:creator>
  <cp:lastModifiedBy>Un-named</cp:lastModifiedBy>
  <cp:revision>1</cp:revision>
  <dcterms:created xsi:type="dcterms:W3CDTF">2026-09-29T06:06:18.966Z</dcterms:created>
  <dcterms:modified xsi:type="dcterms:W3CDTF">2026-09-29T06:06:18.966Z</dcterms:modified>
</cp:coreProperties>
</file>

<file path=docProps/custom.xml><?xml version="1.0" encoding="utf-8"?>
<Properties xmlns="http://schemas.openxmlformats.org/officeDocument/2006/custom-properties" xmlns:vt="http://schemas.openxmlformats.org/officeDocument/2006/docPropsVTypes"/>
</file>