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Times New Roman" w:cs="Times New Roman" w:eastAsia="Times New Roman" w:hAnsi="Times New Roman"/>
          <w:b/>
          <w:bCs/>
          <w:i w:val="false"/>
          <w:iCs w:val="false"/>
          <w:caps/>
          <w:sz w:val="28"/>
          <w:szCs w:val="28"/>
        </w:rPr>
        <w:t xml:space="preserve">Quy trình đánh giá điều kiện an ninh mạng trước khi vận hành ("cổng" dự án mới / thay đổi lớn)</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Căn cứ:</w:t>
      </w:r>
      <w:r>
        <w:rPr>
          <w:rFonts w:ascii="Times New Roman" w:cs="Times New Roman" w:eastAsia="Times New Roman" w:hAnsi="Times New Roman"/>
          <w:b w:val="false"/>
          <w:bCs w:val="false"/>
          <w:i/>
          <w:iCs/>
          <w:sz w:val="24"/>
          <w:szCs w:val="24"/>
        </w:rPr>
        <w:t xml:space="preserve"> Luật 116/2025/QH15 Đ10.2.b–c, Đ10.3–10.5; NĐ 331/2026/NĐ-CP Đ10.2.b–c, Đ19, Đ25, Đ28.3, Đ30.6–30.9, Đ31.2.c, Đ37; NĐ 330/2026/NĐ-CP Đ23.1.b–d; TCVN 14423:2026 mục 5.12.2.3, 5.17.2.4, 6.16.2.9 · </w:t>
      </w:r>
      <w:r>
        <w:rPr>
          <w:rFonts w:ascii="Times New Roman" w:cs="Times New Roman" w:eastAsia="Times New Roman" w:hAnsi="Times New Roman"/>
          <w:b/>
          <w:bCs/>
          <w:i/>
          <w:iCs/>
          <w:sz w:val="24"/>
          <w:szCs w:val="24"/>
        </w:rPr>
        <w:t xml:space="preserve">Đối chiếu văn bản gốc:</w:t>
      </w:r>
      <w:r>
        <w:rPr>
          <w:rFonts w:ascii="Times New Roman" w:cs="Times New Roman" w:eastAsia="Times New Roman" w:hAnsi="Times New Roman"/>
          <w:b w:val="false"/>
          <w:bCs w:val="false"/>
          <w:i/>
          <w:iCs/>
          <w:sz w:val="24"/>
          <w:szCs w:val="24"/>
        </w:rPr>
        <w:t xml:space="preserve"> 24/09/2026 · </w:t>
      </w:r>
      <w:r>
        <w:rPr>
          <w:rFonts w:ascii="Times New Roman" w:cs="Times New Roman" w:eastAsia="Times New Roman" w:hAnsi="Times New Roman"/>
          <w:b/>
          <w:bCs/>
          <w:i/>
          <w:iCs/>
          <w:sz w:val="24"/>
          <w:szCs w:val="24"/>
        </w:rPr>
        <w:t xml:space="preserve">Trạng thái:</w:t>
      </w:r>
      <w:r>
        <w:rPr>
          <w:rFonts w:ascii="Times New Roman" w:cs="Times New Roman" w:eastAsia="Times New Roman" w:hAnsi="Times New Roman"/>
          <w:b w:val="false"/>
          <w:bCs w:val="false"/>
          <w:i/>
          <w:iCs/>
          <w:sz w:val="24"/>
          <w:szCs w:val="24"/>
        </w:rPr>
        <w:t xml:space="preserve"> Bản khung v0.1</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Phần TCVN 14423:2026 là tóm lược để tra cứu; khi lập hồ sơ phải đối chiếu bản chính thức TCVN 14423:2026 (mua tại VSQI).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QT-DGTVH</w:t>
      </w:r>
      <w:r>
        <w:rPr>
          <w:rFonts w:ascii="Times New Roman" w:cs="Times New Roman" w:eastAsia="Times New Roman" w:hAnsi="Times New Roman"/>
          <w:b w:val="false"/>
          <w:bCs w:val="false"/>
          <w:i w:val="false"/>
          <w:iCs w:val="false"/>
          <w:sz w:val="26"/>
          <w:szCs w:val="26"/>
        </w:rPr>
        <w:t xml:space="preserve"> · Ban hành kèm Quy chế bảo đảm ANM (Điều 22, 32) · Chủ trì: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 Người quyết định "qua cổng":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hoặc người được ủy quyền.</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Cơ sở pháp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024"/>
        <w:gridCol w:w="4736"/>
        <w:gridCol w:w="2265"/>
      </w:tblGrid>
      <w:tr>
        <w:trPr>
          <w:cantSplit/>
          <w:tblHeader/>
        </w:trPr>
        <w:tc>
          <w:tcPr>
            <w:tcW w:type="dxa" w:w="202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Quy định</w:t>
            </w:r>
          </w:p>
        </w:tc>
        <w:tc>
          <w:tcPr>
            <w:tcW w:type="dxa" w:w="47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22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điều kiện ANM</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Xem xét mức độ đáp ứng điều kiện ANM </w:t>
            </w:r>
            <w:r>
              <w:rPr>
                <w:rFonts w:ascii="Times New Roman" w:cs="Times New Roman" w:eastAsia="Times New Roman" w:hAnsi="Times New Roman"/>
                <w:b/>
                <w:bCs/>
                <w:i w:val="false"/>
                <w:iCs w:val="false"/>
                <w:sz w:val="24"/>
                <w:szCs w:val="24"/>
              </w:rPr>
              <w:t xml:space="preserve">trước khi đưa vào vận hành, sử dụng</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Đ28.3</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Nội dung</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Chính sách, quy chế, quy trình; tổ chức bộ máy, nhân sự phụ trách; biện pháp quản lý và kỹ thuật; khả năng giám sát, phát hiện, ứng phó, khắc phục sự cố; tuân thủ pháp luật</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Đ28.3.a</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Trường hợp</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Trước khi đưa vào vận hành; </w:t>
            </w:r>
            <w:r>
              <w:rPr>
                <w:rFonts w:ascii="Times New Roman" w:cs="Times New Roman" w:eastAsia="Times New Roman" w:hAnsi="Times New Roman"/>
                <w:b/>
                <w:bCs/>
                <w:i w:val="false"/>
                <w:iCs w:val="false"/>
                <w:sz w:val="24"/>
                <w:szCs w:val="24"/>
              </w:rPr>
              <w:t xml:space="preserve">khi có thay đổi lớn</w:t>
            </w:r>
            <w:r>
              <w:rPr>
                <w:rFonts w:ascii="Times New Roman" w:cs="Times New Roman" w:eastAsia="Times New Roman" w:hAnsi="Times New Roman"/>
                <w:b w:val="false"/>
                <w:bCs w:val="false"/>
                <w:i w:val="false"/>
                <w:iCs w:val="false"/>
                <w:sz w:val="24"/>
                <w:szCs w:val="24"/>
              </w:rPr>
              <w:t xml:space="preserve"> về chức năng, quy mô, công nghệ hoặc mức độ rủi ro; theo yêu cầu cơ quan có thẩm quyền</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Đ28.3.b</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quả</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w:t>
            </w:r>
            <w:r>
              <w:rPr>
                <w:rFonts w:ascii="Times New Roman" w:cs="Times New Roman" w:eastAsia="Times New Roman" w:hAnsi="Times New Roman"/>
                <w:b/>
                <w:bCs/>
                <w:i w:val="false"/>
                <w:iCs w:val="false"/>
                <w:sz w:val="24"/>
                <w:szCs w:val="24"/>
              </w:rPr>
              <w:t xml:space="preserve">đủ / không đủ điều kiện</w:t>
            </w:r>
            <w:r>
              <w:rPr>
                <w:rFonts w:ascii="Times New Roman" w:cs="Times New Roman" w:eastAsia="Times New Roman" w:hAnsi="Times New Roman"/>
                <w:b w:val="false"/>
                <w:bCs w:val="false"/>
                <w:i w:val="false"/>
                <w:iCs w:val="false"/>
                <w:sz w:val="24"/>
                <w:szCs w:val="24"/>
              </w:rPr>
              <w:t xml:space="preserve"> đưa vào vận hành; yêu cầu bổ sung biện pháp; phục vụ quản lý nhà nước</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Đ28.3.c</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Triển khai đầy đủ phương án</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xây mới/mở rộng/nâng cấp phải triển khai đầy đủ phương án ANM đã phê duyệt tại Hồ sơ đề xuất cấp độ và đáp ứng Đ29, Đ30 </w:t>
            </w:r>
            <w:r>
              <w:rPr>
                <w:rFonts w:ascii="Times New Roman" w:cs="Times New Roman" w:eastAsia="Times New Roman" w:hAnsi="Times New Roman"/>
                <w:b/>
                <w:bCs/>
                <w:i w:val="false"/>
                <w:iCs w:val="false"/>
                <w:sz w:val="24"/>
                <w:szCs w:val="24"/>
              </w:rPr>
              <w:t xml:space="preserve">trước khi vận hành, khai thác</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Đ30.6</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Lồng ghép vào đầu tư</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Thuyết minh đề xuất cấp độ lồng ghép vào báo cáo nghiên cứu khả thi/báo cáo đầu tư/kế hoạch thuê dịch vụ</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Đ19.1–19.2</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Thời điểm phê duyệt</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4"/>
                <w:szCs w:val="24"/>
              </w:rPr>
              <w:t xml:space="preserve">Khuyến khích</w:t>
            </w:r>
            <w:r>
              <w:rPr>
                <w:rFonts w:ascii="Times New Roman" w:cs="Times New Roman" w:eastAsia="Times New Roman" w:hAnsi="Times New Roman"/>
                <w:b w:val="false"/>
                <w:bCs w:val="false"/>
                <w:i w:val="false"/>
                <w:iCs w:val="false"/>
                <w:sz w:val="24"/>
                <w:szCs w:val="24"/>
              </w:rPr>
              <w:t xml:space="preserve"> phê duyệt Hồ sơ đề xuất cấp độ trước khi phê duyệt BCKTKT/thiết kế cơ sở/kế hoạch thuê dịch vụ/đề cương dự toán</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Đ37</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Mức áp dụng theo luật</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điều kiện ANM" (Luật 116 Đ10.2.c): cấp 1–2 tùy chọn; cấp 3–4 không thuộc danh mục quan trọng về ANQG: </w:t>
            </w:r>
            <w:r>
              <w:rPr>
                <w:rFonts w:ascii="Times New Roman" w:cs="Times New Roman" w:eastAsia="Times New Roman" w:hAnsi="Times New Roman"/>
                <w:b/>
                <w:bCs/>
                <w:i w:val="false"/>
                <w:iCs w:val="false"/>
                <w:sz w:val="24"/>
                <w:szCs w:val="24"/>
              </w:rPr>
              <w:t xml:space="preserve">theo nhu cầu, khả năng</w:t>
            </w:r>
            <w:r>
              <w:rPr>
                <w:rFonts w:ascii="Times New Roman" w:cs="Times New Roman" w:eastAsia="Times New Roman" w:hAnsi="Times New Roman"/>
                <w:b w:val="false"/>
                <w:bCs w:val="false"/>
                <w:i w:val="false"/>
                <w:iCs w:val="false"/>
                <w:sz w:val="24"/>
                <w:szCs w:val="24"/>
              </w:rPr>
              <w:t xml:space="preserve">; thuộc danh mục quan trọng về ANQG: </w:t>
            </w:r>
            <w:r>
              <w:rPr>
                <w:rFonts w:ascii="Times New Roman" w:cs="Times New Roman" w:eastAsia="Times New Roman" w:hAnsi="Times New Roman"/>
                <w:b/>
                <w:bCs/>
                <w:i w:val="false"/>
                <w:iCs w:val="false"/>
                <w:sz w:val="24"/>
                <w:szCs w:val="24"/>
              </w:rPr>
              <w:t xml:space="preserve">bắt buộc</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Đ10.3–10.5</w:t>
            </w:r>
          </w:p>
        </w:tc>
      </w:tr>
      <w:tr>
        <w:trPr>
          <w:cantSplit/>
          <w:tblHeader w:val="false"/>
        </w:trPr>
        <w:tc>
          <w:tcPr>
            <w:tcW w:type="dxa" w:w="20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Chế tài</w:t>
            </w:r>
          </w:p>
        </w:tc>
        <w:tc>
          <w:tcPr>
            <w:tcW w:type="dxa" w:w="47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Đưa HTTT cấp 3–5 vào vận hành khi chưa được phê duyệt cấp độ; không triển khai đầy đủ biện pháp như hồ sơ đã phê duyệt: tổ chức 40–60 triệu đồng (khung cá nhân 20–30 — NĐ 330 Đ7.1)</w:t>
            </w:r>
          </w:p>
        </w:tc>
        <w:tc>
          <w:tcPr>
            <w:tcW w:type="dxa" w:w="2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Đ23.1.c–d</w:t>
            </w:r>
          </w:p>
        </w:tc>
      </w:tr>
    </w:tbl>
    <w:p>
      <w:pPr>
        <w:spacing w:after="60" w:before="0" w:line="276" w:lineRule="auto"/>
        <w:jc w:val="both"/>
      </w:pP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Mâu thuẫn cần lưu ý:</w:t>
      </w:r>
      <w:r>
        <w:rPr>
          <w:rFonts w:ascii="Times New Roman" w:cs="Times New Roman" w:eastAsia="Times New Roman" w:hAnsi="Times New Roman"/>
          <w:b w:val="false"/>
          <w:bCs w:val="false"/>
          <w:i/>
          <w:iCs/>
          <w:sz w:val="24"/>
          <w:szCs w:val="24"/>
        </w:rPr>
        <w:t xml:space="preserve"> Luật 116 Đ10.4 cho phép chủ quản cấp 3–4 (không thuộc danh mục ANQG) </w:t>
      </w:r>
      <w:r>
        <w:rPr>
          <w:rFonts w:ascii="Times New Roman" w:cs="Times New Roman" w:eastAsia="Times New Roman" w:hAnsi="Times New Roman"/>
          <w:b w:val="false"/>
          <w:bCs w:val="false"/>
          <w:i w:val="false"/>
          <w:iCs w:val="false"/>
          <w:sz w:val="24"/>
          <w:szCs w:val="24"/>
        </w:rPr>
        <w:t xml:space="preserve">lựa chọn</w:t>
      </w:r>
      <w:r>
        <w:rPr>
          <w:rFonts w:ascii="Times New Roman" w:cs="Times New Roman" w:eastAsia="Times New Roman" w:hAnsi="Times New Roman"/>
          <w:b w:val="false"/>
          <w:bCs w:val="false"/>
          <w:i/>
          <w:iCs/>
          <w:sz w:val="24"/>
          <w:szCs w:val="24"/>
        </w:rPr>
        <w:t xml:space="preserve"> áp dụng biện pháp "đánh giá điều kiện ANM", trong khi NĐ 331 Đ28.3 mô tả đánh giá điều kiện "trước khi đưa vào vận hành" và Đ30.6 yêu cầu triển khai đầy đủ phương án trước vận hành với mọi cấp. Cách tiếp cận an toàn: </w:t>
      </w:r>
      <w:r>
        <w:rPr>
          <w:rFonts w:ascii="Times New Roman" w:cs="Times New Roman" w:eastAsia="Times New Roman" w:hAnsi="Times New Roman"/>
          <w:b/>
          <w:bCs/>
          <w:i/>
          <w:iCs/>
          <w:sz w:val="24"/>
          <w:szCs w:val="24"/>
        </w:rPr>
        <w:t xml:space="preserve">luôn thực hiện cổng nội bộ</w:t>
      </w:r>
      <w:r>
        <w:rPr>
          <w:rFonts w:ascii="Times New Roman" w:cs="Times New Roman" w:eastAsia="Times New Roman" w:hAnsi="Times New Roman"/>
          <w:b w:val="false"/>
          <w:bCs w:val="false"/>
          <w:i/>
          <w:iCs/>
          <w:sz w:val="24"/>
          <w:szCs w:val="24"/>
        </w:rPr>
        <w:t xml:space="preserve"> (tự đánh giá độc lập) cho mọi hệ thống cấp 3 trở lên; việc thuê đánh giá bên ngoài theo Đ31.2.c. </w:t>
      </w:r>
      <w:r>
        <w:rPr>
          <w:rFonts w:ascii="Times New Roman" w:cs="Times New Roman" w:eastAsia="Times New Roman" w:hAnsi="Times New Roman"/>
          <w:b/>
          <w:bCs/>
          <w:i/>
          <w:iCs/>
          <w:sz w:val="24"/>
          <w:szCs w:val="24"/>
        </w:rPr>
        <w:t xml:space="preserve">[CẦN ĐỐI CHIẾU]</w:t>
      </w:r>
      <w:r>
        <w:rPr>
          <w:rFonts w:ascii="Times New Roman" w:cs="Times New Roman" w:eastAsia="Times New Roman" w:hAnsi="Times New Roman"/>
          <w:b w:val="false"/>
          <w:bCs w:val="false"/>
          <w:i/>
          <w:iCs/>
          <w:sz w:val="24"/>
          <w:szCs w:val="24"/>
        </w:rPr>
        <w:t xml:space="preserve"> hướng dẫn của BCA.</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Khi nào phải qua cổng</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Hệ thống mới (tự xây hoặc thuê dịch vụ) trước go-live.</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Mở rộng, nâng cấp hệ thống.</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Thay đổi lớn</w:t>
      </w:r>
      <w:r>
        <w:rPr>
          <w:rFonts w:ascii="Times New Roman" w:cs="Times New Roman" w:eastAsia="Times New Roman" w:hAnsi="Times New Roman"/>
          <w:b w:val="false"/>
          <w:bCs w:val="false"/>
          <w:i w:val="false"/>
          <w:iCs w:val="false"/>
          <w:sz w:val="26"/>
          <w:szCs w:val="26"/>
        </w:rPr>
        <w:t xml:space="preserve"> — định nghĩa nội bộ (tối thiểu gồm các trường hợp NĐ 331 Đ10.2.b–c):</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thay đổi chức năng nghiệp vụ, phạm vi phục vụ, đối tượng sử dụng (ví dụ mở cho người dùng Internet);</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thay đổi loại thông tin xử lý (ví dụ bắt đầu xử lý DLCN nhạy cảm);</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thay đổi công nghệ nền tảng (chuyển lên đám mây, đổi hệ quản trị CSDL, đổi kiến trúc);</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tích hợp, kết nối liên thông, chia sẻ dữ liệu với hệ thống khác;</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thay đổi nhà cung cấp dịch vụ hạ tầng/vận hành;</w:t>
      </w:r>
    </w:p>
    <w:p>
      <w:pPr>
        <w:spacing w:after="60" w:before="0" w:line="276" w:lineRule="auto"/>
        <w:ind w:left="79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thay đổi nhà cung cấp trung tâm dữ liệu</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Theo yêu cầu của cơ quan có thẩm quyền.</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Các cổng (gate) trong vòng đời dự án</w:t>
      </w:r>
    </w:p>
    <w:p>
      <w:pPr>
        <w:spacing w:after="120" w:before="0" w:line="276" w:lineRule="auto"/>
        <w:jc w:val="center"/>
      </w:pPr>
      <w:r>
        <w:rPr>
          <w:rFonts w:ascii="Times New Roman" w:cs="Times New Roman" w:eastAsia="Times New Roman" w:hAnsi="Times New Roman"/>
          <w:b w:val="false"/>
          <w:bCs w:val="false"/>
          <w:i/>
          <w:iCs/>
          <w:sz w:val="22"/>
          <w:szCs w:val="22"/>
        </w:rPr>
        <w:t xml:space="preserve">[Sơ đồ — xem bản trực tuyến: docs/04-chinh-sach-quy-trinh/quy-trinh-danh-gia-truoc-van-hanh.md]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1973"/>
        <w:gridCol w:w="2151"/>
        <w:gridCol w:w="4071"/>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Cổng</w:t>
            </w:r>
          </w:p>
        </w:tc>
        <w:tc>
          <w:tcPr>
            <w:tcW w:type="dxa" w:w="19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Câu hỏi quyết định</w:t>
            </w:r>
          </w:p>
        </w:tc>
        <w:tc>
          <w:tcPr>
            <w:tcW w:type="dxa" w:w="21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Người quyết định</w:t>
            </w:r>
          </w:p>
        </w:tc>
        <w:tc>
          <w:tcPr>
            <w:tcW w:type="dxa" w:w="40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Hồ sơ đầu vào</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G0</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thuộc loại hình nào, cấp độ dự kiến? Có xử lý DLCN?</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dự án + ANM</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Phiếu xác định cấp độ (../01-xac-dinh-cap-do/); đánh giá rủi ro sơ bộ</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G1</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Thuyết minh đề xuất cấp độ đã lồng ghép? Kinh phí ANM đã dự toán?</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Cấp phê duyệt đầu tư</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BCNCKT/kế hoạch thuê dịch vụ có mục ANM</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G2</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kế đáp ứng phương án ANM theo cấp?</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Đơn vị chuyên trách ANM</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Thiết kế sơ bộ/thi công; thuyết minh phương án ANM</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G3</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Đủ điều kiện ANM để vận hành?</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quản (hoặc người được ủy quyền) theo đề xuất của bộ phận đánh giá độc lập</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Checklist mục 4 + báo cáo kiểm thử + QĐ phê duyệt cấp độ</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G4</w:t>
            </w:r>
          </w:p>
        </w:tc>
        <w:tc>
          <w:tcPr>
            <w:tcW w:type="dxa" w:w="19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danh mục, giám sát đã cập nhật?</w:t>
            </w:r>
          </w:p>
        </w:tc>
        <w:tc>
          <w:tcPr>
            <w:tcW w:type="dxa" w:w="21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ANM</w:t>
            </w:r>
          </w:p>
        </w:tc>
        <w:tc>
          <w:tcPr>
            <w:tcW w:type="dxa" w:w="40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sau vận hành</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Checklist G3 — đánh giá điều kiện ANM trước vận hành</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Cột "Bằng chứng" là tài liệu phải có trong hồ sơ cổng. Đánh dấu Đạt / Không đạt / Không áp dụng (N/A phải có lý do).</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4.1 Pháp lý và hồ sơ</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4135"/>
        <w:gridCol w:w="2134"/>
        <w:gridCol w:w="2193"/>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1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219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đề xuất cấp độ đã được </w:t>
            </w:r>
            <w:r>
              <w:rPr>
                <w:rFonts w:ascii="Times New Roman" w:cs="Times New Roman" w:eastAsia="Times New Roman" w:hAnsi="Times New Roman"/>
                <w:b/>
                <w:bCs/>
                <w:i w:val="false"/>
                <w:iCs w:val="false"/>
                <w:sz w:val="22"/>
                <w:szCs w:val="22"/>
              </w:rPr>
              <w:t xml:space="preserve">phê duyệt</w:t>
            </w:r>
            <w:r>
              <w:rPr>
                <w:rFonts w:ascii="Times New Roman" w:cs="Times New Roman" w:eastAsia="Times New Roman" w:hAnsi="Times New Roman"/>
                <w:b w:val="false"/>
                <w:bCs w:val="false"/>
                <w:i w:val="false"/>
                <w:iCs w:val="false"/>
                <w:sz w:val="22"/>
                <w:szCs w:val="22"/>
              </w:rPr>
              <w:t xml:space="preserve"> (cấp 3–5 bắt buộc trước vận hành)</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Đ20; NĐ 330 Đ23.1.c</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QĐ phê duyệt (Mẫu 06/07)</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chế bảo đảm ANM đã ban hành, áp dụng cho hệ thống mới (Phụ lục 3 Quy chế)</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Đ30.7, Đ28.3.a</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QĐ ban hành, Phụ lục cập nhật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QĐ giao đơn vị vận hành; hợp đồng thuê dịch vụ có điều khoản Đ5.3.a</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Đ5</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QĐ, hợp đồng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tác động xử lý DLCN (nếu xử lý DLCN) đã lập</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NĐ 356 Đ19</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đánh giá tác động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1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Nếu là DN cung cấp dịch vụ: xác thực tài khoản, nhật ký ≥ 12 tháng, lưu trữ dữ liệu tại VN, quy trình tiếp nhận yêu cầu</w:t>
            </w:r>
          </w:p>
        </w:tc>
        <w:tc>
          <w:tcPr>
            <w:tcW w:type="dxa" w:w="21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Đ16, Đ19–20</w:t>
            </w:r>
          </w:p>
        </w:tc>
        <w:tc>
          <w:tcPr>
            <w:tcW w:type="dxa" w:w="219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liệu thiết kế, cấu hình</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4.2 Tổ chức, nhân sự</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4216"/>
        <w:gridCol w:w="2396"/>
        <w:gridCol w:w="1850"/>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42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3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85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nhân sự quản trị, vận hành, bảo vệ ANM được phân công; cấp 3+: tách vai trò</w:t>
            </w:r>
          </w:p>
        </w:tc>
        <w:tc>
          <w:tcPr>
            <w:tcW w:type="dxa" w:w="2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Đ28.3.a; TCVN 5.14</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phân công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 vận hành cấp 3–5 (DN Nhà nước) đã/đang trong lộ trình tập huấn chuyên sâu</w:t>
            </w:r>
          </w:p>
        </w:tc>
        <w:tc>
          <w:tcPr>
            <w:tcW w:type="dxa" w:w="2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Đ34.2; NĐ 333 Đ24.8.b</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Chứng nhận/kế hoạch</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2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dùng đã được hướng dẫn quy định sử dụng</w:t>
            </w:r>
          </w:p>
        </w:tc>
        <w:tc>
          <w:tcPr>
            <w:tcW w:type="dxa" w:w="23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5.14.2.2</w:t>
            </w:r>
          </w:p>
        </w:tc>
        <w:tc>
          <w:tcPr>
            <w:tcW w:type="dxa" w:w="18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4.3 Biện pháp kỹ thuật (theo phương án đã phê duyệt)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3391"/>
        <w:gridCol w:w="3009"/>
        <w:gridCol w:w="2062"/>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30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20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Mọi hạng mục của phương án ANM đã triển khai (đối chiếu từng dòng)</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Đ30.6</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Bảng đối chiếu phương án – hiện trạng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mục tài sản phần cứng, phần mềm, tài sản thông tin đã lập</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5.2–5.4</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mục</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Cấu hình chuẩn/hardening đã áp dụng; tài khoản mặc định đã đổi/vô hiệu</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Đ27.2.đ; TCVN 5.5, 5.6</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kiểm tra cấu hình</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tài khoản, quyền được phê duyệt; MFA tài khoản quản trị (mọi cấp)</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x.6.2.4 (3.6.2.4–7.6.2.4)</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sách, ảnh cấu hình</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vùng mạng, tường lửa, WAF/IPS/DDoS theo cấp; thuê DC/đám mây: tách lô-gic (C3–4)/vật lý (C5)</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Đ30.8–30.9; TCVN 5.12</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Sơ đồ mạng, rule set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được thu thập tập trung, đồng bộ thời gian, thời gian lưu đạt tham số</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5.8; NĐ 333 Đ16.6</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Cấu hình SIEM/log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Sao lưu tự động, lưu tách biệt, </w:t>
            </w:r>
            <w:r>
              <w:rPr>
                <w:rFonts w:ascii="Times New Roman" w:cs="Times New Roman" w:eastAsia="Times New Roman" w:hAnsi="Times New Roman"/>
                <w:b/>
                <w:bCs/>
                <w:i w:val="false"/>
                <w:iCs w:val="false"/>
                <w:sz w:val="22"/>
                <w:szCs w:val="22"/>
              </w:rPr>
              <w:t xml:space="preserve">đã khôi phục thử thành công</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5.11</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khôi phục thử</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Chống mã độc/EDR trên máy chủ</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5.10</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Console</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3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đã đưa vào giám sát ANM; kết nối giám sát theo hướng dẫn của lực lượng chuyên trách (nếu có yêu cầu)</w:t>
            </w:r>
          </w:p>
        </w:tc>
        <w:tc>
          <w:tcPr>
            <w:tcW w:type="dxa" w:w="30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333 Đ7.2; Luật 116 Đ40.1.b; NĐ 331 Đ33.5</w:t>
            </w:r>
          </w:p>
        </w:tc>
        <w:tc>
          <w:tcPr>
            <w:tcW w:type="dxa" w:w="20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Ảnh dashboard, cảnh báo thử</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4.4 Kiểm tra, kiểm thử</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3945"/>
        <w:gridCol w:w="2305"/>
        <w:gridCol w:w="2212"/>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3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22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quét lỗ hổng hạ tầng + ứng dụng; lỗ hổng Nghiêm trọng/Cao đã khắc phục hoặc có kế hoạch được chấp thuận</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Đ27.3.a–b, d</w:t>
            </w: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rà quét, bản đánh giá lại</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lỗ hổng mã nguồn, thư viện bên thứ ba </w:t>
            </w:r>
            <w:r>
              <w:rPr>
                <w:rFonts w:ascii="Times New Roman" w:cs="Times New Roman" w:eastAsia="Times New Roman" w:hAnsi="Times New Roman"/>
                <w:b/>
                <w:bCs/>
                <w:i w:val="false"/>
                <w:iCs w:val="false"/>
                <w:sz w:val="22"/>
                <w:szCs w:val="22"/>
              </w:rPr>
              <w:t xml:space="preserve">trước khi vận hành chính thức</w:t>
            </w:r>
            <w:r>
              <w:rPr>
                <w:rFonts w:ascii="Times New Roman" w:cs="Times New Roman" w:eastAsia="Times New Roman" w:hAnsi="Times New Roman"/>
                <w:b w:val="false"/>
                <w:bCs w:val="false"/>
                <w:i w:val="false"/>
                <w:iCs w:val="false"/>
                <w:sz w:val="22"/>
                <w:szCs w:val="22"/>
              </w:rPr>
              <w:t xml:space="preserve"> (cấp 3+); </w:t>
            </w:r>
            <w:r>
              <w:rPr>
                <w:rFonts w:ascii="Times New Roman" w:cs="Times New Roman" w:eastAsia="Times New Roman" w:hAnsi="Times New Roman"/>
                <w:b/>
                <w:bCs/>
                <w:i w:val="false"/>
                <w:iCs w:val="false"/>
                <w:sz w:val="22"/>
                <w:szCs w:val="22"/>
              </w:rPr>
              <w:t xml:space="preserve">cấp 4+: kiểm thử xâm nhập trước vận hành</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Đ27.3.c; TCVN 5.17.2.4, 6.16.2.9</w:t>
            </w: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SAST/SCA, pentest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Thử nghiệm – nghiệm thu ANM có bộ phận/đơn vị độc lập giám sát; báo cáo nghiệm thu được chuyên trách ANM xác nhận, chủ quản phê duyệt (cấp 3+)</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TCVN 5.12.2.3</w:t>
            </w: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Biên bản nghiệm thu</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39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Hình thức kiểm tra ghi rõ: hộp đen/xám/trắng</w:t>
            </w:r>
          </w:p>
        </w:tc>
        <w:tc>
          <w:tcPr>
            <w:tcW w:type="dxa" w:w="23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Đ27.4</w:t>
            </w:r>
          </w:p>
        </w:tc>
        <w:tc>
          <w:tcPr>
            <w:tcW w:type="dxa" w:w="22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4.5 Sẵn sàng ứng phó</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4418"/>
        <w:gridCol w:w="2352"/>
        <w:gridCol w:w="1692"/>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44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w:t>
            </w:r>
          </w:p>
        </w:tc>
        <w:tc>
          <w:tcPr>
            <w:tcW w:type="dxa" w:w="23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16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4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Hệ thống đã được đưa vào phạm vi quy trình sự cố, danh bạ, kịch bản</w:t>
            </w:r>
          </w:p>
        </w:tc>
        <w:tc>
          <w:tcPr>
            <w:tcW w:type="dxa" w:w="2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Đ28.3.a; NĐ 333 Đ9.3.a</w:t>
            </w:r>
          </w:p>
        </w:tc>
        <w:tc>
          <w:tcPr>
            <w:tcW w:type="dxa" w:w="1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QT-SC cập nhật</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4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Phương án dự phòng, khôi phục thảm họa (nếu cấp độ/yêu cầu sẵn sàng đòi hỏi)</w:t>
            </w:r>
          </w:p>
        </w:tc>
        <w:tc>
          <w:tcPr>
            <w:tcW w:type="dxa" w:w="2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Đ29.2.e</w:t>
            </w:r>
          </w:p>
        </w:tc>
        <w:tc>
          <w:tcPr>
            <w:tcW w:type="dxa" w:w="1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Tài liệu DR</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44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rủi ro đã cập nhật; rủi ro còn lại được chấp thuận</w:t>
            </w:r>
          </w:p>
        </w:tc>
        <w:tc>
          <w:tcPr>
            <w:tcW w:type="dxa" w:w="23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Đ10.2.b–c</w:t>
            </w:r>
          </w:p>
        </w:tc>
        <w:tc>
          <w:tcPr>
            <w:tcW w:type="dxa" w:w="16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rủi ro</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4.6 Kết luận cổng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37"/>
        <w:gridCol w:w="3825"/>
        <w:gridCol w:w="3563"/>
      </w:tblGrid>
      <w:tr>
        <w:trPr>
          <w:cantSplit/>
          <w:tblHeader/>
        </w:trPr>
        <w:tc>
          <w:tcPr>
            <w:tcW w:type="dxa" w:w="16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Kết luận</w:t>
            </w:r>
          </w:p>
        </w:tc>
        <w:tc>
          <w:tcPr>
            <w:tcW w:type="dxa" w:w="38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Điều kiện</w:t>
            </w:r>
          </w:p>
        </w:tc>
        <w:tc>
          <w:tcPr>
            <w:tcW w:type="dxa" w:w="3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Hệ quả</w:t>
            </w:r>
          </w:p>
        </w:tc>
      </w:tr>
      <w:tr>
        <w:trPr>
          <w:cantSplit/>
          <w:tblHeader w:val="false"/>
        </w:trPr>
        <w:tc>
          <w:tcPr>
            <w:tcW w:type="dxa" w:w="1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4"/>
                <w:szCs w:val="24"/>
              </w:rPr>
              <w:t xml:space="preserve">Đủ điều kiện</w:t>
            </w:r>
          </w:p>
        </w:tc>
        <w:tc>
          <w:tcPr>
            <w:tcW w:type="dxa" w:w="3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Mọi tiêu chí bắt buộc Đạt</w:t>
            </w:r>
          </w:p>
        </w:tc>
        <w:tc>
          <w:tcPr>
            <w:tcW w:type="dxa" w:w="3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Ký biên bản; cho phép go-live</w:t>
            </w:r>
          </w:p>
        </w:tc>
      </w:tr>
      <w:tr>
        <w:trPr>
          <w:cantSplit/>
          <w:tblHeader w:val="false"/>
        </w:trPr>
        <w:tc>
          <w:tcPr>
            <w:tcW w:type="dxa" w:w="1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4"/>
                <w:szCs w:val="24"/>
              </w:rPr>
              <w:t xml:space="preserve">Đủ điều kiện có điều kiện</w:t>
            </w:r>
          </w:p>
        </w:tc>
        <w:tc>
          <w:tcPr>
            <w:tcW w:type="dxa" w:w="3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còn tồn tại mức thấp/trung bình có kế hoạch khắc phục ≤ </w:t>
            </w:r>
            <w:r>
              <w:rPr>
                <w:rFonts w:ascii="Times New Roman" w:cs="Times New Roman" w:eastAsia="Times New Roman" w:hAnsi="Times New Roman"/>
                <w:b w:val="false"/>
                <w:bCs w:val="false"/>
                <w:i w:val="false"/>
                <w:iCs w:val="false"/>
                <w:sz w:val="24"/>
                <w:szCs w:val="24"/>
                <w:highlight w:val="yellow"/>
              </w:rPr>
              <w:t xml:space="preserve">30 ngày</w:t>
            </w:r>
            <w:r>
              <w:rPr>
                <w:rFonts w:ascii="Times New Roman" w:cs="Times New Roman" w:eastAsia="Times New Roman" w:hAnsi="Times New Roman"/>
                <w:b w:val="false"/>
                <w:bCs w:val="false"/>
                <w:i w:val="false"/>
                <w:iCs w:val="false"/>
                <w:sz w:val="24"/>
                <w:szCs w:val="24"/>
              </w:rPr>
              <w:t xml:space="preserve"> và biện pháp bù</w:t>
            </w:r>
          </w:p>
        </w:tc>
        <w:tc>
          <w:tcPr>
            <w:tcW w:type="dxa" w:w="3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Chủ quản phê duyệt bằng văn bản; theo dõi đến khi đóng. </w:t>
            </w:r>
            <w:r>
              <w:rPr>
                <w:rFonts w:ascii="Times New Roman" w:cs="Times New Roman" w:eastAsia="Times New Roman" w:hAnsi="Times New Roman"/>
                <w:b/>
                <w:bCs/>
                <w:i w:val="false"/>
                <w:iCs w:val="false"/>
                <w:sz w:val="24"/>
                <w:szCs w:val="24"/>
              </w:rPr>
              <w:t xml:space="preserve">Không áp dụng</w:t>
            </w:r>
            <w:r>
              <w:rPr>
                <w:rFonts w:ascii="Times New Roman" w:cs="Times New Roman" w:eastAsia="Times New Roman" w:hAnsi="Times New Roman"/>
                <w:b w:val="false"/>
                <w:bCs w:val="false"/>
                <w:i w:val="false"/>
                <w:iCs w:val="false"/>
                <w:sz w:val="24"/>
                <w:szCs w:val="24"/>
              </w:rPr>
              <w:t xml:space="preserve"> cho thiếu QĐ phê duyệt cấp độ (cấp 3–5)</w:t>
            </w:r>
          </w:p>
        </w:tc>
      </w:tr>
      <w:tr>
        <w:trPr>
          <w:cantSplit/>
          <w:tblHeader w:val="false"/>
        </w:trPr>
        <w:tc>
          <w:tcPr>
            <w:tcW w:type="dxa" w:w="1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4"/>
                <w:szCs w:val="24"/>
              </w:rPr>
              <w:t xml:space="preserve">Không đủ điều kiện</w:t>
            </w:r>
          </w:p>
        </w:tc>
        <w:tc>
          <w:tcPr>
            <w:tcW w:type="dxa" w:w="38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Thiếu tiêu chí bắt buộc</w:t>
            </w:r>
          </w:p>
        </w:tc>
        <w:tc>
          <w:tcPr>
            <w:tcW w:type="dxa" w:w="3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go-live; khắc phục, đánh giá lại</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Mẫu Biên bản đánh giá điều kiện ANM trước vận hành</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BIÊN BẢN ĐÁNH GIÁ ĐIỀU KIỆN AN NINH MẠNG TRƯỚC KHI ĐƯA VÀO VẬN HÀNH</w:t>
      </w:r>
      <w:r>
        <w:rPr>
          <w:rFonts w:ascii="Times New Roman" w:cs="Times New Roman" w:eastAsia="Times New Roman" w:hAnsi="Times New Roman"/>
          <w:b w:val="false"/>
          <w:bCs w:val="false"/>
          <w:i/>
          <w:iCs/>
          <w:sz w:val="24"/>
          <w:szCs w:val="24"/>
        </w:rPr>
        <w:t xml:space="preserve">  Hệ thống: </w:t>
      </w:r>
      <w:r>
        <w:rPr>
          <w:rFonts w:ascii="Times New Roman" w:cs="Times New Roman" w:eastAsia="Times New Roman" w:hAnsi="Times New Roman"/>
          <w:b w:val="false"/>
          <w:bCs w:val="false"/>
          <w:i/>
          <w:iCs/>
          <w:sz w:val="24"/>
          <w:szCs w:val="24"/>
          <w:highlight w:val="yellow"/>
        </w:rPr>
        <w:t xml:space="preserve">Hệ thống quản lý khách hàng trực tuyến (CRM Online)</w:t>
      </w:r>
      <w:r>
        <w:rPr>
          <w:rFonts w:ascii="Times New Roman" w:cs="Times New Roman" w:eastAsia="Times New Roman" w:hAnsi="Times New Roman"/>
          <w:b w:val="false"/>
          <w:bCs w:val="false"/>
          <w:i/>
          <w:iCs/>
          <w:sz w:val="24"/>
          <w:szCs w:val="24"/>
        </w:rPr>
        <w:t xml:space="preserve"> · Cấp độ: </w:t>
      </w:r>
      <w:r>
        <w:rPr>
          <w:rFonts w:ascii="Times New Roman" w:cs="Times New Roman" w:eastAsia="Times New Roman" w:hAnsi="Times New Roman"/>
          <w:b w:val="false"/>
          <w:bCs w:val="false"/>
          <w:i/>
          <w:iCs/>
          <w:sz w:val="24"/>
          <w:szCs w:val="24"/>
          <w:highlight w:val="yellow"/>
        </w:rPr>
        <w:t xml:space="preserve">3</w:t>
      </w:r>
      <w:r>
        <w:rPr>
          <w:rFonts w:ascii="Times New Roman" w:cs="Times New Roman" w:eastAsia="Times New Roman" w:hAnsi="Times New Roman"/>
          <w:b w:val="false"/>
          <w:bCs w:val="false"/>
          <w:i/>
          <w:iCs/>
          <w:sz w:val="24"/>
          <w:szCs w:val="24"/>
        </w:rPr>
        <w:t xml:space="preserve"> (QĐ số {{…}}) · Loại: ☐ Mới ☐ Mở rộng/nâng cấp ☐ Thay đổi lớn: …  Thời gian, địa điểm: … · Thành phần: bộ phận đánh giá độc lập (</w:t>
      </w:r>
      <w:r>
        <w:rPr>
          <w:rFonts w:ascii="Times New Roman" w:cs="Times New Roman" w:eastAsia="Times New Roman" w:hAnsi="Times New Roman"/>
          <w:b w:val="false"/>
          <w:bCs w:val="false"/>
          <w:i/>
          <w:iCs/>
          <w:sz w:val="24"/>
          <w:szCs w:val="24"/>
          <w:highlight w:val="yellow"/>
        </w:rPr>
        <w:t xml:space="preserve">Ban Kiểm soát nội bộ</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Phòng An ninh mạng</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Phòng Vận hành hệ thống</w:t>
      </w:r>
      <w:r>
        <w:rPr>
          <w:rFonts w:ascii="Times New Roman" w:cs="Times New Roman" w:eastAsia="Times New Roman" w:hAnsi="Times New Roman"/>
          <w:b w:val="false"/>
          <w:bCs w:val="false"/>
          <w:i/>
          <w:iCs/>
          <w:sz w:val="24"/>
          <w:szCs w:val="24"/>
        </w:rPr>
        <w:t xml:space="preserve">; chủ dự án; nhà cung cấp (nếu có — không biểu quyết).  1. Phạm vi đánh giá. 2. Phương pháp (xem xét hồ sơ, kiểm tra cấu hình, kiểm thử — hộp đen/xám/trắng). 3. Kết quả theo checklist mục 4 (đính kèm). 4. Tồn tại và kế hoạch khắc phục (người, hạn). 5. Kết luận: ☐ Đủ ☐ Đủ có điều kiện ☐ Không đủ.  Đại diện bộ phận đánh giá độc lập · Đại diện đơn vị chuyên trách ANM · Đại diện đơn vị vận hành — ký.  </w:t>
      </w:r>
      <w:r>
        <w:rPr>
          <w:rFonts w:ascii="Times New Roman" w:cs="Times New Roman" w:eastAsia="Times New Roman" w:hAnsi="Times New Roman"/>
          <w:b/>
          <w:bCs/>
          <w:i/>
          <w:iCs/>
          <w:sz w:val="24"/>
          <w:szCs w:val="24"/>
        </w:rPr>
        <w:t xml:space="preserve">Phê duyệt của chủ quản:</w:t>
      </w:r>
      <w:r>
        <w:rPr>
          <w:rFonts w:ascii="Times New Roman" w:cs="Times New Roman" w:eastAsia="Times New Roman" w:hAnsi="Times New Roman"/>
          <w:b w:val="false"/>
          <w:bCs w:val="false"/>
          <w:i/>
          <w:iCs/>
          <w:sz w:val="24"/>
          <w:szCs w:val="24"/>
        </w:rPr>
        <w:t xml:space="preserve"> ☐ Cho phép vận hành từ ngày … ☐ Không cho phép. Ký, ghi rõ họ tên.</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đánh giá điều kiện an ninh mạng trước khi vận hành ("cổng" dự án mới / thay đổi lớn)</dc:title>
  <dc:creator>vn-cyber-compliance</dc:creator>
  <cp:lastModifiedBy>Un-named</cp:lastModifiedBy>
  <cp:revision>1</cp:revision>
  <dcterms:created xsi:type="dcterms:W3CDTF">2026-09-24T10:49:57.933Z</dcterms:created>
  <dcterms:modified xsi:type="dcterms:W3CDTF">2026-09-24T10:49:57.933Z</dcterms:modified>
</cp:coreProperties>
</file>

<file path=docProps/custom.xml><?xml version="1.0" encoding="utf-8"?>
<Properties xmlns="http://schemas.openxmlformats.org/officeDocument/2006/custom-properties" xmlns:vt="http://schemas.openxmlformats.org/officeDocument/2006/docPropsVTypes"/>
</file>