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sz w:val="28"/>
          <w:szCs w:val="28"/>
        </w:rPr>
        <w:t xml:space="preserve">Quy trình tiếp nhận, xử lý yêu cầu của cơ quan chức năng về an ninh mạng</w:t>
      </w:r>
    </w:p>
    <w:p>
      <w:pPr>
        <w:pBdr>
          <w:left w:val="single" w:color="999999" w:sz="12" w:space="8"/>
        </w:pBdr>
        <w:spacing w:after="120" w:before="0" w:line="276" w:lineRule="auto"/>
        <w:ind w:left="283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Căn cứ: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 Luật 116/2025/QH15 Đ12, Đ25.2, Đ41.5–41.6, Đ42.3–42.4; NĐ 333/2026/NĐ-CP Đ4, Đ7.5–7.6, Đ10.3, Đ11, Đ12, Đ13, Đ14.2, Đ16.3–16.5, Đ18, Đ23; NĐ 331/2026/NĐ-CP Đ26, Đ33.5; NĐ 330/2026/NĐ-CP Đ27.1, Đ29.2, Đ30.1 ·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Đối chiếu văn bản gốc: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 24/09/2026 ·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Trạng thái: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 Bản khung v0.1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Mã quy trình: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QT-YC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· Ban hành kèm Quy chế bảo đảm ANM (Điều 14, 36) · Đầu mối tiếp nhận: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An ninh mạng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(thường trực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028 1234 5699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yeucau-anm@example.vn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) · Phối hợp: pháp chế,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Chuyên viên bảo vệ DLCN (bà Phạm Thu Dung)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Vận hành hệ thống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.</w:t>
      </w: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1. Phạm vi áp dụng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4446"/>
        <w:gridCol w:w="4579"/>
      </w:tblGrid>
      <w:tr>
        <w:trPr>
          <w:cantSplit/>
          <w:tblHeader/>
        </w:trPr>
        <w:tc>
          <w:tcPr>
            <w:tcW w:type="dxa" w:w="4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Nhóm đối tượng</w:t>
            </w:r>
          </w:p>
        </w:tc>
        <w:tc>
          <w:tcPr>
            <w:tcW w:type="dxa" w:w="4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Áp dụng các mục</w:t>
            </w:r>
          </w:p>
        </w:tc>
      </w:tr>
      <w:tr>
        <w:trPr>
          <w:cantSplit/>
          <w:tblHeader w:val="false"/>
        </w:trPr>
        <w:tc>
          <w:tcPr>
            <w:tcW w:type="dxa" w:w="4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Mọi chủ quản HTTT</w:t>
            </w:r>
          </w:p>
        </w:tc>
        <w:tc>
          <w:tcPr>
            <w:tcW w:type="dxa" w:w="4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Kiểm tra ANM (mục 2.8), giám sát (2.9), khắc phục lỗ hổng (2.11), mã hóa (2.10), đình chỉ hệ thống (2.7)</w:t>
            </w:r>
          </w:p>
        </w:tc>
      </w:tr>
      <w:tr>
        <w:trPr>
          <w:cantSplit/>
          <w:tblHeader w:val="false"/>
        </w:trPr>
        <w:tc>
          <w:tcPr>
            <w:tcW w:type="dxa" w:w="4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Doanh nghiệp (trong nước, nước ngoài) cung cấp dịch vụ trên mạng viễn thông, Internet, dịch vụ gia tăng trên không gian mạng tại Việt Nam</w:t>
            </w:r>
          </w:p>
        </w:tc>
        <w:tc>
          <w:tcPr>
            <w:tcW w:type="dxa" w:w="4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Thêm: cung cấp thông tin người dùng (2.1), ngăn chặn/gỡ bỏ (2.2–2.4), ngừng dịch vụ (2.5), xóa thông tin (2.6)</w:t>
            </w:r>
          </w:p>
        </w:tc>
      </w:tr>
      <w:tr>
        <w:trPr>
          <w:cantSplit/>
          <w:tblHeader w:val="false"/>
        </w:trPr>
        <w:tc>
          <w:tcPr>
            <w:tcW w:type="dxa" w:w="4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Doanh nghiệp viễn thông, Internet, hosting, trung tâm dữ liệu, ứng dụng viễn thông</w:t>
            </w:r>
          </w:p>
        </w:tc>
        <w:tc>
          <w:tcPr>
            <w:tcW w:type="dxa" w:w="4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Thêm: NĐ 333 Đ18.2; định danh IP (2.12)</w:t>
            </w: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2. Danh mục loại yêu cầu và thời hạn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640"/>
        <w:gridCol w:w="1647"/>
        <w:gridCol w:w="1143"/>
        <w:gridCol w:w="1207"/>
        <w:gridCol w:w="1207"/>
        <w:gridCol w:w="1531"/>
        <w:gridCol w:w="1650"/>
      </w:tblGrid>
      <w:tr>
        <w:trPr>
          <w:cantSplit/>
          <w:tblHeader/>
        </w:trPr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#</w:t>
            </w:r>
          </w:p>
        </w:tc>
        <w:tc>
          <w:tcPr>
            <w:tcW w:type="dxa" w:w="16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Loại yêu cầu</w:t>
            </w:r>
          </w:p>
        </w:tc>
        <w:tc>
          <w:tcPr>
            <w:tcW w:type="dxa" w:w="1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Chủ thể yêu cầu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Thời hạn thực hiện (tính từ khi nhận yêu cầu)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Hình thức yêu cầu hợp lệ</w:t>
            </w:r>
          </w:p>
        </w:tc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Căn cứ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Chế tài</w:t>
            </w: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2.1</w:t>
            </w:r>
          </w:p>
        </w:tc>
        <w:tc>
          <w:tcPr>
            <w:tcW w:type="dxa" w:w="16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Cung cấp thông tin người sử dụng dịch vụ</w:t>
            </w:r>
          </w:p>
        </w:tc>
        <w:tc>
          <w:tcPr>
            <w:tcW w:type="dxa" w:w="1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Lực lượng chuyên trách bảo vệ ANM thuộc BCA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≤ 24 giờ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; khẩn cấp đe dọa xâm hại ANQG, tính mạng con người: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≤ 03 giờ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Văn bản, thư điện tử, điện thoại hoặc hình thức trao đổi khác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đã được xác nhận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(Luật); văn bản, phương tiện điện tử hoặc hình thức khác bảo đảm xác thực chủ thể yêu cầu (NĐ 333)</w:t>
            </w:r>
          </w:p>
        </w:tc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Luật 116 Đ25.2.a; NĐ 333 Đ16.3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NĐ 330 Đ30.1.a: tổ chức 50–100 triệu đồng (khung cá nhân 25–50 — NĐ 330 Đ7.1) (không cung cấp/quá 24 giờ không lý do chính đáng)</w:t>
            </w: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2.2</w:t>
            </w:r>
          </w:p>
        </w:tc>
        <w:tc>
          <w:tcPr>
            <w:tcW w:type="dxa" w:w="16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Ngăn chặn chia sẻ, xóa bỏ thông tin, gỡ bỏ dịch vụ, ứng dụng vi phạm;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lưu nhật ký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phục vụ điều tra</w:t>
            </w:r>
          </w:p>
        </w:tc>
        <w:tc>
          <w:tcPr>
            <w:tcW w:type="dxa" w:w="1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Lực lượng chuyên trách thuộc BCA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≤ 24 giờ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; khẩn cấp đe dọa xâm hại ANQG: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≤ 06 giờ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Yêu cầu của lực lượng chuyên trách</w:t>
            </w:r>
          </w:p>
        </w:tc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Luật 116 Đ25.2.b; NĐ 333 Đ16.4.a–b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NĐ 330 Đ29.2.a: tổ chức 100–140 triệu đồng (khung cá nhân 50–70); buộc ngừng dịch vụ/xóa khỏi kho ứng dụng (Đ29.3.b–c)</w:t>
            </w: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2.3</w:t>
            </w:r>
          </w:p>
        </w:tc>
        <w:tc>
          <w:tcPr>
            <w:tcW w:type="dxa" w:w="16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Ngăn chặn, gỡ bỏ nội dung, dịch vụ, ứng dụng (DN viễn thông, Internet, hosting, data center, ứng dụng viễn thông)</w:t>
            </w:r>
          </w:p>
        </w:tc>
        <w:tc>
          <w:tcPr>
            <w:tcW w:type="dxa" w:w="1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Lực lượng chuyên trách thuộc BCA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≤ 24 giờ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Văn bản, điện thoại hoặc thư điện tử</w:t>
            </w:r>
          </w:p>
        </w:tc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NĐ 333 Đ18.2.a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2.4</w:t>
            </w:r>
          </w:p>
        </w:tc>
        <w:tc>
          <w:tcPr>
            <w:tcW w:type="dxa" w:w="16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Hạn chế hiển thị/khóa tạm thời hoặc vô thời hạn tài khoản, trang, nhóm, kênh vi phạm lặp lại; xem xét khôi phục</w:t>
            </w:r>
          </w:p>
        </w:tc>
        <w:tc>
          <w:tcPr>
            <w:tcW w:type="dxa" w:w="1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Theo yêu cầu cơ quan có thẩm quyền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Theo yêu cầu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NĐ 333 Đ16.4.c–e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2.5</w:t>
            </w:r>
          </w:p>
        </w:tc>
        <w:tc>
          <w:tcPr>
            <w:tcW w:type="dxa" w:w="16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Không cung cấp/tạm ngừng/ngừng dịch vụ cho tổ chức, cá nhân đăng tải thông tin vi phạm Luật 116 Đ13.1–13.3, Đ14.2</w:t>
            </w:r>
          </w:p>
        </w:tc>
        <w:tc>
          <w:tcPr>
            <w:tcW w:type="dxa" w:w="1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Lực lượng chuyên trách thuộc BCA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Theo yêu cầu; bảo đảm đúng phạm vi, đối tượng, thời hạn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Luật 116 Đ25.2.c; NĐ 333 Đ16.5, Đ18.2.b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NĐ 330 Đ29.2.b</w:t>
            </w: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2.6</w:t>
            </w:r>
          </w:p>
        </w:tc>
        <w:tc>
          <w:tcPr>
            <w:tcW w:type="dxa" w:w="16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Xóa bỏ thông tin trái pháp luật, sai sự thật, tin giả xâm phạm ANQG, TTATXH, quyền và lợi ích hợp pháp</w:t>
            </w:r>
          </w:p>
        </w:tc>
        <w:tc>
          <w:tcPr>
            <w:tcW w:type="dxa" w:w="1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Lực lượng chuyên trách thuộc BCA (HTTT quân sự: BQP)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Theo văn bản yêu cầu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[CẦN ĐỐI CHIẾU: Đ11 không nêu thời hạn riêng; khi là DN dịch vụ áp mốc 24h/06h của mục 2.2]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Văn bản</w:t>
            </w:r>
          </w:p>
        </w:tc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NĐ 333 Đ11.2.b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NĐ 330 Đ32.1.a</w:t>
            </w: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2.7</w:t>
            </w:r>
          </w:p>
        </w:tc>
        <w:tc>
          <w:tcPr>
            <w:tcW w:type="dxa" w:w="16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Đình chỉ, tạm đình chỉ, yêu cầu ngừng hoạt động HTTT; tạm ngừng, thu hồi tên miền</w:t>
            </w:r>
          </w:p>
        </w:tc>
        <w:tc>
          <w:tcPr>
            <w:tcW w:type="dxa" w:w="1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Bộ trưởng BCA quyết định; lực lượng chuyên trách thực hiện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Theo quyết định;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cấp bách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: có thể yêu cầu trực tiếp, qua fax, thư điện tử — BCA phải gửi văn bản trong ≤ 24 giờ, quá hạn không có văn bản thì hệ thống được tiếp tục hoạt động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Quyết định + văn bản; lập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biên bản 02 bản</w:t>
            </w:r>
          </w:p>
        </w:tc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NĐ 333 Đ13.2–13.4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2.8</w:t>
            </w:r>
          </w:p>
        </w:tc>
        <w:tc>
          <w:tcPr>
            <w:tcW w:type="dxa" w:w="16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Kiểm tra ANM (HTTT không thuộc danh mục ANQG)</w:t>
            </w:r>
          </w:p>
        </w:tc>
        <w:tc>
          <w:tcPr>
            <w:tcW w:type="dxa" w:w="1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Lực lượng chuyên trách thuộc BCA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Theo kế hoạch được thông báo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Thông báo kế hoạch; quyết định thành lập Đoàn kiểm tra</w:t>
            </w:r>
          </w:p>
        </w:tc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Luật 116 Đ12; NĐ 331 Đ26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NĐ 330 Đ27.1.a</w:t>
            </w: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2.9</w:t>
            </w:r>
          </w:p>
        </w:tc>
        <w:tc>
          <w:tcPr>
            <w:tcW w:type="dxa" w:w="16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Giám sát ANM</w:t>
            </w:r>
          </w:p>
        </w:tc>
        <w:tc>
          <w:tcPr>
            <w:tcW w:type="dxa" w:w="1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Lực lượng chuyên trách thuộc BCA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Thông báo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trước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bằng văn bản; khẩn cấp: triển khai ngay, văn bản thông báo trong ≤ 24 giờ kể từ khi triển khai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Văn bản thông báo (lý do, phạm vi, nội dung, thời gian)</w:t>
            </w:r>
          </w:p>
        </w:tc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NĐ 333 Đ7.5.a–b, Đ7.6; NĐ 331 Đ33.5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NĐ 330 Đ23.2.b, d</w:t>
            </w: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2.10</w:t>
            </w:r>
          </w:p>
        </w:tc>
        <w:tc>
          <w:tcPr>
            <w:tcW w:type="dxa" w:w="16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Mã hóa thông tin (không thuộc bí mật nhà nước) trước khi lưu trữ, truyền đưa trên Internet</w:t>
            </w:r>
          </w:p>
        </w:tc>
        <w:tc>
          <w:tcPr>
            <w:tcW w:type="dxa" w:w="1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Lực lượng chuyên trách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Theo văn bản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Văn bản nêu lý do, phạm vi, nội dung, biện pháp mã hóa</w:t>
            </w:r>
          </w:p>
        </w:tc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NĐ 333 Đ10.3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2.11</w:t>
            </w:r>
          </w:p>
        </w:tc>
        <w:tc>
          <w:tcPr>
            <w:tcW w:type="dxa" w:w="16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Khắc phục điểm yếu, lỗ hổng bảo mật, hành vi vi phạm</w:t>
            </w:r>
          </w:p>
        </w:tc>
        <w:tc>
          <w:tcPr>
            <w:tcW w:type="dxa" w:w="1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Lực lượng chuyên trách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Theo yêu cầu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NĐ 330 Đ27.1.c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tổ chức 50–100 triệu đồng (khung cá nhân 25–50)</w:t>
            </w: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2.12</w:t>
            </w:r>
          </w:p>
        </w:tc>
        <w:tc>
          <w:tcPr>
            <w:tcW w:type="dxa" w:w="16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Cung cấp thông tin định danh địa chỉ IP (DN viễn thông, Internet)</w:t>
            </w:r>
          </w:p>
        </w:tc>
        <w:tc>
          <w:tcPr>
            <w:tcW w:type="dxa" w:w="1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Lực lượng chuyên trách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≤ 24 giờ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; khẩn cấp (ANQG, khủng bố mạng, tấn công mạng, tội phạm đặc biệt nghiêm trọng):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≤ 03 giờ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Văn bản hoặc yêu cầu điện tử hợp lệ</w:t>
            </w:r>
          </w:p>
        </w:tc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Luật 116 Đ41.5; NĐ 333 Đ23.2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2.13</w:t>
            </w:r>
          </w:p>
        </w:tc>
        <w:tc>
          <w:tcPr>
            <w:tcW w:type="dxa" w:w="16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Thu thập dữ liệu điện tử phục vụ điều tra</w:t>
            </w:r>
          </w:p>
        </w:tc>
        <w:tc>
          <w:tcPr>
            <w:tcW w:type="dxa" w:w="1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Lực lượng chuyên trách thuộc BCA/BQP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Theo quyết định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Phê duyệt của người có thẩm quyền; biên bản, hình ảnh</w:t>
            </w:r>
          </w:p>
        </w:tc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NĐ 333 Đ12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2.14</w:t>
            </w:r>
          </w:p>
        </w:tc>
        <w:tc>
          <w:tcPr>
            <w:tcW w:type="dxa" w:w="16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Cung cấp thông tin, phối hợp điều tra, xử lý hành vi vi phạm; tạo điều kiện cho biện pháp bảo vệ ANM</w:t>
            </w:r>
          </w:p>
        </w:tc>
        <w:tc>
          <w:tcPr>
            <w:tcW w:type="dxa" w:w="1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Cơ quan có thẩm quyền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Kịp thời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Luật 116 Đ41.6, Đ42.3–42.4; NĐ 333 Đ14.2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NĐ 330 Đ30</w:t>
            </w:r>
          </w:p>
        </w:tc>
      </w:tr>
    </w:tbl>
    <w:p>
      <w:pPr>
        <w:spacing w:after="60" w:before="0" w:line="276" w:lineRule="auto"/>
        <w:jc w:val="both"/>
      </w:pPr>
    </w:p>
    <w:p>
      <w:pPr>
        <w:pBdr>
          <w:left w:val="single" w:color="999999" w:sz="12" w:space="8"/>
        </w:pBdr>
        <w:spacing w:after="120" w:before="0" w:line="276" w:lineRule="auto"/>
        <w:ind w:left="283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Nguyên tắc cân bằng: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 Biện pháp bảo vệ ANM chỉ được áp dụng đúng thẩm quyền, trình tự và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sau khi có quyết định phê duyệt bằng văn bản của người có thẩm quyền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 (NĐ 333 Đ4.2). Do đó phải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xác thực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 yêu cầu — nhưng đồng hồ 24h/06h/03h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chạy từ khi nhận yêu cầu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, nên việc xác thực phải nhanh (gợi ý ≤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  <w:highlight w:val="yellow"/>
        </w:rPr>
        <w:t xml:space="preserve">30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 phút với yêu cầu khẩn cấp). Không dùng việc xác thực để trì hoãn.</w:t>
      </w: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3. Luồng xử lý</w:t>
      </w:r>
    </w:p>
    <w:p>
      <w:pPr>
        <w:spacing w:after="120" w:before="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[Sơ đồ — xem bản trực tuyến: docs/04-chinh-sach-quy-trinh/quy-trinh-tiep-nhan-yeu-cau-co-quan-chuc-nang.md]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830"/>
        <w:gridCol w:w="4368"/>
        <w:gridCol w:w="1916"/>
        <w:gridCol w:w="1911"/>
      </w:tblGrid>
      <w:tr>
        <w:trPr>
          <w:cantSplit/>
          <w:tblHeader/>
        </w:trPr>
        <w:tc>
          <w:tcPr>
            <w:tcW w:type="dxa" w:w="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Bước</w:t>
            </w:r>
          </w:p>
        </w:tc>
        <w:tc>
          <w:tcPr>
            <w:tcW w:type="dxa" w:w="43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Nội dung</w:t>
            </w:r>
          </w:p>
        </w:tc>
        <w:tc>
          <w:tcPr>
            <w:tcW w:type="dxa" w:w="19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Ai</w:t>
            </w:r>
          </w:p>
        </w:tc>
        <w:tc>
          <w:tcPr>
            <w:tcW w:type="dxa" w:w="19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Bằng chứng</w:t>
            </w:r>
          </w:p>
        </w:tc>
      </w:tr>
      <w:tr>
        <w:trPr>
          <w:cantSplit/>
          <w:tblHeader w:val="false"/>
        </w:trPr>
        <w:tc>
          <w:tcPr>
            <w:tcW w:type="dxa" w:w="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B1</w:t>
            </w:r>
          </w:p>
        </w:tc>
        <w:tc>
          <w:tcPr>
            <w:tcW w:type="dxa" w:w="43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Mọi nhân viên nhận được yêu cầu (kể cả qua điện thoại cá nhân) phải chuyển ngay cho đầu mối; đầu mối ghi sổ: số/ký hiệu, cơ quan, người yêu cầu, kênh,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thời điểm nhận</w:t>
            </w:r>
          </w:p>
        </w:tc>
        <w:tc>
          <w:tcPr>
            <w:tcW w:type="dxa" w:w="19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Đầu mối</w:t>
            </w:r>
          </w:p>
        </w:tc>
        <w:tc>
          <w:tcPr>
            <w:tcW w:type="dxa" w:w="19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Sổ theo dõi (mục 5)</w:t>
            </w:r>
          </w:p>
        </w:tc>
      </w:tr>
      <w:tr>
        <w:trPr>
          <w:cantSplit/>
          <w:tblHeader w:val="false"/>
        </w:trPr>
        <w:tc>
          <w:tcPr>
            <w:tcW w:type="dxa" w:w="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B2</w:t>
            </w:r>
          </w:p>
        </w:tc>
        <w:tc>
          <w:tcPr>
            <w:tcW w:type="dxa" w:w="43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Xác thực: đối chiếu danh bạ cơ quan chức năng đã xác minh (xem danh bạ); gọi lại số chính thức; kiểm tra văn bản, chữ ký số, email tên miền cơ quan</w:t>
            </w:r>
          </w:p>
        </w:tc>
        <w:tc>
          <w:tcPr>
            <w:tcW w:type="dxa" w:w="19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Đầu mối + pháp chế</w:t>
            </w:r>
          </w:p>
        </w:tc>
        <w:tc>
          <w:tcPr>
            <w:tcW w:type="dxa" w:w="19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Ghi chú xác minh</w:t>
            </w:r>
          </w:p>
        </w:tc>
      </w:tr>
      <w:tr>
        <w:trPr>
          <w:cantSplit/>
          <w:tblHeader w:val="false"/>
        </w:trPr>
        <w:tc>
          <w:tcPr>
            <w:tcW w:type="dxa" w:w="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B3</w:t>
            </w:r>
          </w:p>
        </w:tc>
        <w:tc>
          <w:tcPr>
            <w:tcW w:type="dxa" w:w="43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Xác định loại, hạn chót; khẩn cấp → kích hoạt trực 24/7</w:t>
            </w:r>
          </w:p>
        </w:tc>
        <w:tc>
          <w:tcPr>
            <w:tcW w:type="dxa" w:w="19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Đầu mối</w:t>
            </w:r>
          </w:p>
        </w:tc>
        <w:tc>
          <w:tcPr>
            <w:tcW w:type="dxa" w:w="19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Sổ</w:t>
            </w:r>
          </w:p>
        </w:tc>
      </w:tr>
      <w:tr>
        <w:trPr>
          <w:cantSplit/>
          <w:tblHeader w:val="false"/>
        </w:trPr>
        <w:tc>
          <w:tcPr>
            <w:tcW w:type="dxa" w:w="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B4</w:t>
            </w:r>
          </w:p>
        </w:tc>
        <w:tc>
          <w:tcPr>
            <w:tcW w:type="dxa" w:w="43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Xác định đúng phạm vi dữ liệu/nội dung; tối thiểu hóa; nếu yêu cầu vượt phạm vi pháp luật, trao đổi lại với cơ quan yêu cầu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song song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với việc chuẩn bị</w:t>
            </w:r>
          </w:p>
        </w:tc>
        <w:tc>
          <w:tcPr>
            <w:tcW w:type="dxa" w:w="19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Pháp chế,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Chuyên viên bảo vệ DLCN (bà Phạm Thu Dung)</w:t>
            </w:r>
          </w:p>
        </w:tc>
        <w:tc>
          <w:tcPr>
            <w:tcW w:type="dxa" w:w="19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Ý kiến pháp chế</w:t>
            </w:r>
          </w:p>
        </w:tc>
      </w:tr>
      <w:tr>
        <w:trPr>
          <w:cantSplit/>
          <w:tblHeader w:val="false"/>
        </w:trPr>
        <w:tc>
          <w:tcPr>
            <w:tcW w:type="dxa" w:w="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B5</w:t>
            </w:r>
          </w:p>
        </w:tc>
        <w:tc>
          <w:tcPr>
            <w:tcW w:type="dxa" w:w="43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Thực hiện bởi người được phân quyền;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không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thông báo cho người dùng bị yêu cầu nếu cơ quan yêu cầu bảo mật; lưu nhật ký hệ thống liên quan (Luật 116 Đ25.2.b)</w:t>
            </w:r>
          </w:p>
        </w:tc>
        <w:tc>
          <w:tcPr>
            <w:tcW w:type="dxa" w:w="19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Phòng Vận hành hệ thống</w:t>
            </w:r>
          </w:p>
        </w:tc>
        <w:tc>
          <w:tcPr>
            <w:tcW w:type="dxa" w:w="19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Log thao tác, ảnh chụp trước/sau</w:t>
            </w:r>
          </w:p>
        </w:tc>
      </w:tr>
      <w:tr>
        <w:trPr>
          <w:cantSplit/>
          <w:tblHeader w:val="false"/>
        </w:trPr>
        <w:tc>
          <w:tcPr>
            <w:tcW w:type="dxa" w:w="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B6</w:t>
            </w:r>
          </w:p>
        </w:tc>
        <w:tc>
          <w:tcPr>
            <w:tcW w:type="dxa" w:w="43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Gửi phản hồi/xác nhận; dữ liệu cung cấp được bảo vệ (mã hóa, kênh an toàn) — bảo đảm bảo mật thông tin được cung cấp (NĐ 333 Đ16.3.b)</w:t>
            </w:r>
          </w:p>
        </w:tc>
        <w:tc>
          <w:tcPr>
            <w:tcW w:type="dxa" w:w="19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Đầu mối</w:t>
            </w:r>
          </w:p>
        </w:tc>
        <w:tc>
          <w:tcPr>
            <w:tcW w:type="dxa" w:w="19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Bản phản hồi, xác nhận nhận</w:t>
            </w:r>
          </w:p>
        </w:tc>
      </w:tr>
      <w:tr>
        <w:trPr>
          <w:cantSplit/>
          <w:tblHeader w:val="false"/>
        </w:trPr>
        <w:tc>
          <w:tcPr>
            <w:tcW w:type="dxa" w:w="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B7</w:t>
            </w:r>
          </w:p>
        </w:tc>
        <w:tc>
          <w:tcPr>
            <w:tcW w:type="dxa" w:w="43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Lưu hồ sơ; hạn chế người tiếp cận; tổng hợp số liệu định kỳ cho lãnh đạo</w:t>
            </w:r>
          </w:p>
        </w:tc>
        <w:tc>
          <w:tcPr>
            <w:tcW w:type="dxa" w:w="19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Đầu mối</w:t>
            </w:r>
          </w:p>
        </w:tc>
        <w:tc>
          <w:tcPr>
            <w:tcW w:type="dxa" w:w="19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Hồ sơ</w:t>
            </w: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4. Quy trình riêng khi có đoàn kiểm tra ANM (NĐ 331 Đ26)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Nhận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thông báo kế hoạch kiểm tra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→ xác thực, báo lãnh đạo, chỉ định đầu mối phối hợp (Đ26.1.a).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Nhận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quyết định thành lập Đoàn kiểm tra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; chuẩn bị hồ sơ: QĐ phê duyệt cấp độ, Quy chế, báo cáo tự đánh giá, sổ sự cố, sổ rủi ro, kết quả rà quét, danh mục tài sản (Đ26.1.b; nội dung kiểm tra Đ27).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Phối hợp chặt chẽ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trong quá trình kiểm tra; bố trí quyền truy cập có giám sát; ghi nhật ký hoạt động của đoàn (Đ26.1.c).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4. Ký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biên bản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quá trình, kết quả kiểm tra; ghi ý kiến (nếu có) (Đ26.1.d). Kết quả kiểm tra được bảo mật (Luật 116 Đ12.4).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5. Nhận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thông báo kết quả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; lập kế hoạch khắc phục, báo cáo kết quả khắc phục (Đ26.1.đ).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6. Trường hợp lực lượng chuyên trách đề nghị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giữ nguyên hiện trạng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/tạm ngừng kiểm tra: văn bản phải ghi rõ lý do, mục đích, thời gian; chủ quản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lập phương án dự phòng bảo đảm tính liên tục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trước khi cách ly hiện trạng, trừ trường hợp khẩn cấp ngăn chặn xâm phạm ANQG (Đ26.2).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7. Chủ quản có thể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chủ động đề nghị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kiểm tra ANM (Luật 116 Đ12.1.b).</w:t>
      </w: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5. Sổ theo dõi yêu cầu của cơ quan chức năng</w:t>
      </w:r>
    </w:p>
    <w:p>
      <w:pPr>
        <w:sectPr>
          <w:pgSz w:w="11905" w:h="16837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289"/>
        <w:gridCol w:w="839"/>
        <w:gridCol w:w="839"/>
        <w:gridCol w:w="968"/>
        <w:gridCol w:w="839"/>
        <w:gridCol w:w="839"/>
        <w:gridCol w:w="715"/>
        <w:gridCol w:w="839"/>
        <w:gridCol w:w="1097"/>
        <w:gridCol w:w="839"/>
        <w:gridCol w:w="968"/>
        <w:gridCol w:w="968"/>
        <w:gridCol w:w="715"/>
        <w:gridCol w:w="968"/>
        <w:gridCol w:w="1235"/>
      </w:tblGrid>
      <w:tr>
        <w:trPr>
          <w:cantSplit/>
          <w:tblHeader/>
        </w:trPr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Mã YC</w:t>
            </w:r>
          </w:p>
        </w:tc>
        <w:tc>
          <w:tcPr>
            <w:tcW w:type="dxa" w:w="8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Thời điểm nhận</w:t>
            </w:r>
          </w:p>
        </w:tc>
        <w:tc>
          <w:tcPr>
            <w:tcW w:type="dxa" w:w="8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Kênh</w:t>
            </w:r>
          </w:p>
        </w:tc>
        <w:tc>
          <w:tcPr>
            <w:tcW w:type="dxa" w:w="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Cơ quan / người yêu cầu</w:t>
            </w:r>
          </w:p>
        </w:tc>
        <w:tc>
          <w:tcPr>
            <w:tcW w:type="dxa" w:w="8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Số, ký hiệu văn bản</w:t>
            </w:r>
          </w:p>
        </w:tc>
        <w:tc>
          <w:tcPr>
            <w:tcW w:type="dxa" w:w="8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Loại (mục 2)</w:t>
            </w:r>
          </w:p>
        </w:tc>
        <w:tc>
          <w:tcPr>
            <w:tcW w:type="dxa" w:w="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Khẩn cấp?</w:t>
            </w:r>
          </w:p>
        </w:tc>
        <w:tc>
          <w:tcPr>
            <w:tcW w:type="dxa" w:w="8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Hạn chót</w:t>
            </w:r>
          </w:p>
        </w:tc>
        <w:tc>
          <w:tcPr>
            <w:tcW w:type="dxa" w:w="10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Xác thực (cách, người, thời điểm)</w:t>
            </w:r>
          </w:p>
        </w:tc>
        <w:tc>
          <w:tcPr>
            <w:tcW w:type="dxa" w:w="8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Phạm vi được yêu cầu</w:t>
            </w:r>
          </w:p>
        </w:tc>
        <w:tc>
          <w:tcPr>
            <w:tcW w:type="dxa" w:w="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Người thực hiện</w:t>
            </w:r>
          </w:p>
        </w:tc>
        <w:tc>
          <w:tcPr>
            <w:tcW w:type="dxa" w:w="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Thời điểm hoàn thành</w:t>
            </w:r>
          </w:p>
        </w:tc>
        <w:tc>
          <w:tcPr>
            <w:tcW w:type="dxa" w:w="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Đúng hạn?</w:t>
            </w:r>
          </w:p>
        </w:tc>
        <w:tc>
          <w:tcPr>
            <w:tcW w:type="dxa" w:w="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Phản hồi (số, ngày)</w:t>
            </w:r>
          </w:p>
        </w:tc>
        <w:tc>
          <w:tcPr>
            <w:tcW w:type="dxa" w:w="12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Ghi chú/pháp chế</w:t>
            </w:r>
          </w:p>
        </w:tc>
      </w:tr>
      <w:tr>
        <w:trPr>
          <w:cantSplit/>
          <w:tblHeader w:val="false"/>
        </w:trPr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YC-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  <w:highlight w:val="yellow"/>
              </w:rPr>
              <w:t xml:space="preserve">2026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-001</w:t>
            </w:r>
          </w:p>
        </w:tc>
        <w:tc>
          <w:tcPr>
            <w:tcW w:type="dxa" w:w="8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8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0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2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</w:tbl>
    <w:p>
      <w:pPr>
        <w:sectPr>
          <w:pgSz w:w="16837" w:h="11905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Quy định quản lý sổ: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Sổ điện tử có kiểm soát truy cập (chỉ đầu mối, pháp chế, lãnh đạo); nhật ký truy cập sổ.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Lưu tối thiểu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05 năm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(gợi ý ≥ 5 năm hoặc theo quy định lưu trữ nội bộ).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Rà soát tỷ lệ đúng hạn hằng quý; phân tích nguyên nhân trễ hạn.</w:t>
      </w: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6. Chuẩn bị sẵn (điều kiện tiên quyết để đáp ứng 03h/06h)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Thường trực 24/7 và danh sách người được quyền thực hiện ngoài giờ.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Công cụ/runbook trích xuất nhanh thông tin người dùng (tài khoản, thời gian đăng nhập/đăng xuất, IP, cổng nguồn — NĐ 333 Đ16.6.b) và gỡ/chặn nội dung theo định danh.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Nhật ký hệ thống truy xuất được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≥ 12 tháng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(NĐ 333 Đ16.6.c, Đ20.3).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Mẫu văn bản phản hồi; kênh truyền an toàn đã thống nhất với cơ quan chức năng.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Diễn tập tình huống "yêu cầu khẩn cấp 03 giờ lúc 2 giờ sáng" ít nhất 01 lần/năm (đưa vào kế hoạch diễn tập).</w:t>
      </w:r>
    </w:p>
    <w:sectPr>
      <w:pgSz w:w="11905" w:h="16837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Quy trình tiếp nhận, xử lý yêu cầu của cơ quan chức năng về an ninh mạng</dc:title>
  <dc:creator>vn-cyber-compliance</dc:creator>
  <cp:lastModifiedBy>Un-named</cp:lastModifiedBy>
  <cp:revision>1</cp:revision>
  <dcterms:created xsi:type="dcterms:W3CDTF">2026-09-24T10:49:57.976Z</dcterms:created>
  <dcterms:modified xsi:type="dcterms:W3CDTF">2026-09-24T10:49:57.976Z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