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MẪU QUYẾT ĐỊNH — Biến thể A: Thành lập Hội đồng thẩm định độc lập</w:t>
      </w: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91"/>
        <w:gridCol w:w="5234"/>
      </w:tblGrid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  <w:highlight w:val="yellow"/>
              </w:rPr>
              <w:t xml:space="preserve">Công ty cổ phần Giải pháp Công nghệ TURBO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327" w:right="1327"/>
            </w:pP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047" w:right="1047"/>
            </w:pPr>
          </w:p>
        </w:tc>
      </w:tr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19/2026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/QĐ-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TURBO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TP. Hồ Chí Minh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, ngày ... tháng ... năm ...</w:t>
            </w:r>
          </w:p>
        </w:tc>
      </w:tr>
    </w:tbl>
    <w:p>
      <w:pPr>
        <w:spacing w:after="120" w:before="0" w:line="276" w:lineRule="auto"/>
        <w:jc w:val="both"/>
      </w:pPr>
    </w:p>
    <w:p>
      <w:pPr>
        <w:keepNext/>
        <w:spacing w:after="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QUYẾT ĐỊNH</w:t>
      </w:r>
    </w:p>
    <w:p>
      <w:pPr>
        <w:keepNext/>
        <w:spacing w:after="18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Về việc thành lập Hội đồng thẩm định độc lập Hồ sơ đề xuất cấp độ hệ thống thông tin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</w:p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highlight w:val="yellow"/>
        </w:rPr>
        <w:t xml:space="preserve">TỔNG GIÁM ĐỐC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highlight w:val="yellow"/>
        </w:rPr>
        <w:t xml:space="preserve">CÔNG TY CỔ PHẦN GIẢI PHÁP CÔNG NGHỆ TURBO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Căn cứ Luật An ninh mạng số 116/2025/QH15;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Căn cứ Nghị định số 331/2026/NĐ-CP ngày 19 tháng 8 năm 2026 của Chính phủ về bảo vệ an ninh mạng đối với hệ thống thông tin;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Căn cứ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Điều lệ 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Căn cứ Quyết định số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16/2026/QĐ-TURBO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về việc chỉ định đơn vị chuyên trách về an ninh mạng và Quyết định số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17/2026/QĐ-TURBO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về việc giao đơn vị vận hành hệ thống thông tin;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Xét Tờ trình số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02/2026/TTr-PANM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ngày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của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.</w:t>
      </w:r>
    </w:p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QUYẾT ĐỊNH: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1. Thành lập Hội đồng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Thành lập Hội đồng thẩm định độc lập Hồ sơ đề xuất cấp độ hệ thống thông tin (sau đây gọi là Hội đồng) theo điểm b khoản 4 Điều 18 Nghị định số 331/2026/NĐ-CP, gồm: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72"/>
        <w:gridCol w:w="1773"/>
        <w:gridCol w:w="2345"/>
        <w:gridCol w:w="2460"/>
        <w:gridCol w:w="1775"/>
      </w:tblGrid>
      <w:tr>
        <w:trPr>
          <w:cantSplit/>
          <w:tblHeader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STT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Họ tên</w:t>
            </w:r>
          </w:p>
        </w:tc>
        <w:tc>
          <w:tcPr>
            <w:tcW w:type="dxa" w:w="2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Đơn vị/Chức vụ</w:t>
            </w:r>
          </w:p>
        </w:tc>
        <w:tc>
          <w:tcPr>
            <w:tcW w:type="dxa" w:w="2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Vai trò trong Hội đồng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Lĩnh vực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Vũ Hải Long</w:t>
            </w:r>
          </w:p>
        </w:tc>
        <w:tc>
          <w:tcPr>
            <w:tcW w:type="dxa" w:w="2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Phó Tổng Giám đốc</w:t>
            </w:r>
          </w:p>
        </w:tc>
        <w:tc>
          <w:tcPr>
            <w:tcW w:type="dxa" w:w="2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Chủ tịch Hội đồng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Dịch vụ công nghệ thông tin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Hoàng Quốc Em</w:t>
            </w:r>
          </w:p>
        </w:tc>
        <w:tc>
          <w:tcPr>
            <w:tcW w:type="dxa" w:w="2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Ban Kiểm soát nội bộ</w:t>
            </w:r>
          </w:p>
        </w:tc>
        <w:tc>
          <w:tcPr>
            <w:tcW w:type="dxa" w:w="2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Phó Chủ tịch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Ngô Thanh Hà</w:t>
            </w:r>
          </w:p>
        </w:tc>
        <w:tc>
          <w:tcPr>
            <w:tcW w:type="dxa" w:w="2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Chuyên gia độc lập (bên ngoài)</w:t>
            </w:r>
          </w:p>
        </w:tc>
        <w:tc>
          <w:tcPr>
            <w:tcW w:type="dxa" w:w="2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Ủy viên phản biện 1 (an ninh mạng)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Bùi Minh Khoa</w:t>
            </w:r>
          </w:p>
        </w:tc>
        <w:tc>
          <w:tcPr>
            <w:tcW w:type="dxa" w:w="2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Phòng Pháp chế</w:t>
            </w:r>
          </w:p>
        </w:tc>
        <w:tc>
          <w:tcPr>
            <w:tcW w:type="dxa" w:w="2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Ủy viên phản biện 2 (nghiệp vụ/pháp chế)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Đặng Thu Lan</w:t>
            </w:r>
          </w:p>
        </w:tc>
        <w:tc>
          <w:tcPr>
            <w:tcW w:type="dxa" w:w="2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Phòng Tài chính – Kế toán</w:t>
            </w:r>
          </w:p>
        </w:tc>
        <w:tc>
          <w:tcPr>
            <w:tcW w:type="dxa" w:w="2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Ủy viên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Mai Ngọc Hân</w:t>
            </w:r>
          </w:p>
        </w:tc>
        <w:tc>
          <w:tcPr>
            <w:tcW w:type="dxa" w:w="2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Ban Kiểm soát nội bộ</w:t>
            </w:r>
          </w:p>
        </w:tc>
        <w:tc>
          <w:tcPr>
            <w:tcW w:type="dxa" w:w="2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Thư ký (không biểu quyết)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2. Nhiệm vụ, nguyên tắc làm việc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Hội đồng thẩm định Hồ sơ đề xuất cấp độ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đối với hệ thống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do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lập, theo nội dung tại khoản 1 Điều 23 Nghị định số 331/2026/NĐ-CP.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Nguyên tắc độc lập: a) Thành viên Hội đồng không tham gia lập hồ sơ, thiết kế, triển khai, quản trị, vận hành hệ thống được thẩm định; không có quan hệ hợp đồng, lợi ích với nhà thầu cung cấp giải pháp cho hệ thống; b) Mỗi thành viên ký Cam kết độc lập, không xung đột lợi ích và bảo mật thông tin trước phiên họp đầu tiên; thành viên phát sinh xung đột phải báo cáo và rút khỏi Hội đồng; c) Đơn vị vận hành, đơn vị chuyên trách an ninh mạng tham dự để giải trình, không biểu quyết.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Hội đồng làm việc theo chế độ tập thể; phiên họp hợp lệ khi có ít nhất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2/3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thành viên (trong đó có Chủ tịch hoặc Phó Chủ tịch và ít nhất 01 ủy viên phản biện an ninh mạng); kết luận theo đa số, ý kiến khác được ghi vào biên bản.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Thời hạn: phản hồi hồ sơ chưa hợp lệ trong 05 ngày làm việc kể từ ngày nhận hồ sơ; hoàn thành thẩm định trong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10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ngày làm việc (không quá 15 ngày làm việc đối với hồ sơ đề xuất cấp độ 3) kể từ ngày nhận đủ hồ sơ hợp lệ.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5. Sản phẩm: Ý kiến thẩm định theo Mẫu số 04 Phụ lục Nghị định số 331/2026/NĐ-CP; biên bản họp; phiếu nhận xét của ủy viên phản biện. Đối với hồ sơ cấp độ 1, 2: Hội đồng trình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(hoặc chủ quản — ghi rõ)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phê duyệt; đối với hồ sơ cấp độ 3: gửi kết quả để đơn vị vận hành trình chủ quản phê duyệt.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3. Kinh phí, điều kiện làm việc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làm thường trực, bảo đảm hồ sơ, tài liệu, quyền truy cập môi trường kiểm tra (nếu cần) và kinh phí theo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Quy chế tài chính của Công 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4. Hiệu lực và trách nhiệm thi hành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Quyết định có hiệu lực từ ngày ký; Hội đồng tự giải thể sau khi hoàn thành nhiệm vụ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(hoặc: hoạt động thường trực đến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cho các hồ sơ thuộc phạm vi chủ quản)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Các thành viên Hội đồng,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chịu trách nhiệm thi hành.</w:t>
      </w:r>
    </w:p>
    <w:p>
      <w:pPr>
        <w:spacing w:after="0" w:before="0" w:line="276" w:lineRule="auto"/>
        <w:jc w:val="both"/>
      </w:pP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61"/>
        <w:gridCol w:w="4964"/>
      </w:tblGrid>
      <w:tr>
        <w:tc>
          <w:tcPr>
            <w:tcW w:type="dxa" w:w="4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Như Điều 4;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Lưu: VT,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PANM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</w:t>
            </w:r>
          </w:p>
        </w:tc>
        <w:tc>
          <w:tcPr>
            <w:tcW w:type="dxa" w:w="4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TỔNG GIÁM ĐỐC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tên, đóng dấu)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Nguyễn Văn An</w:t>
            </w:r>
          </w:p>
        </w:tc>
      </w:tr>
    </w:tbl>
    <w:p>
      <w:r>
        <w:br w:type="page"/>
      </w: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MẪU QUYẾT ĐỊNH — Biến thể B: Giao đơn vị trực thuộc chủ trì thẩm định (Đ18.4.a)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Thay Điều 1–2 của Biến thể A bằng:</w:t>
      </w:r>
    </w:p>
    <w:p>
      <w:pPr>
        <w:pBdr>
          <w:left w:val="single" w:color="999999" w:sz="12" w:space="8"/>
        </w:pBdr>
        <w:spacing w:after="120" w:before="0" w:line="276" w:lineRule="auto"/>
        <w:ind w:left="283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Điều 1.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Giao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highlight w:val="yellow"/>
        </w:rPr>
        <w:t xml:space="preserve">Ban Kiểm soát nội bộ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(đơn vị trực thuộc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, không tham gia quản lý, vận hành hệ thống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highlight w:val="yellow"/>
        </w:rPr>
        <w:t xml:space="preserve">Hệ thống quản lý khách hàng trực tuyến (CRM Online)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) chủ trì, tổ chức thẩm định Hồ sơ đề xuất cấp độ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highlight w:val="yellow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của hệ thống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highlight w:val="yellow"/>
        </w:rPr>
        <w:t xml:space="preserve">Hệ thống quản lý khách hàng trực tuyến (CRM Online)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theo điểm a khoản 4 Điều 18 Nghị định số 331/2026/NĐ-CP. 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Điều 2.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highlight w:val="yellow"/>
        </w:rPr>
        <w:t xml:space="preserve">Ban Kiểm soát nội bộ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được mời chuyên gia độc lập tham gia; bảo đảm các nguyên tắc độc lập tại [nêu như khoản 2 Điều 2 Biến thể A]; hoàn thành trong thời hạn [như khoản 4 Điều 2 Biến thể A].</w:t>
      </w:r>
    </w:p>
    <w:p>
      <w:r>
        <w:br w:type="page"/>
      </w: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Phụ lục — Mẫu Cam kết độc lập, không xung đột lợi ích</w:t>
      </w:r>
    </w:p>
    <w:p>
      <w:pPr>
        <w:pBdr>
          <w:left w:val="single" w:color="999999" w:sz="12" w:space="8"/>
        </w:pBdr>
        <w:spacing w:after="120" w:before="0" w:line="276" w:lineRule="auto"/>
        <w:ind w:lef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Tôi,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highlight w:val="yellow"/>
        </w:rPr>
        <w:t xml:space="preserve">Ngô Thanh Hà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, thành viên Hội đồng thẩm định theo Quyết định số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highlight w:val="yellow"/>
        </w:rPr>
        <w:t xml:space="preserve">19/2026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, cam kết: (1) không tham gia lập hồ sơ, thiết kế, triển khai, quản trị, vận hành hệ thống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highlight w:val="yellow"/>
        </w:rPr>
        <w:t xml:space="preserve">Hệ thống quản lý khách hàng trực tuyến (CRM Online)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trong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highlight w:val="yellow"/>
        </w:rPr>
        <w:t xml:space="preserve">12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tháng gần nhất; (2) không có quan hệ hợp đồng, sở hữu, lợi ích với nhà thầu/nhà cung cấp giải pháp cho hệ thống; (3) bảo mật thông tin hồ sơ (sơ đồ mạng, địa chỉ IP, cấu hình) theo Quy chế bảo đảm ANM; (4) báo cáo ngay khi phát sinh xung đột. Ký tên, ngày.</w:t>
      </w: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Quyết định thành lập Hội đồng thẩm định độc lập hồ sơ đề xuất cấp độ</dc:title>
  <dc:creator>vn-cyber-compliance</dc:creator>
  <cp:lastModifiedBy>Un-named</cp:lastModifiedBy>
  <cp:revision>1</cp:revision>
  <dcterms:created xsi:type="dcterms:W3CDTF">2026-09-28T04:07:52.965Z</dcterms:created>
  <dcterms:modified xsi:type="dcterms:W3CDTF">2026-09-28T04:07:52.965Z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