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An ninh mạng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06/2026</w:t>
            </w:r>
            <w:r>
              <w:rPr>
                <w:rFonts w:ascii="Times New Roman" w:cs="Times New Roman" w:eastAsia="Times New Roman" w:hAnsi="Times New Roman"/>
                <w:b w:val="false"/>
                <w:bCs w:val="false"/>
                <w:i w:val="false"/>
                <w:iCs w:val="false"/>
                <w:caps w:val="false"/>
                <w:sz w:val="26"/>
                <w:szCs w:val="26"/>
              </w:rPr>
              <w:t xml:space="preserve">/TTr-</w:t>
            </w:r>
            <w:r>
              <w:rPr>
                <w:rFonts w:ascii="Times New Roman" w:cs="Times New Roman" w:eastAsia="Times New Roman" w:hAnsi="Times New Roman"/>
                <w:b w:val="false"/>
                <w:bCs w:val="false"/>
                <w:i w:val="false"/>
                <w:iCs w:val="false"/>
                <w:caps w:val="false"/>
                <w:sz w:val="26"/>
                <w:szCs w:val="26"/>
                <w:highlight w:val="yellow"/>
              </w:rPr>
              <w:t xml:space="preserve">PANM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01</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11</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TỜ TRÌNH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phê duyệt Kế hoạch và kinh phí đào tạo, tuyên truyền, diễn tập an ninh mạng năm </w:t>
      </w:r>
      <w:r>
        <w:rPr>
          <w:rFonts w:ascii="Times New Roman" w:cs="Times New Roman" w:eastAsia="Times New Roman" w:hAnsi="Times New Roman"/>
          <w:b/>
          <w:bCs/>
          <w:i w:val="false"/>
          <w:iCs w:val="false"/>
          <w:sz w:val="26"/>
          <w:szCs w:val="26"/>
          <w:highlight w:val="yellow"/>
        </w:rPr>
        <w:t xml:space="preserve">2027</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Tổng Giám đốc Công ty</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333/2026/NĐ-CP ngày 19 tháng 8 năm 2026 của Chính phủ quy định chi tiết một số điều và biện pháp thi hành Luật An ninh mạng;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Quy chế bảo đảm an ninh mạng ban hành kèm theo Quyết định số </w:t>
      </w:r>
      <w:r>
        <w:rPr>
          <w:rFonts w:ascii="Times New Roman" w:cs="Times New Roman" w:eastAsia="Times New Roman" w:hAnsi="Times New Roman"/>
          <w:b w:val="false"/>
          <w:bCs w:val="false"/>
          <w:i/>
          <w:iCs/>
          <w:sz w:val="26"/>
          <w:szCs w:val="26"/>
          <w:highlight w:val="yellow"/>
        </w:rPr>
        <w:t xml:space="preserve">18/2026/QĐ-TURBO ngày 15/9/2026</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phê duyệt Kế hoạch và kinh phí đào tạo, tuyên truyền, diễn tập ANM năm </w:t>
      </w:r>
      <w:r>
        <w:rPr>
          <w:rFonts w:ascii="Times New Roman" w:cs="Times New Roman" w:eastAsia="Times New Roman" w:hAnsi="Times New Roman"/>
          <w:b w:val="false"/>
          <w:bCs w:val="false"/>
          <w:i w:val="false"/>
          <w:iCs w:val="false"/>
          <w:sz w:val="26"/>
          <w:szCs w:val="26"/>
          <w:highlight w:val="yellow"/>
        </w:rPr>
        <w:t xml:space="preserve">2027</w:t>
      </w:r>
      <w:r>
        <w:rPr>
          <w:rFonts w:ascii="Times New Roman" w:cs="Times New Roman" w:eastAsia="Times New Roman" w:hAnsi="Times New Roman"/>
          <w:b w:val="false"/>
          <w:bCs w:val="false"/>
          <w:i w:val="false"/>
          <w:iCs w:val="false"/>
          <w:sz w:val="26"/>
          <w:szCs w:val="26"/>
        </w:rPr>
        <w:t xml:space="preserve"> như sau:</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Viết tắt: Luật 116 là Luật An ninh mạng; NĐ 330, NĐ 331, NĐ 333, NĐ 356 là các Nghị định số 330/2026/NĐ-CP, 331/2026/NĐ-CP, 333/2026/NĐ-CP, 356/2025/NĐ-CP; ANM là an ninh mạng; HTTT là hệ thống thông tin; BVDLCN là bảo vệ dữ liệu cá nhân; TCVN là TCVN 14423:2026. "Đ31.3" nghĩa là khoản 3 Điều 31.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 SỰ CẦN THIẾT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Cơ sở pháp lý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Chủ quản HTTT chỉ đạo tổ chức tuyên truyền, nâng cao nhận thức về ANM và thường xuyên bồi dưỡng, cập nhật kỹ năng cho nhân sự liên quan, gồm: đào tạo ngắn hạn cho cán bộ, công chức, viên chức làm về ANM; tuyên truyền, phổ biến cho cán bộ, công chức, viên chức trong tổ chức; diễn tập bảo đảm ANM trong tổ chức; tham gia diễn tập quốc gia và quốc tế do Bộ Công an tổ chức (NĐ 331 Đ31.3). Với doanh nghiệp, các nội dung này áp dụng tương ứng cho người lao động. Tổ chức tuyên truyền, nâng cao nhận thức là một nhiệm vụ bảo vệ ANM đối với HTTT (Luật 116 Đ10.1.e). Cơ quan, tổ chức có trách nhiệm phổ biến kiến thức về ANM cho cán bộ, công chức, viên chức, người lao động của mình (Luật 116 Đ35.2).</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Việc tổ chức đào tạo, tuyên truyền, diễn tập là nội dung kiểm tra tuân thủ đối với chủ quản (NĐ 331 Đ27.1.a). Đơn vị chuyên trách ANM bảo đảm người thực hiện nhiệm vụ ANM đáp ứng tiêu chuẩn chuyên môn, nghiệp vụ (NĐ 331 Đ32.3).</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Tập huấn kiến thức, kỹ năng chuyên sâu có cấp chứng nhận là </w:t>
      </w:r>
      <w:r>
        <w:rPr>
          <w:rFonts w:ascii="Times New Roman" w:cs="Times New Roman" w:eastAsia="Times New Roman" w:hAnsi="Times New Roman"/>
          <w:b/>
          <w:bCs/>
          <w:i w:val="false"/>
          <w:iCs w:val="false"/>
          <w:sz w:val="26"/>
          <w:szCs w:val="26"/>
        </w:rPr>
        <w:t xml:space="preserve">bắt buộc</w:t>
      </w:r>
      <w:r>
        <w:rPr>
          <w:rFonts w:ascii="Times New Roman" w:cs="Times New Roman" w:eastAsia="Times New Roman" w:hAnsi="Times New Roman"/>
          <w:b w:val="false"/>
          <w:bCs w:val="false"/>
          <w:i w:val="false"/>
          <w:iCs w:val="false"/>
          <w:sz w:val="26"/>
          <w:szCs w:val="26"/>
        </w:rPr>
        <w:t xml:space="preserve"> đối với người trực tiếp quản trị, vận hành HTTT cấp độ 3, 4, 5 trong cơ quan, tổ chức, doanh nghiệp Nhà nước, trừ người đã được đào tạo chuyên ngành ANM (Luật 116 Đ34.2). Chủ quản rà soát, bố trí kinh phí, tổ chức tập huấn trong 36 tháng kể từ ngày 19/8/2026 (NĐ 333 Đ24.8.b). Nội dung gồm khối kiến thức nền tảng và ít nhất một khối chuyên sâu (NĐ 333 Đ24.2–24.4).</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Tổ chức chỉ định nhân sự BVDLCN phải đào tạo, bồi dưỡng kiến thức, kỹ năng cho nhân sự này (NĐ 356 Đ13.6). Bộ phận BVDLCN xây dựng kế hoạch và triển khai đào tạo định kỳ về BVDLCN trong tổ chức (NĐ 356 Đ14.1.đ).</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 Theo TCVN, mọi cấp độ đều yêu cầu đào tạo nâng cao nhận thức ANM cho người dùng. HTTT cấp 3 phải diễn tập ứng phó sự cố định kỳ (mục 5.16). HTTT cấp 4, cấp 5 phải đào tạo chuyên môn theo vai trò và diễn tập ít nhất 01 lần/năm (mục 6.14, 6.17, 7.14, 7.17).</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Kết quả năm trước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536"/>
        <w:gridCol w:w="987"/>
        <w:gridCol w:w="830"/>
        <w:gridCol w:w="672"/>
      </w:tblGrid>
      <w:tr>
        <w:trPr>
          <w:cantSplit/>
          <w:tblHeader/>
        </w:trPr>
        <w:tc>
          <w:tcPr>
            <w:tcW w:type="dxa" w:w="65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c>
          <w:tcPr>
            <w:tcW w:type="dxa" w:w="9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Kế hoạch</w:t>
            </w:r>
          </w:p>
        </w:tc>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Thực hiện</w:t>
            </w:r>
          </w:p>
        </w:tc>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Ghi chú</w:t>
            </w:r>
          </w:p>
        </w:tc>
      </w:tr>
      <w:tr>
        <w:trPr>
          <w:cantSplit/>
          <w:tblHeader w:val="false"/>
        </w:trPr>
        <w:tc>
          <w:tcPr>
            <w:tcW w:type="dxa" w:w="6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Đào tạo nhận thức ANM (số người)</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120</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112</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Đào tạo chuyên môn ANM (số người)</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04</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02</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Diễn tập (số cuộc)</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02</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01</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nhận thức, thử nghiệm lừa đảo qua thư điện tử (tỷ lệ đạt)</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90%</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85%</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Rủi ro nếu không thực hiện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NĐ 330 không quy định hành vi xử phạt riêng đối với việc không đào tạo, tuyên truyền ANM nói chung. Tuy nhiên: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783"/>
        <w:gridCol w:w="1820"/>
        <w:gridCol w:w="2422"/>
      </w:tblGrid>
      <w:tr>
        <w:trPr>
          <w:cantSplit/>
          <w:tblHeader/>
        </w:trPr>
        <w:tc>
          <w:tcPr>
            <w:tcW w:type="dxa" w:w="478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Hành vi</w:t>
            </w:r>
          </w:p>
        </w:tc>
        <w:tc>
          <w:tcPr>
            <w:tcW w:type="dxa" w:w="18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c>
          <w:tcPr>
            <w:tcW w:type="dxa" w:w="24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Mức phạt tổ chức (đồng)</w:t>
            </w:r>
          </w:p>
        </w:tc>
      </w:tr>
      <w:tr>
        <w:trPr>
          <w:cantSplit/>
          <w:tblHeader w:val="false"/>
        </w:trPr>
        <w:tc>
          <w:tcPr>
            <w:tcW w:type="dxa" w:w="47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triển khai đầy đủ biện pháp như hồ sơ đã được phê duyệt (phương án cấp 3–5 có nội dung đào tạo, diễn tập theo TCVN)</w:t>
            </w:r>
          </w:p>
        </w:tc>
        <w:tc>
          <w:tcPr>
            <w:tcW w:type="dxa" w:w="18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Đ23.1.d</w:t>
            </w:r>
          </w:p>
        </w:tc>
        <w:tc>
          <w:tcPr>
            <w:tcW w:type="dxa" w:w="2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40–60 triệu</w:t>
            </w:r>
          </w:p>
        </w:tc>
      </w:tr>
      <w:tr>
        <w:trPr>
          <w:cantSplit/>
          <w:tblHeader w:val="false"/>
        </w:trPr>
        <w:tc>
          <w:tcPr>
            <w:tcW w:type="dxa" w:w="47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xây dựng Kế hoạch ứng phó sự cố bảo đảm ANM (diễn tập là cách kiểm chứng kế hoạch)</w:t>
            </w:r>
          </w:p>
        </w:tc>
        <w:tc>
          <w:tcPr>
            <w:tcW w:type="dxa" w:w="18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Đ21.3.d</w:t>
            </w:r>
          </w:p>
        </w:tc>
        <w:tc>
          <w:tcPr>
            <w:tcW w:type="dxa" w:w="2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60–100 triệu</w:t>
            </w:r>
          </w:p>
        </w:tc>
      </w:tr>
      <w:tr>
        <w:trPr>
          <w:cantSplit/>
          <w:tblHeader w:val="false"/>
        </w:trPr>
        <w:tc>
          <w:tcPr>
            <w:tcW w:type="dxa" w:w="47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tổ chức đào tạo, bồi dưỡng cho nhân sự BVDLCN</w:t>
            </w:r>
          </w:p>
        </w:tc>
        <w:tc>
          <w:tcPr>
            <w:tcW w:type="dxa" w:w="18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Đ57.1.b</w:t>
            </w:r>
          </w:p>
        </w:tc>
        <w:tc>
          <w:tcPr>
            <w:tcW w:type="dxa" w:w="2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Cảnh cáo hoặc 10–20 triệu</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Mức phạt ANM trong NĐ 330 là mức cho cá nhân, tổ chức bị phạt gấp hai lần. Mức phạt BVDLCN là mức cho tổ chức (NĐ 330 Đ7.1). Bảng trên đã quy đổi.</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 NỘI DUNG ĐỀ XUẤT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Đào tạo, tuyên truyền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1509"/>
        <w:gridCol w:w="1785"/>
        <w:gridCol w:w="1255"/>
        <w:gridCol w:w="2334"/>
        <w:gridCol w:w="1512"/>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5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Đối tượng</w:t>
            </w:r>
          </w:p>
        </w:tc>
        <w:tc>
          <w:tcPr>
            <w:tcW w:type="dxa" w:w="17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Nội dung</w:t>
            </w:r>
          </w:p>
        </w:tc>
        <w:tc>
          <w:tcPr>
            <w:tcW w:type="dxa" w:w="125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Hình thức</w:t>
            </w:r>
          </w:p>
        </w:tc>
        <w:tc>
          <w:tcPr>
            <w:tcW w:type="dxa" w:w="23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Tần suất, thời lượng</w:t>
            </w:r>
          </w:p>
        </w:tc>
        <w:tc>
          <w:tcPr>
            <w:tcW w:type="dxa" w:w="15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Toàn bộ người lao động</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Nhận thức ANM; Quy chế bảo đảm ANM; nhận diện lừa đảo; báo cáo sự cố</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Trực tuyến, kèm bài kiểm tra</w:t>
            </w:r>
          </w:p>
        </w:tc>
        <w:tc>
          <w:tcPr>
            <w:tcW w:type="dxa" w:w="2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 lần/năm, 02 giờ</w:t>
            </w:r>
          </w:p>
        </w:tc>
        <w:tc>
          <w:tcPr>
            <w:tcW w:type="dxa" w:w="15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331 Đ31.3; Luật 116 Đ35.2; TCVN 5.14</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Người lao động mới</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Như dòng 1; ký xác nhận Quy chế</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Khi tiếp nhận</w:t>
            </w:r>
          </w:p>
        </w:tc>
        <w:tc>
          <w:tcPr>
            <w:tcW w:type="dxa" w:w="2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Trong 05 ngày làm việc kể từ ngày tiếp nhận</w:t>
            </w:r>
          </w:p>
        </w:tc>
        <w:tc>
          <w:tcPr>
            <w:tcW w:type="dxa" w:w="15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331 Đ31.3</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Người quản trị, vận hành HTTT cấp 3 trở lên</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Kiến thức nền tảng và chuyên sâu theo vị trí</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Khóa tập huấn có chứng nhận</w:t>
            </w:r>
          </w:p>
        </w:tc>
        <w:tc>
          <w:tcPr>
            <w:tcW w:type="dxa" w:w="2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 khóa/người, hoàn thành trước 19/8/2029</w:t>
            </w:r>
          </w:p>
        </w:tc>
        <w:tc>
          <w:tcPr>
            <w:tcW w:type="dxa" w:w="15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116 Đ34.2; NĐ 333 Đ24</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1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Nhân sự đơn vị chuyên trách ANM</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Ứng cứu sự cố, giám sát, kiểm thử</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Khóa chuyên sâu, chứng chỉ</w:t>
            </w:r>
          </w:p>
        </w:tc>
        <w:tc>
          <w:tcPr>
            <w:tcW w:type="dxa" w:w="2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 khóa/người/năm</w:t>
            </w:r>
          </w:p>
        </w:tc>
        <w:tc>
          <w:tcPr>
            <w:tcW w:type="dxa" w:w="15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331 Đ32.3</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1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Lập trình viên</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Lập trình an toàn</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Tập trung</w:t>
            </w:r>
          </w:p>
        </w:tc>
        <w:tc>
          <w:tcPr>
            <w:tcW w:type="dxa" w:w="2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 lần/năm, 08 giờ</w:t>
            </w:r>
          </w:p>
        </w:tc>
        <w:tc>
          <w:tcPr>
            <w:tcW w:type="dxa" w:w="15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5.17 (cấp 3); 6.16 (cấp 4)</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1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Nhân sự BVDLCN và bộ phận xử lý DLCN</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Pháp luật và kỹ năng BVDLCN</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Khóa chuyên đề</w:t>
            </w:r>
          </w:p>
        </w:tc>
        <w:tc>
          <w:tcPr>
            <w:tcW w:type="dxa" w:w="2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 lần/năm, 04 giờ</w:t>
            </w:r>
          </w:p>
        </w:tc>
        <w:tc>
          <w:tcPr>
            <w:tcW w:type="dxa" w:w="15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Đ13.6, Đ14.1.đ</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7</w:t>
            </w:r>
          </w:p>
        </w:tc>
        <w:tc>
          <w:tcPr>
            <w:tcW w:type="dxa" w:w="1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Ban lãnh đạo</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Trách nhiệm pháp lý, báo cáo sự cố, ra quyết định khi khủng hoảng</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Hội thảo ngắn</w:t>
            </w:r>
          </w:p>
        </w:tc>
        <w:tc>
          <w:tcPr>
            <w:tcW w:type="dxa" w:w="2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 lần/năm, 02 giờ</w:t>
            </w:r>
          </w:p>
        </w:tc>
        <w:tc>
          <w:tcPr>
            <w:tcW w:type="dxa" w:w="15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331 Đ31.1.a</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Diễn tập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2708"/>
        <w:gridCol w:w="2006"/>
        <w:gridCol w:w="1849"/>
        <w:gridCol w:w="1790"/>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27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Kịch bản</w:t>
            </w:r>
          </w:p>
        </w:tc>
        <w:tc>
          <w:tcPr>
            <w:tcW w:type="dxa" w:w="200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Hình thức</w:t>
            </w:r>
          </w:p>
        </w:tc>
        <w:tc>
          <w:tcPr>
            <w:tcW w:type="dxa" w:w="18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17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gian dự kiến</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2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Mã độc tống tiền mã hóa CSDL khách hàng CRM Online</w:t>
            </w:r>
          </w:p>
        </w:tc>
        <w:tc>
          <w:tcPr>
            <w:tcW w:type="dxa" w:w="2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Diễn tập trên bàn</w:t>
            </w:r>
          </w:p>
        </w:tc>
        <w:tc>
          <w:tcPr>
            <w:tcW w:type="dxa" w:w="18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Đội ứng cứu sự cố, lãnh đạo</w:t>
            </w:r>
          </w:p>
        </w:tc>
        <w:tc>
          <w:tcPr>
            <w:tcW w:type="dxa" w:w="1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15/06/2027</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2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Lộ lọt DLCN khách hàng qua lỗ hổng cổng web CRM Online</w:t>
            </w:r>
          </w:p>
        </w:tc>
        <w:tc>
          <w:tcPr>
            <w:tcW w:type="dxa" w:w="2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Diễn tập thực tế trên môi trường thử nghiệm</w:t>
            </w:r>
          </w:p>
        </w:tc>
        <w:tc>
          <w:tcPr>
            <w:tcW w:type="dxa" w:w="18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Đội ứng cứu sự cố, đơn vị vận hành</w:t>
            </w:r>
          </w:p>
        </w:tc>
        <w:tc>
          <w:tcPr>
            <w:tcW w:type="dxa" w:w="1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15/11/2027</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2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Tham gia diễn tập quốc gia, quốc tế do Bộ Công an tổ chức (khi được mời)</w:t>
            </w:r>
          </w:p>
        </w:tc>
        <w:tc>
          <w:tcPr>
            <w:tcW w:type="dxa" w:w="2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đơn vị tổ chức</w:t>
            </w:r>
          </w:p>
        </w:tc>
        <w:tc>
          <w:tcPr>
            <w:tcW w:type="dxa" w:w="18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Đơn vị chuyên trách ANM</w:t>
            </w:r>
          </w:p>
        </w:tc>
        <w:tc>
          <w:tcPr>
            <w:tcW w:type="dxa" w:w="1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thông báo</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Mỗi cuộc diễn tập có kịch bản được phê duyệt, biên bản, báo cáo đánh giá và kế hoạch cải tiến. Kịch bản kiểm tra cả mốc báo cáo sự cố 24 giờ và 72 giờ (NĐ 331 Đ31.2.d) và mốc thông báo vi phạm DLCN 72 giờ (Luật 91/2025/QH15 Đ23.1).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III. KINH PHÍ DỰ KIẾN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5654"/>
        <w:gridCol w:w="1531"/>
        <w:gridCol w:w="1168"/>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56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c>
          <w:tcPr>
            <w:tcW w:type="dxa" w:w="15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Kinh phí dự kiến (đồng)</w:t>
            </w:r>
          </w:p>
        </w:tc>
        <w:tc>
          <w:tcPr>
            <w:tcW w:type="dxa" w:w="11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Ghi chú</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5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Nền tảng đào tạo trực tuyến, bài kiểm tra nhận thức</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40.000.000</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5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Tập huấn chuyên sâu có chứng nhận</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120.000.000</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06</w:t>
            </w:r>
            <w:r>
              <w:rPr>
                <w:rFonts w:ascii="Times New Roman" w:cs="Times New Roman" w:eastAsia="Times New Roman" w:hAnsi="Times New Roman"/>
                <w:b w:val="false"/>
                <w:bCs w:val="false"/>
                <w:i w:val="false"/>
                <w:iCs w:val="false"/>
                <w:sz w:val="22"/>
                <w:szCs w:val="22"/>
              </w:rPr>
              <w:t xml:space="preserve"> người</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5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Chứng chỉ chuyên môn ANM</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60.000.000</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5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Đào tạo BVDLCN</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25.000.000</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5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Tổ chức diễn tập (kịch bản, môi trường, chuyên gia)</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70.000.000</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5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Tuyên truyền (tài liệu, bản tin)</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15.000.000</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5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Tổng cộng</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highlight w:val="yellow"/>
              </w:rPr>
              <w:t xml:space="preserve">330.000.000</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Nguồn kinh phí: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IV. TIẾN ĐỘ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15"/>
        <w:gridCol w:w="5516"/>
        <w:gridCol w:w="2794"/>
      </w:tblGrid>
      <w:tr>
        <w:trPr>
          <w:cantSplit/>
          <w:tblHeader/>
        </w:trPr>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Quý</w:t>
            </w:r>
          </w:p>
        </w:tc>
        <w:tc>
          <w:tcPr>
            <w:tcW w:type="dxa" w:w="55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Công việc chính</w:t>
            </w:r>
          </w:p>
        </w:tc>
        <w:tc>
          <w:tcPr>
            <w:tcW w:type="dxa" w:w="27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Đơn vị chủ trì</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I</w:t>
            </w:r>
          </w:p>
        </w:tc>
        <w:tc>
          <w:tcPr>
            <w:tcW w:type="dxa" w:w="5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Đào tạo nhận thức toàn bộ người lao động; chọn cơ sở tập huấn</w:t>
            </w:r>
          </w:p>
        </w:tc>
        <w:tc>
          <w:tcPr>
            <w:tcW w:type="dxa" w:w="2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Hành chính – Nhân sự</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II</w:t>
            </w:r>
          </w:p>
        </w:tc>
        <w:tc>
          <w:tcPr>
            <w:tcW w:type="dxa" w:w="5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Tập huấn chuyên sâu đợt 1; diễn tập trên bàn</w:t>
            </w:r>
          </w:p>
        </w:tc>
        <w:tc>
          <w:tcPr>
            <w:tcW w:type="dxa" w:w="2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An ninh mạng</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III</w:t>
            </w:r>
          </w:p>
        </w:tc>
        <w:tc>
          <w:tcPr>
            <w:tcW w:type="dxa" w:w="5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Đào tạo BVDLCN; đào tạo lập trình an toàn</w:t>
            </w:r>
          </w:p>
        </w:tc>
        <w:tc>
          <w:tcPr>
            <w:tcW w:type="dxa" w:w="2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Pháp chế</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IV</w:t>
            </w:r>
          </w:p>
        </w:tc>
        <w:tc>
          <w:tcPr>
            <w:tcW w:type="dxa" w:w="5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Diễn tập thực tế; đánh giá kết quả năm; lập kế hoạch năm sau</w:t>
            </w:r>
          </w:p>
        </w:tc>
        <w:tc>
          <w:tcPr>
            <w:tcW w:type="dxa" w:w="2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An ninh mạng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 TỔ CHỨC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xây dựng nội dung chuyên môn, kịch bản diễn tập; chủ trì diễn tập; tổng hợp kết quả vào báo cáo năm.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tổ chức lớp học, theo dõi chuyên cần, lưu hồ sơ đào tạo, đưa kết quả vào đánh giá nhân sự.</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nội dung đào tạo về BVDLCN.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cử người tham gia tập huấn, diễn tập; chuẩn bị môi trường diễn tập.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val="false"/>
          <w:bCs w:val="false"/>
          <w:i w:val="false"/>
          <w:iCs w:val="false"/>
          <w:sz w:val="26"/>
          <w:szCs w:val="26"/>
          <w:highlight w:val="yellow"/>
        </w:rPr>
        <w:t xml:space="preserve">Phòng Tài chính – Kế toán</w:t>
      </w:r>
      <w:r>
        <w:rPr>
          <w:rFonts w:ascii="Times New Roman" w:cs="Times New Roman" w:eastAsia="Times New Roman" w:hAnsi="Times New Roman"/>
          <w:b w:val="false"/>
          <w:bCs w:val="false"/>
          <w:i w:val="false"/>
          <w:iCs w:val="false"/>
          <w:sz w:val="26"/>
          <w:szCs w:val="26"/>
        </w:rPr>
        <w:t xml:space="preserve">: bố trí kinh phí.</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VI. KIẾN NGHỊ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phê duyệt: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Kế hoạch đào tạo, tuyên truyền, diễn tập ANM năm </w:t>
      </w:r>
      <w:r>
        <w:rPr>
          <w:rFonts w:ascii="Times New Roman" w:cs="Times New Roman" w:eastAsia="Times New Roman" w:hAnsi="Times New Roman"/>
          <w:b w:val="false"/>
          <w:bCs w:val="false"/>
          <w:i w:val="false"/>
          <w:iCs w:val="false"/>
          <w:sz w:val="26"/>
          <w:szCs w:val="26"/>
          <w:highlight w:val="yellow"/>
        </w:rPr>
        <w:t xml:space="preserve">2027</w:t>
      </w:r>
      <w:r>
        <w:rPr>
          <w:rFonts w:ascii="Times New Roman" w:cs="Times New Roman" w:eastAsia="Times New Roman" w:hAnsi="Times New Roman"/>
          <w:b w:val="false"/>
          <w:bCs w:val="false"/>
          <w:i w:val="false"/>
          <w:iCs w:val="false"/>
          <w:sz w:val="26"/>
          <w:szCs w:val="26"/>
        </w:rPr>
        <w:t xml:space="preserve"> (dự thảo kèm theo).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Kinh phí </w:t>
      </w:r>
      <w:r>
        <w:rPr>
          <w:rFonts w:ascii="Times New Roman" w:cs="Times New Roman" w:eastAsia="Times New Roman" w:hAnsi="Times New Roman"/>
          <w:b w:val="false"/>
          <w:bCs w:val="false"/>
          <w:i w:val="false"/>
          <w:iCs w:val="false"/>
          <w:sz w:val="26"/>
          <w:szCs w:val="26"/>
          <w:highlight w:val="yellow"/>
        </w:rPr>
        <w:t xml:space="preserve">330.000.000 đồng</w:t>
      </w:r>
      <w:r>
        <w:rPr>
          <w:rFonts w:ascii="Times New Roman" w:cs="Times New Roman" w:eastAsia="Times New Roman" w:hAnsi="Times New Roman"/>
          <w:b w:val="false"/>
          <w:bCs w:val="false"/>
          <w:i w:val="false"/>
          <w:iCs w:val="false"/>
          <w:sz w:val="26"/>
          <w:szCs w:val="26"/>
        </w:rPr>
        <w:t xml:space="preserve"> từ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Giao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làm đầu mối tham gia diễn tập quốc gia, quốc tế khi Bộ Công an tổ chức.</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Hành chính – Nhân sự</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Tài chính – Kế toán</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PANM</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TRƯỞNG PHÒNG AN NINH MẠNG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Trần Thị Bình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025"/>
      </w:tblGrid>
      <w:tr>
        <w:trPr>
          <w:cantSplit/>
          <w:tblHeader/>
        </w:trPr>
        <w:tc>
          <w:tcPr>
            <w:tcW w:type="dxa" w:w="90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Ý KIẾN PHÊ DUYỆT CỦA LÃNH ĐẠO</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Đồng ý    ☐ Đồng ý, có điều chỉnh    ☐ Không đồng ý    ☐ Ý kiến khác</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Ý kiến cụ thể: ............................................................................................................</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    </w:t>
            </w:r>
            <w:r>
              <w:rPr>
                <w:rFonts w:ascii="Times New Roman" w:cs="Times New Roman" w:eastAsia="Times New Roman" w:hAnsi="Times New Roman"/>
                <w:b w:val="false"/>
                <w:bCs w:val="false"/>
                <w:i w:val="false"/>
                <w:iCs w:val="false"/>
                <w:sz w:val="24"/>
                <w:szCs w:val="24"/>
                <w:highlight w:val="yellow"/>
              </w:rPr>
              <w:t xml:space="preserve">Tổng Giám đốc Công 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(ký, ghi rõ họ tên)</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Tờ trình phê duyệt kế hoạch đào tạo, tuyên truyền và diễn tập an ninh mạng năm</dc:title>
  <dc:creator>vn-cyber-compliance</dc:creator>
  <cp:lastModifiedBy>Un-named</cp:lastModifiedBy>
  <cp:revision>1</cp:revision>
  <dcterms:created xsi:type="dcterms:W3CDTF">2026-09-28T04:07:54.020Z</dcterms:created>
  <dcterms:modified xsi:type="dcterms:W3CDTF">2026-09-28T04:07:54.020Z</dcterms:modified>
</cp:coreProperties>
</file>

<file path=docProps/custom.xml><?xml version="1.0" encoding="utf-8"?>
<Properties xmlns="http://schemas.openxmlformats.org/officeDocument/2006/custom-properties" xmlns:vt="http://schemas.openxmlformats.org/officeDocument/2006/docPropsVTypes"/>
</file>