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03/2026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15</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phê duyệt kinh phí đầu tư, thuê giải pháp kỹ thuật bảo đảm an ninh mạng theo cấp độ</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Tiêu chuẩn quốc gia TCVN 14423:2026 An ninh mạng – Hệ thống thông tin – Yêu cầu cơ bản;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 và </w:t>
      </w:r>
      <w:r>
        <w:rPr>
          <w:rFonts w:ascii="Times New Roman" w:cs="Times New Roman" w:eastAsia="Times New Roman" w:hAnsi="Times New Roman"/>
          <w:b w:val="false"/>
          <w:bCs w:val="false"/>
          <w:i/>
          <w:iCs/>
          <w:sz w:val="26"/>
          <w:szCs w:val="26"/>
          <w:highlight w:val="yellow"/>
        </w:rPr>
        <w:t xml:space="preserve">Quy chế tài chính của Công ty</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kết quả tự đánh giá mức độ đáp ứng yêu cầu an ninh mạng của hệ thống </w:t>
      </w:r>
      <w:r>
        <w:rPr>
          <w:rFonts w:ascii="Times New Roman" w:cs="Times New Roman" w:eastAsia="Times New Roman" w:hAnsi="Times New Roman"/>
          <w:b w:val="false"/>
          <w:bCs w:val="false"/>
          <w:i/>
          <w:iCs/>
          <w:sz w:val="26"/>
          <w:szCs w:val="26"/>
          <w:highlight w:val="yellow"/>
        </w:rPr>
        <w:t xml:space="preserve">Hệ thống quản lý khách hàng trực tuyến (CRM Online)</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20/09/2026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kinh phí đầu tư, thuê giải pháp kỹ thuật bảo đảm an ninh mạng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116 là Luật An ninh mạng; NĐ 330, NĐ 331, NĐ 333 là các Nghị định số 330/2026/NĐ-CP, 331/2026/NĐ-CP, 333/2026/NĐ-CP; ANM là an ninh mạng; HTTT là hệ thống thông tin; TCVN là TCVN 14423:2026. "Đ30.5.a" nghĩa là điểm a khoản 5 Điều 30.</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Phương án bảo đảm ANM theo cấp độ phải đáp ứng yêu cầu cơ bản của NĐ 331 và Tiêu chuẩn quốc gia về ANM – HTTT – Yêu cầu cơ bản (NĐ 331 Đ29.1, Đ30.1). Đây là yêu cầu tối thiểu, gồm yêu cầu về quản lý và về kỹ thuật, không bao gồm an ninh vật lý (NĐ 331 Đ30.2). Yêu cầu kỹ thuật gồm: an toàn mạng, an toàn máy chủ, an toàn ứng dụng, an toàn dữ liệu (NĐ 331 Đ30.4).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HTTT xây mới hoặc mở rộng, nâng cấp phải triển khai đầy đủ phương án đã phê duyệt </w:t>
      </w:r>
      <w:r>
        <w:rPr>
          <w:rFonts w:ascii="Times New Roman" w:cs="Times New Roman" w:eastAsia="Times New Roman" w:hAnsi="Times New Roman"/>
          <w:b/>
          <w:bCs/>
          <w:i w:val="false"/>
          <w:iCs w:val="false"/>
          <w:sz w:val="26"/>
          <w:szCs w:val="26"/>
        </w:rPr>
        <w:t xml:space="preserve">trước khi</w:t>
      </w:r>
      <w:r>
        <w:rPr>
          <w:rFonts w:ascii="Times New Roman" w:cs="Times New Roman" w:eastAsia="Times New Roman" w:hAnsi="Times New Roman"/>
          <w:b w:val="false"/>
          <w:bCs w:val="false"/>
          <w:i w:val="false"/>
          <w:iCs w:val="false"/>
          <w:sz w:val="26"/>
          <w:szCs w:val="26"/>
        </w:rPr>
        <w:t xml:space="preserve"> đưa vào vận hành (NĐ 331 Đ30.6).</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Với HTTT cấp 1, 2, 3, phương án phải xem xét khả năng </w:t>
      </w:r>
      <w:r>
        <w:rPr>
          <w:rFonts w:ascii="Times New Roman" w:cs="Times New Roman" w:eastAsia="Times New Roman" w:hAnsi="Times New Roman"/>
          <w:b/>
          <w:bCs/>
          <w:i w:val="false"/>
          <w:iCs w:val="false"/>
          <w:sz w:val="26"/>
          <w:szCs w:val="26"/>
        </w:rPr>
        <w:t xml:space="preserve">dùng chung giải pháp</w:t>
      </w:r>
      <w:r>
        <w:rPr>
          <w:rFonts w:ascii="Times New Roman" w:cs="Times New Roman" w:eastAsia="Times New Roman" w:hAnsi="Times New Roman"/>
          <w:b w:val="false"/>
          <w:bCs w:val="false"/>
          <w:i w:val="false"/>
          <w:iCs w:val="false"/>
          <w:sz w:val="26"/>
          <w:szCs w:val="26"/>
        </w:rPr>
        <w:t xml:space="preserve"> giữa các HTTT để tránh đầu tư thừa, trùng lặp (NĐ 331 Đ30.5.a; Đ6.2).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HTTT cấp 3, cấp 4 triển khai trên trung tâm dữ liệu hoặc điện toán đám mây thuê ngoài phải được thiết kế tách riêng về lô-gic với hệ thống khác; các vùng mạng tách riêng về lô-gic; phân vùng lưu trữ tách riêng về lô-gic (NĐ 331 Đ30.8).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đ) Chủ quản HTTT kết nối hệ thống giám sát ANM và hệ thống phòng chống mã độc tập trung về Trung tâm An ninh mạng quốc gia hoặc Trung tâm An ninh mạng của tỉnh, thành phố (Luật 116 Đ40.1.b; NĐ 333 Đ7.2).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e) Tổ chức ngoài khu vực nhà nước tự bảo đảm kinh phí bảo vệ ANM (Luật 116 Đ38.2).</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Hiện trạng (kết quả tự đánh giá HTTT </w:t>
      </w:r>
      <w:r>
        <w:rPr>
          <w:rFonts w:ascii="Times New Roman" w:cs="Times New Roman" w:eastAsia="Times New Roman" w:hAnsi="Times New Roman"/>
          <w:b/>
          <w:bCs/>
          <w:i w:val="false"/>
          <w:iCs w:val="false"/>
          <w:sz w:val="26"/>
          <w:szCs w:val="26"/>
          <w:highlight w:val="yellow"/>
        </w:rPr>
        <w:t xml:space="preserve">Hệ thống quản lý khách hàng trực tuyến (CRM Online)</w:t>
      </w:r>
      <w:r>
        <w:rPr>
          <w:rFonts w:ascii="Times New Roman" w:cs="Times New Roman" w:eastAsia="Times New Roman" w:hAnsi="Times New Roman"/>
          <w:b/>
          <w:bCs/>
          <w:i w:val="false"/>
          <w:iCs w:val="false"/>
          <w:sz w:val="26"/>
          <w:szCs w:val="26"/>
        </w:rPr>
        <w:t xml:space="preserve">, cấp độ </w:t>
      </w:r>
      <w:r>
        <w:rPr>
          <w:rFonts w:ascii="Times New Roman" w:cs="Times New Roman" w:eastAsia="Times New Roman" w:hAnsi="Times New Roman"/>
          <w:b/>
          <w:bCs/>
          <w:i w:val="false"/>
          <w:iCs w:val="false"/>
          <w:sz w:val="26"/>
          <w:szCs w:val="26"/>
          <w:highlight w:val="yellow"/>
        </w:rPr>
        <w:t xml:space="preserve">3</w:t>
      </w:r>
      <w:r>
        <w:rPr>
          <w:rFonts w:ascii="Times New Roman" w:cs="Times New Roman" w:eastAsia="Times New Roman" w:hAnsi="Times New Roman"/>
          <w:b/>
          <w:bCs/>
          <w:i w:val="false"/>
          <w:iCs w:val="false"/>
          <w:sz w:val="26"/>
          <w:szCs w:val="26"/>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117"/>
        <w:gridCol w:w="1410"/>
        <w:gridCol w:w="967"/>
        <w:gridCol w:w="1531"/>
      </w:tblGrid>
      <w:tr>
        <w:trPr>
          <w:cantSplit/>
          <w:tblHeader/>
        </w:trPr>
        <w:tc>
          <w:tcPr>
            <w:tcW w:type="dxa" w:w="511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Nhóm yêu cầu</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Mục TCVN (cấp 3)</w:t>
            </w:r>
          </w:p>
        </w:tc>
        <w:tc>
          <w:tcPr>
            <w:tcW w:type="dxa" w:w="96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Số mục phải đáp ứng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2"/>
                <w:szCs w:val="22"/>
              </w:rPr>
              <w:t xml:space="preserve">Số mục chưa đạt hoặc đạt một phần</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rủi ro</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11</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tài sản phần cứng, phần mềm</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5.2, 5.3</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22</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tài sản thông tin (phân loại, mã hóa)</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5.4</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18</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Cấu hình an toàn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5.5</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tài khoản, truy cập</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5.6</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Quản lý lỗ hổng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5.7</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ANM</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5.8</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Trình duyệt, thư điện tử; phòng chống mã độc</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5.9, 5.10</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13</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Sao lưu, khôi phục</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5.11</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8</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Hạ tầng mạng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5.12</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34</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Giám sát, phòng thủ ANM</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5.13</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7</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Nhân sự; nhà cung cấp</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5.14, 5.15</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Ứng phó sự cố</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5.16</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11</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Phát triển ứng dụng an toàn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5.17</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9</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tra ANM (kiểm thử xâm nhập)</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5.18</w:t>
            </w: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5</w:t>
            </w:r>
          </w:p>
        </w:tc>
      </w:tr>
      <w:tr>
        <w:trPr>
          <w:cantSplit/>
          <w:tblHeader w:val="false"/>
        </w:trPr>
        <w:tc>
          <w:tcPr>
            <w:tcW w:type="dxa" w:w="511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96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195</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89</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Các mục chưa đạt thuộc nhóm quản lý (quy chế, quy trình, nhân sự) được xử lý bằng Quy chế bảo đảm ANM và kế hoạch đào tạo. Tờ trình này chỉ đề xuất các hạng mục cần kinh phí giải pháp kỹ thuật.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Rủi ro nếu không thực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016"/>
        <w:gridCol w:w="2224"/>
        <w:gridCol w:w="1785"/>
      </w:tblGrid>
      <w:tr>
        <w:trPr>
          <w:cantSplit/>
          <w:tblHeader/>
        </w:trPr>
        <w:tc>
          <w:tcPr>
            <w:tcW w:type="dxa" w:w="50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Hành vi</w:t>
            </w:r>
          </w:p>
        </w:tc>
        <w:tc>
          <w:tcPr>
            <w:tcW w:type="dxa" w:w="222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17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Mức phạt tổ chức (đồng)</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triển khai đầy đủ biện pháp bảo đảm ANM như hồ sơ đã được phê duyệt (cấp 3 đến cấp 5)</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Đ23.1.d</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Đưa HTTT cấp 3 đến cấp 5 vào vận hành khi chưa được phê duyệt cấp độ</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Đ23.1.c</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40–60 triệu</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kiểm tra, giám sát tuân thủ, lưu trữ nhật ký hệ thống hoặc không đánh giá hiệu quả biện pháp</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Đ23.2.a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60–100 triệu</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Không có biện pháp quản lý, phòng ngừa, phát hiện, ngăn chặn phát tán phần mềm độc hại</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Đ22.1.a</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30–60 triệu</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sử dụng điện toán đám mây không mã hóa dữ liệu cá nhân khi lưu trữ và khi truyền; không phân quyền truy cập nghiêm ngặt</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Đ69.2.b–c</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50–70 triệu</w:t>
            </w:r>
          </w:p>
        </w:tc>
      </w:tr>
      <w:tr>
        <w:trPr>
          <w:cantSplit/>
          <w:tblHeader w:val="false"/>
        </w:trPr>
        <w:tc>
          <w:tcPr>
            <w:tcW w:type="dxa" w:w="50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Hợp đồng điện toán đám mây không xác định rõ luồng xử lý dữ liệu cá nhân, vai trò, trách nhiệm, yêu cầu bảo mật</w:t>
            </w:r>
          </w:p>
        </w:tc>
        <w:tc>
          <w:tcPr>
            <w:tcW w:type="dxa" w:w="222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Đ69.1.b</w:t>
            </w:r>
          </w:p>
        </w:tc>
        <w:tc>
          <w:tcPr>
            <w:tcW w:type="dxa" w:w="17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20–50 triệu</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Mức phạt ANM trong NĐ 330 là mức cho cá nhân, tổ chức bị phạt gấp hai lần. Mức phạt dữ liệu cá nhân là mức cho tổ chức (NĐ 330 Đ7.1). Bảng trên đã quy đổi ra mức cho tổ chức. Ngoài tiền phạt, tổ chức có thể bị buộc khắc phục tình trạng mất ANM, loại bỏ yếu tố vi phạm (NĐ 330 Đ22.4, Đ23.4).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Nguyên tắc lựa chọn giải pháp</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Ưu tiên các yêu cầu bắt buộc của cấp độ đang đề xuất hoặc đã được phê duyệt; phân bổ nguồn lực theo thứ tự từ HTTT cấp độ cao xuống cấp độ thấp (NĐ 331 Đ6.3).</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Dùng chung giải pháp cho nhiều HTTT khi phù hợp (NĐ 331 Đ30.5.a).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So sánh phương án đầu tư với phương án thuê dịch vụ theo tổng chi phí trong </w:t>
      </w:r>
      <w:r>
        <w:rPr>
          <w:rFonts w:ascii="Times New Roman" w:cs="Times New Roman" w:eastAsia="Times New Roman" w:hAnsi="Times New Roman"/>
          <w:b w:val="false"/>
          <w:bCs w:val="false"/>
          <w:i w:val="false"/>
          <w:iCs w:val="false"/>
          <w:sz w:val="26"/>
          <w:szCs w:val="26"/>
          <w:highlight w:val="yellow"/>
        </w:rPr>
        <w:t xml:space="preserve">03</w:t>
      </w:r>
      <w:r>
        <w:rPr>
          <w:rFonts w:ascii="Times New Roman" w:cs="Times New Roman" w:eastAsia="Times New Roman" w:hAnsi="Times New Roman"/>
          <w:b w:val="false"/>
          <w:bCs w:val="false"/>
          <w:i w:val="false"/>
          <w:iCs w:val="false"/>
          <w:sz w:val="26"/>
          <w:szCs w:val="26"/>
        </w:rPr>
        <w:t xml:space="preserve"> năm.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Nhà cung cấp dịch vụ ANM phải có giấy phép kinh doanh sản phẩm, dịch vụ ANM (Luật 116 Đ29.1).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Danh mục hạng mục đề xuất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2231"/>
        <w:gridCol w:w="1573"/>
        <w:gridCol w:w="1300"/>
        <w:gridCol w:w="1630"/>
        <w:gridCol w:w="1661"/>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22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Hạng mục giải pháp</w:t>
            </w:r>
          </w:p>
        </w:tc>
        <w:tc>
          <w:tcPr>
            <w:tcW w:type="dxa" w:w="15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Căn cứ</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Ưu tiên</w:t>
            </w:r>
          </w:p>
        </w:tc>
        <w:tc>
          <w:tcPr>
            <w:tcW w:type="dxa" w:w="1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Chi phí dự kiến (đồng)</w:t>
            </w:r>
          </w:p>
        </w:tc>
        <w:tc>
          <w:tcPr>
            <w:tcW w:type="dxa" w:w="16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after="0" w:before="0" w:line="240" w:lineRule="auto"/>
              <w:jc w:val="center"/>
            </w:pPr>
            <w:r>
              <w:rPr>
                <w:rFonts w:ascii="Times New Roman" w:cs="Times New Roman" w:eastAsia="Times New Roman" w:hAnsi="Times New Roman"/>
                <w:b/>
                <w:bCs/>
                <w:i w:val="false"/>
                <w:iCs w:val="false"/>
                <w:sz w:val="20"/>
                <w:szCs w:val="20"/>
              </w:rPr>
              <w:t xml:space="preserve">Tiến độ</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Thu thập, lưu trữ tập trung nhật ký và tương quan sự kiện (SIEM)</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5.8, 5.13; NĐ 331 Đ30.4</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450.000.000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Phát hiện, phản ứng trên máy chủ và máy trạm (EDR)</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5.10</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280.000.000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Bảo vệ ứng dụng web, cơ sở dữ liệu; chống tấn công từ chối dịch vụ</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5.12</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320.000.000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Quản lý tài khoản tập trung, xác thực đa yếu tố cho quản trị viên</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5.6</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180.000.000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Rà quét lỗ hổng, quản lý bản vá tập trung</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Trung bình</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120.000.000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31/03/2027</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Sao lưu tự động, tập trung, có bản sao tách biệt</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5.11</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200.000.000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Mã hóa dữ liệu quan trọng khi lưu trữ và khi truyền</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5.4; NĐ 330 Đ69.2.b</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Trung bình</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90.000.000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31/03/2027</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Phân vùng mạng, kiểm soát truy cập mạng</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5.12; NĐ 331 Đ30.8</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Cao</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150.000.000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31/12/2026</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Kiểm tra an toàn mã nguồn, thư viện trước khi đưa vào vận hành</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TCVN 5.17</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Trung bình</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110.000.000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31/03/2027</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Kết nối giám sát với Trung tâm An ninh mạng theo hướng dẫn</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Luật 116 Đ40.1.b</w:t>
            </w: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Thấp</w:t>
            </w: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Khi có hướng dẫn</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22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rPr>
              <w:t xml:space="preserve">Tổng cộng</w:t>
            </w:r>
          </w:p>
        </w:tc>
        <w:tc>
          <w:tcPr>
            <w:tcW w:type="dxa" w:w="15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3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1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0"/>
                <w:szCs w:val="20"/>
                <w:highlight w:val="yellow"/>
              </w:rPr>
              <w:t xml:space="preserve">1.930.000.000</w:t>
            </w:r>
          </w:p>
        </w:tc>
        <w:tc>
          <w:tcPr>
            <w:tcW w:type="dxa" w:w="16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Phương án dùng chung giải pháp:</w:t>
      </w:r>
      <w:r>
        <w:rPr>
          <w:rFonts w:ascii="Times New Roman" w:cs="Times New Roman" w:eastAsia="Times New Roman" w:hAnsi="Times New Roman"/>
          <w:b w:val="false"/>
          <w:bCs w:val="false"/>
          <w:i w:val="false"/>
          <w:iCs w:val="false"/>
          <w:sz w:val="26"/>
          <w:szCs w:val="26"/>
        </w:rPr>
        <w:t xml:space="preserve"> các hạng mục </w:t>
      </w:r>
      <w:r>
        <w:rPr>
          <w:rFonts w:ascii="Times New Roman" w:cs="Times New Roman" w:eastAsia="Times New Roman" w:hAnsi="Times New Roman"/>
          <w:b w:val="false"/>
          <w:bCs w:val="false"/>
          <w:i w:val="false"/>
          <w:iCs w:val="false"/>
          <w:sz w:val="26"/>
          <w:szCs w:val="26"/>
          <w:highlight w:val="yellow"/>
        </w:rPr>
        <w:t xml:space="preserve">SIEM, EDR, sao lưu tập trung</w:t>
      </w:r>
      <w:r>
        <w:rPr>
          <w:rFonts w:ascii="Times New Roman" w:cs="Times New Roman" w:eastAsia="Times New Roman" w:hAnsi="Times New Roman"/>
          <w:b w:val="false"/>
          <w:bCs w:val="false"/>
          <w:i w:val="false"/>
          <w:iCs w:val="false"/>
          <w:sz w:val="26"/>
          <w:szCs w:val="26"/>
        </w:rPr>
        <w:t xml:space="preserve"> được triển khai một lần, dùng chung cho </w:t>
      </w:r>
      <w:r>
        <w:rPr>
          <w:rFonts w:ascii="Times New Roman" w:cs="Times New Roman" w:eastAsia="Times New Roman" w:hAnsi="Times New Roman"/>
          <w:b w:val="false"/>
          <w:bCs w:val="false"/>
          <w:i w:val="false"/>
          <w:iCs w:val="false"/>
          <w:sz w:val="26"/>
          <w:szCs w:val="26"/>
          <w:highlight w:val="yellow"/>
        </w:rPr>
        <w:t xml:space="preserve">CRM Online và Cổng thông tin nội bộ (Intranet)</w:t>
      </w:r>
      <w:r>
        <w:rPr>
          <w:rFonts w:ascii="Times New Roman" w:cs="Times New Roman" w:eastAsia="Times New Roman" w:hAnsi="Times New Roman"/>
          <w:b w:val="false"/>
          <w:bCs w:val="false"/>
          <w:i w:val="false"/>
          <w:iCs w:val="false"/>
          <w:sz w:val="26"/>
          <w:szCs w:val="26"/>
        </w:rPr>
        <w:t xml:space="preserve">. Chi phí được phân bổ theo </w:t>
      </w:r>
      <w:r>
        <w:rPr>
          <w:rFonts w:ascii="Times New Roman" w:cs="Times New Roman" w:eastAsia="Times New Roman" w:hAnsi="Times New Roman"/>
          <w:b w:val="false"/>
          <w:bCs w:val="false"/>
          <w:i w:val="false"/>
          <w:iCs w:val="false"/>
          <w:sz w:val="26"/>
          <w:szCs w:val="26"/>
          <w:highlight w:val="yellow"/>
        </w:rPr>
        <w:t xml:space="preserve">theo số máy chủ của từng hệ thống</w:t>
      </w:r>
      <w:r>
        <w:rPr>
          <w:rFonts w:ascii="Times New Roman" w:cs="Times New Roman" w:eastAsia="Times New Roman" w:hAnsi="Times New Roman"/>
          <w:b w:val="false"/>
          <w:bCs w:val="false"/>
          <w:i w:val="false"/>
          <w:iCs w:val="false"/>
          <w:sz w:val="26"/>
          <w:szCs w:val="26"/>
        </w:rPr>
        <w:t xml:space="preserve">. Phương án này đáp ứng nguyên tắc tại NĐ 331 Đ30.5.a.</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Yêu cầu khi thuê trung tâm dữ liệu hoặc điện toán đám mây (nếu có):</w:t>
      </w:r>
      <w:r>
        <w:rPr>
          <w:rFonts w:ascii="Times New Roman" w:cs="Times New Roman" w:eastAsia="Times New Roman" w:hAnsi="Times New Roman"/>
          <w:b w:val="false"/>
          <w:bCs w:val="false"/>
          <w:i w:val="false"/>
          <w:iCs w:val="false"/>
          <w:sz w:val="26"/>
          <w:szCs w:val="26"/>
        </w:rPr>
        <w:t xml:space="preserve"> hợp đồng với </w:t>
      </w:r>
      <w:r>
        <w:rPr>
          <w:rFonts w:ascii="Times New Roman" w:cs="Times New Roman" w:eastAsia="Times New Roman" w:hAnsi="Times New Roman"/>
          <w:b w:val="false"/>
          <w:bCs w:val="false"/>
          <w:i w:val="false"/>
          <w:iCs w:val="false"/>
          <w:sz w:val="26"/>
          <w:szCs w:val="26"/>
          <w:highlight w:val="yellow"/>
        </w:rPr>
        <w:t xml:space="preserve">Công ty TNHH Dữ liệu Mẫu</w:t>
      </w:r>
      <w:r>
        <w:rPr>
          <w:rFonts w:ascii="Times New Roman" w:cs="Times New Roman" w:eastAsia="Times New Roman" w:hAnsi="Times New Roman"/>
          <w:b w:val="false"/>
          <w:bCs w:val="false"/>
          <w:i w:val="false"/>
          <w:iCs w:val="false"/>
          <w:sz w:val="26"/>
          <w:szCs w:val="26"/>
        </w:rPr>
        <w:t xml:space="preserve"> phải bảo đảm:</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Hệ thống </w:t>
      </w:r>
      <w:r>
        <w:rPr>
          <w:rFonts w:ascii="Times New Roman" w:cs="Times New Roman" w:eastAsia="Times New Roman" w:hAnsi="Times New Roman"/>
          <w:b w:val="false"/>
          <w:bCs w:val="false"/>
          <w:i w:val="false"/>
          <w:iCs w:val="false"/>
          <w:sz w:val="26"/>
          <w:szCs w:val="26"/>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6"/>
          <w:szCs w:val="26"/>
        </w:rPr>
        <w:t xml:space="preserve"> tách riêng về lô-gic với hệ thống khác, có biện pháp quản lý truy cập giữa các hệ thống; các vùng mạng tách riêng về lô-gic; phân vùng lưu trữ tách riêng về lô-gic (NĐ 331 Đ30.8).</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Quy định rõ trách nhiệm, thẩm quyền của các bên trong quản trị dữ liệu, kiểm soát truy cập, bảo đảm ANM (NĐ 331 Đ5.3.a).</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Xác định luồng xử lý dữ liệu cá nhân, vai trò, trách nhiệm và yêu cầu bảo mật; mã hóa dữ liệu cá nhân khi lưu trữ và khi truyền (NĐ 330 Đ69.1.b, Đ69.2.b).</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Vị trí lưu trữ dữ liệu phù hợp nghĩa vụ lưu trữ dữ liệu tại Việt Nam, nếu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thuộc diện áp dụng.</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5. Hình thức thực hiện:</w:t>
      </w:r>
      <w:r>
        <w:rPr>
          <w:rFonts w:ascii="Times New Roman" w:cs="Times New Roman" w:eastAsia="Times New Roman" w:hAnsi="Times New Roman"/>
          <w:b w:val="false"/>
          <w:bCs w:val="false"/>
          <w:i w:val="false"/>
          <w:iCs w:val="false"/>
          <w:sz w:val="26"/>
          <w:szCs w:val="26"/>
        </w:rPr>
        <w:t xml:space="preserve"> mua sắm hoặc thuê dịch vụ theo </w:t>
      </w:r>
      <w:r>
        <w:rPr>
          <w:rFonts w:ascii="Times New Roman" w:cs="Times New Roman" w:eastAsia="Times New Roman" w:hAnsi="Times New Roman"/>
          <w:b w:val="false"/>
          <w:bCs w:val="false"/>
          <w:i w:val="false"/>
          <w:iCs w:val="false"/>
          <w:sz w:val="26"/>
          <w:szCs w:val="26"/>
          <w:highlight w:val="yellow"/>
        </w:rPr>
        <w:t xml:space="preserve">Quy chế tài chính của Công ty</w:t>
      </w:r>
      <w:r>
        <w:rPr>
          <w:rFonts w:ascii="Times New Roman" w:cs="Times New Roman" w:eastAsia="Times New Roman" w:hAnsi="Times New Roman"/>
          <w:b w:val="false"/>
          <w:bCs w:val="false"/>
          <w:i w:val="false"/>
          <w:iCs w:val="false"/>
          <w:sz w:val="26"/>
          <w:szCs w:val="26"/>
        </w:rPr>
        <w:t xml:space="preserve">. Hạng mục thuê dịch vụ giám sát ANM được lựa chọn cùng quy trình quản lý nhà cung cấp.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377"/>
        <w:gridCol w:w="1773"/>
        <w:gridCol w:w="1531"/>
        <w:gridCol w:w="67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3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Nhóm chi phí</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Đầu tư ban đầu (đồng)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Chi phí hằng năm (đồng)</w:t>
            </w:r>
          </w:p>
        </w:tc>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 quyền phần mềm, thiết bị</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1.250.000.000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380.000.000</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Thuê dịch vụ (cloud, giám sát ANM)</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360.000.000</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Triển khai, tích hợp, đào tạo sử dụng</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230.000.000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40.000.000</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Dự phòng</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20.000.000</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3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1.930.000.000</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800.000.000</w:t>
            </w:r>
          </w:p>
        </w:tc>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3592"/>
        <w:gridCol w:w="1410"/>
        <w:gridCol w:w="3351"/>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Đợt</w:t>
            </w:r>
          </w:p>
        </w:tc>
        <w:tc>
          <w:tcPr>
            <w:tcW w:type="dxa" w:w="35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Hạng mục</w:t>
            </w:r>
          </w:p>
        </w:tc>
        <w:tc>
          <w:tcPr>
            <w:tcW w:type="dxa" w:w="14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 hoàn thành</w:t>
            </w:r>
          </w:p>
        </w:tc>
        <w:tc>
          <w:tcPr>
            <w:tcW w:type="dxa" w:w="335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Mốc liên quan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Hạng mục ưu tiên cao: </w:t>
            </w:r>
            <w:r>
              <w:rPr>
                <w:rFonts w:ascii="Times New Roman" w:cs="Times New Roman" w:eastAsia="Times New Roman" w:hAnsi="Times New Roman"/>
                <w:b w:val="false"/>
                <w:bCs w:val="false"/>
                <w:i w:val="false"/>
                <w:iCs w:val="false"/>
                <w:sz w:val="22"/>
                <w:szCs w:val="22"/>
                <w:highlight w:val="yellow"/>
              </w:rPr>
              <w:t xml:space="preserve">SIEM, EDR, WAF và chống DDoS, MFA cho quản trị viên, sao lưu tập trung, phân vùng mạng</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31/12/2026</w:t>
            </w:r>
          </w:p>
        </w:tc>
        <w:tc>
          <w:tcPr>
            <w:tcW w:type="dxa" w:w="33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đưa HTTT xây mới, nâng cấp vào vận hành (NĐ 331 Đ30.6)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Rà quét lỗ hổng và quản lý bản vá, mã hóa dữ liệu, kiểm tra an toàn mã nguồn</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31/03/2027</w:t>
            </w:r>
          </w:p>
        </w:tc>
        <w:tc>
          <w:tcPr>
            <w:tcW w:type="dxa" w:w="33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Mốc chuyển tiếp 12 tháng, nếu HTTT thuộc diện áp dụng (Luật 116 Đ45.1; NĐ 331 Đ39.1)</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Kết nối giám sát với Trung tâm An ninh mạng; mở rộng giải pháp dùng chung cho Intranet</w:t>
            </w:r>
          </w:p>
        </w:tc>
        <w:tc>
          <w:tcPr>
            <w:tcW w:type="dxa" w:w="14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30/06/2027</w:t>
            </w:r>
          </w:p>
        </w:tc>
        <w:tc>
          <w:tcPr>
            <w:tcW w:type="dxa" w:w="335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lộ trình trong phương án đã phê duyệt</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xây dựng yêu cầu kỹ thuật; đánh giá hồ sơ nhà cung cấp; nghiệm thu về ANM; cập nhật kết quả vào checklist tự đánh giá.</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triển khai, tích hợp, vận hành giải pháp.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tổ chức lựa chọn nhà cung cấp theo quy chế mua sắm.</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rà soát hợp đồng, bảo đảm các điều khoản tại Mục II.4.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 theo tiến độ.</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Danh mục hạng mục giải pháp kỹ thuật và thứ tự ưu tiên tại Mục II.2.</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Tổng kinh phí đầu tư ban đầu </w:t>
      </w:r>
      <w:r>
        <w:rPr>
          <w:rFonts w:ascii="Times New Roman" w:cs="Times New Roman" w:eastAsia="Times New Roman" w:hAnsi="Times New Roman"/>
          <w:b w:val="false"/>
          <w:bCs w:val="false"/>
          <w:i w:val="false"/>
          <w:iCs w:val="false"/>
          <w:sz w:val="26"/>
          <w:szCs w:val="26"/>
          <w:highlight w:val="yellow"/>
        </w:rPr>
        <w:t xml:space="preserve">1.930.000.000 đồng</w:t>
      </w:r>
      <w:r>
        <w:rPr>
          <w:rFonts w:ascii="Times New Roman" w:cs="Times New Roman" w:eastAsia="Times New Roman" w:hAnsi="Times New Roman"/>
          <w:b w:val="false"/>
          <w:bCs w:val="false"/>
          <w:i w:val="false"/>
          <w:iCs w:val="false"/>
          <w:sz w:val="26"/>
          <w:szCs w:val="26"/>
        </w:rPr>
        <w:t xml:space="preserve">; chi phí hằng năm </w:t>
      </w:r>
      <w:r>
        <w:rPr>
          <w:rFonts w:ascii="Times New Roman" w:cs="Times New Roman" w:eastAsia="Times New Roman" w:hAnsi="Times New Roman"/>
          <w:b w:val="false"/>
          <w:bCs w:val="false"/>
          <w:i w:val="false"/>
          <w:iCs w:val="false"/>
          <w:sz w:val="26"/>
          <w:szCs w:val="26"/>
          <w:highlight w:val="yellow"/>
        </w:rPr>
        <w:t xml:space="preserve">800.000.000 đồng</w:t>
      </w:r>
      <w:r>
        <w:rPr>
          <w:rFonts w:ascii="Times New Roman" w:cs="Times New Roman" w:eastAsia="Times New Roman" w:hAnsi="Times New Roman"/>
          <w:b w:val="false"/>
          <w:bCs w:val="false"/>
          <w:i w:val="false"/>
          <w:iCs w:val="false"/>
          <w:sz w:val="26"/>
          <w:szCs w:val="26"/>
        </w:rPr>
        <w:t xml:space="preserve">; nguồn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Phương án dùng chung giải pháp tại Mục II.3 và yêu cầu hợp đồng tại Mục II.4.</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Giao </w:t>
      </w:r>
      <w:r>
        <w:rPr>
          <w:rFonts w:ascii="Times New Roman" w:cs="Times New Roman" w:eastAsia="Times New Roman" w:hAnsi="Times New Roman"/>
          <w:b w:val="false"/>
          <w:bCs w:val="false"/>
          <w:i w:val="false"/>
          <w:iCs w:val="false"/>
          <w:sz w:val="26"/>
          <w:szCs w:val="26"/>
          <w:highlight w:val="yellow"/>
        </w:rPr>
        <w:t xml:space="preserve">Phòng Hành chính – Nhân sự</w:t>
      </w:r>
      <w:r>
        <w:rPr>
          <w:rFonts w:ascii="Times New Roman" w:cs="Times New Roman" w:eastAsia="Times New Roman" w:hAnsi="Times New Roman"/>
          <w:b w:val="false"/>
          <w:bCs w:val="false"/>
          <w:i w:val="false"/>
          <w:iCs w:val="false"/>
          <w:sz w:val="26"/>
          <w:szCs w:val="26"/>
        </w:rPr>
        <w:t xml:space="preserve"> tổ chức lựa chọn nhà cung cấp;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báo cáo kết quả triển khai theo từng đợt.</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Tài chính – Kế toán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Hành chính – Nhân sự</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Trần Thị Bình</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toàn bộ    ☐ Đồng ý đợt 1, các đợt sau trình lại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phê duyệt kinh phí giải pháp kỹ thuật an ninh mạng</dc:title>
  <dc:creator>vn-cyber-compliance</dc:creator>
  <cp:lastModifiedBy>Un-named</cp:lastModifiedBy>
  <cp:revision>1</cp:revision>
  <dcterms:created xsi:type="dcterms:W3CDTF">2026-09-28T04:07:53.817Z</dcterms:created>
  <dcterms:modified xsi:type="dcterms:W3CDTF">2026-09-28T04:07:53.817Z</dcterms:modified>
</cp:coreProperties>
</file>

<file path=docProps/custom.xml><?xml version="1.0" encoding="utf-8"?>
<Properties xmlns="http://schemas.openxmlformats.org/officeDocument/2006/custom-properties" xmlns:vt="http://schemas.openxmlformats.org/officeDocument/2006/docPropsVTypes"/>
</file>