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Phòng Vận hành hệ thống</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05/2026</w:t>
            </w:r>
            <w:r>
              <w:rPr>
                <w:rFonts w:ascii="Times New Roman" w:cs="Times New Roman" w:eastAsia="Times New Roman" w:hAnsi="Times New Roman"/>
                <w:b w:val="false"/>
                <w:bCs w:val="false"/>
                <w:i w:val="false"/>
                <w:iCs w:val="false"/>
                <w:caps w:val="false"/>
                <w:sz w:val="26"/>
                <w:szCs w:val="26"/>
              </w:rPr>
              <w:t xml:space="preserve">/TTr-</w:t>
            </w:r>
            <w:r>
              <w:rPr>
                <w:rFonts w:ascii="Times New Roman" w:cs="Times New Roman" w:eastAsia="Times New Roman" w:hAnsi="Times New Roman"/>
                <w:b w:val="false"/>
                <w:bCs w:val="false"/>
                <w:i w:val="false"/>
                <w:iCs w:val="false"/>
                <w:caps w:val="false"/>
                <w:sz w:val="26"/>
                <w:szCs w:val="26"/>
                <w:highlight w:val="yellow"/>
              </w:rPr>
              <w:t xml:space="preserve">PVH</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25</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08</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TỜ TRÌNH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phê duyệt chủ trương triển khai chương trình tuân thủ pháp luật về an ninh mạng</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Tổng Giám đốc Công ty</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331/2026/NĐ-CP ngày 19 tháng 8 năm 2026 của Chính phủ về bảo vệ an ninh mạng đối với hệ thống thông tin;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330/2026/NĐ-CP ngày 19 tháng 8 năm 2026 của Chính phủ quy định xử phạt vi phạm hành chính trong lĩnh vực an ninh mạng và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kính trình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xem xét, phê duyệt chủ trương triển khai chương trình tuân thủ pháp luật về an ninh mạng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như sau:</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Viết tắt trong Tờ trình: Luật 116 là Luật An ninh mạng số 116/2025/QH15; NĐ 330, NĐ 331, NĐ 333 là các Nghị định số 330/2026/NĐ-CP, 331/2026/NĐ-CP, 333/2026/NĐ-CP; HTTT là hệ thống thông tin; ANM là an ninh mạng. Cách ghi "Đ31.1.a" nghĩa là điểm a khoản 1 Điều 31.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 SỰ CẦN THIẾT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Cơ sở pháp lý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Luật 116 có hiệu lực từ ngày 01/7/2026 (Luật 116 Đ44.1). Các Nghị định hướng dẫn và xử phạt có hiệu lực từ ngày 19/8/2026 (NĐ 331 Đ38; NĐ 330 Đ80). Nhiệm vụ bảo vệ ANM đối với HTTT gồm: xác định cấp độ; đánh giá, quản lý rủi ro; đôn đốc, giám sát, kiểm tra; triển khai biện pháp bảo vệ; báo cáo; tuyên truyền, nâng cao nhận thức (Luật 116 Đ10.1).</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NĐ 331 áp dụng đối với HTTT phục vụ hoạt động của cơ quan, tổ chức nhà nước và HTTT cung cấp dịch vụ trực tuyến phục vụ người dân, doanh nghiệp; các tổ chức khác được khuyến khích áp dụng (NĐ 331 Đ2).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đang vận hành </w:t>
      </w:r>
      <w:r>
        <w:rPr>
          <w:rFonts w:ascii="Times New Roman" w:cs="Times New Roman" w:eastAsia="Times New Roman" w:hAnsi="Times New Roman"/>
          <w:b w:val="false"/>
          <w:bCs w:val="false"/>
          <w:i w:val="false"/>
          <w:iCs w:val="false"/>
          <w:sz w:val="26"/>
          <w:szCs w:val="26"/>
          <w:highlight w:val="yellow"/>
        </w:rPr>
        <w:t xml:space="preserve">02</w:t>
      </w:r>
      <w:r>
        <w:rPr>
          <w:rFonts w:ascii="Times New Roman" w:cs="Times New Roman" w:eastAsia="Times New Roman" w:hAnsi="Times New Roman"/>
          <w:b w:val="false"/>
          <w:bCs w:val="false"/>
          <w:i w:val="false"/>
          <w:iCs w:val="false"/>
          <w:sz w:val="26"/>
          <w:szCs w:val="26"/>
        </w:rPr>
        <w:t xml:space="preserve"> HTTT, trong đó có HTTT cung cấp dịch vụ trực tuyến là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 nên thuộc đối tượng áp dụng.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Các nghĩa vụ chính của chủ quản HTTT: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15"/>
        <w:gridCol w:w="5415"/>
        <w:gridCol w:w="2895"/>
      </w:tblGrid>
      <w:tr>
        <w:trPr>
          <w:cantSplit/>
          <w:tblHeader/>
        </w:trPr>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STT</w:t>
            </w:r>
          </w:p>
        </w:tc>
        <w:tc>
          <w:tcPr>
            <w:tcW w:type="dxa" w:w="54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Nghĩa vụ</w:t>
            </w:r>
          </w:p>
        </w:tc>
        <w:tc>
          <w:tcPr>
            <w:tcW w:type="dxa" w:w="289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w:t>
            </w:r>
          </w:p>
        </w:tc>
        <w:tc>
          <w:tcPr>
            <w:tcW w:type="dxa" w:w="54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đứng đầu trực tiếp chỉ đạo và chịu trách nhiệm trước pháp luật về công tác bảo vệ ANM của tổ chức</w:t>
            </w:r>
          </w:p>
        </w:tc>
        <w:tc>
          <w:tcPr>
            <w:tcW w:type="dxa" w:w="28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Đ31.1.a</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2</w:t>
            </w:r>
          </w:p>
        </w:tc>
        <w:tc>
          <w:tcPr>
            <w:tcW w:type="dxa" w:w="54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Bố trí bộ phận hoặc nhân sự chuyên trách ANM phù hợp với cấp độ của hệ thống</w:t>
            </w:r>
          </w:p>
        </w:tc>
        <w:tc>
          <w:tcPr>
            <w:tcW w:type="dxa" w:w="28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Đ31.1.b–c</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3</w:t>
            </w:r>
          </w:p>
        </w:tc>
        <w:tc>
          <w:tcPr>
            <w:tcW w:type="dxa" w:w="54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Chỉ đạo lập hồ sơ đề xuất cấp độ; tổ chức thẩm định, phê duyệt</w:t>
            </w:r>
          </w:p>
        </w:tc>
        <w:tc>
          <w:tcPr>
            <w:tcW w:type="dxa" w:w="28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Đ31.2.a; Đ18, Đ20</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4</w:t>
            </w:r>
          </w:p>
        </w:tc>
        <w:tc>
          <w:tcPr>
            <w:tcW w:type="dxa" w:w="54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Ban hành Quy chế bảo đảm ANM </w:t>
            </w:r>
            <w:r>
              <w:rPr>
                <w:rFonts w:ascii="Times New Roman" w:cs="Times New Roman" w:eastAsia="Times New Roman" w:hAnsi="Times New Roman"/>
                <w:b/>
                <w:bCs/>
                <w:i w:val="false"/>
                <w:iCs w:val="false"/>
                <w:sz w:val="24"/>
                <w:szCs w:val="24"/>
              </w:rPr>
              <w:t xml:space="preserve">trước khi</w:t>
            </w:r>
            <w:r>
              <w:rPr>
                <w:rFonts w:ascii="Times New Roman" w:cs="Times New Roman" w:eastAsia="Times New Roman" w:hAnsi="Times New Roman"/>
                <w:b w:val="false"/>
                <w:bCs w:val="false"/>
                <w:i w:val="false"/>
                <w:iCs w:val="false"/>
                <w:sz w:val="24"/>
                <w:szCs w:val="24"/>
              </w:rPr>
              <w:t xml:space="preserve"> hồ sơ đề xuất cấp độ được phê duyệt</w:t>
            </w:r>
          </w:p>
        </w:tc>
        <w:tc>
          <w:tcPr>
            <w:tcW w:type="dxa" w:w="28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Đ30.7</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5</w:t>
            </w:r>
          </w:p>
        </w:tc>
        <w:tc>
          <w:tcPr>
            <w:tcW w:type="dxa" w:w="54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Triển khai đầy đủ phương án bảo đảm ANM đã phê duyệt trước khi đưa HTTT xây mới, nâng cấp vào vận hành</w:t>
            </w:r>
          </w:p>
        </w:tc>
        <w:tc>
          <w:tcPr>
            <w:tcW w:type="dxa" w:w="28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Đ30.6</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6</w:t>
            </w:r>
          </w:p>
        </w:tc>
        <w:tc>
          <w:tcPr>
            <w:tcW w:type="dxa" w:w="54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 chức kiểm tra, đánh giá ANM và quản lý rủi ro; chịu trách nhiệm về tính trung thực của kết quả</w:t>
            </w:r>
          </w:p>
        </w:tc>
        <w:tc>
          <w:tcPr>
            <w:tcW w:type="dxa" w:w="28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Đ31.2.c</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7</w:t>
            </w:r>
          </w:p>
        </w:tc>
        <w:tc>
          <w:tcPr>
            <w:tcW w:type="dxa" w:w="54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Báo cáo sự cố: thông báo ban đầu sự cố nghiêm trọng trong 24 giờ; báo cáo trong 72 giờ</w:t>
            </w:r>
          </w:p>
        </w:tc>
        <w:tc>
          <w:tcPr>
            <w:tcW w:type="dxa" w:w="28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Đ31.2.d</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8</w:t>
            </w:r>
          </w:p>
        </w:tc>
        <w:tc>
          <w:tcPr>
            <w:tcW w:type="dxa" w:w="54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Đào tạo, tuyên truyền, diễn tập ANM (NĐ 331 Đ31.3 nêu đối tượng là "cán bộ, công chức, viên chức"; doanh nghiệp áp dụng tương ứng cho người lao động </w:t>
            </w:r>
            <w:r>
              <w:rPr>
                <w:rFonts w:ascii="Times New Roman" w:cs="Times New Roman" w:eastAsia="Times New Roman" w:hAnsi="Times New Roman"/>
                <w:b/>
                <w:bCs/>
                <w:i w:val="false"/>
                <w:iCs w:val="false"/>
                <w:sz w:val="24"/>
                <w:szCs w:val="24"/>
              </w:rPr>
              <w:t xml:space="preserve">[CẦN ĐỐI CHIẾU]</w:t>
            </w:r>
            <w:r>
              <w:rPr>
                <w:rFonts w:ascii="Times New Roman" w:cs="Times New Roman" w:eastAsia="Times New Roman" w:hAnsi="Times New Roman"/>
                <w:b w:val="false"/>
                <w:bCs w:val="false"/>
                <w:i w:val="false"/>
                <w:iCs w:val="false"/>
                <w:sz w:val="24"/>
                <w:szCs w:val="24"/>
              </w:rPr>
              <w:t xml:space="preserve">); phổ biến kiến thức ANM cho người lao động</w:t>
            </w:r>
          </w:p>
        </w:tc>
        <w:tc>
          <w:tcPr>
            <w:tcW w:type="dxa" w:w="28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Đ31.3; Luật 116 Đ35.2</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9</w:t>
            </w:r>
          </w:p>
        </w:tc>
        <w:tc>
          <w:tcPr>
            <w:tcW w:type="dxa" w:w="54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Báo cáo định kỳ hằng năm: nội bộ trước 20/12, gửi Bộ Công an trước 25/12</w:t>
            </w:r>
          </w:p>
        </w:tc>
        <w:tc>
          <w:tcPr>
            <w:tcW w:type="dxa" w:w="28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Đ35.4</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10</w:t>
            </w:r>
          </w:p>
        </w:tc>
        <w:tc>
          <w:tcPr>
            <w:tcW w:type="dxa" w:w="54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Tự bảo đảm kinh phí bảo vệ ANM (tổ chức ngoài khu vực nhà nước)</w:t>
            </w:r>
          </w:p>
        </w:tc>
        <w:tc>
          <w:tcPr>
            <w:tcW w:type="dxa" w:w="28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116 Đ38.2</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Các mốc thời gian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674"/>
        <w:gridCol w:w="2637"/>
        <w:gridCol w:w="1492"/>
        <w:gridCol w:w="3222"/>
      </w:tblGrid>
      <w:tr>
        <w:trPr>
          <w:cantSplit/>
          <w:tblHeader/>
        </w:trPr>
        <w:tc>
          <w:tcPr>
            <w:tcW w:type="dxa" w:w="167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Mốc</w:t>
            </w:r>
          </w:p>
        </w:tc>
        <w:tc>
          <w:tcPr>
            <w:tcW w:type="dxa" w:w="26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c>
          <w:tcPr>
            <w:tcW w:type="dxa" w:w="14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c>
          <w:tcPr>
            <w:tcW w:type="dxa" w:w="322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Áp dụng với </w:t>
            </w:r>
            <w:r>
              <w:rPr>
                <w:rFonts w:ascii="Times New Roman" w:cs="Times New Roman" w:eastAsia="Times New Roman" w:hAnsi="Times New Roman"/>
                <w:b/>
                <w:bCs/>
                <w:i w:val="false"/>
                <w:iCs w:val="false"/>
                <w:sz w:val="22"/>
                <w:szCs w:val="22"/>
                <w:highlight w:val="yellow"/>
              </w:rPr>
              <w:t xml:space="preserve">Công ty cổ phần Giải pháp Công nghệ TURBO</w:t>
            </w:r>
          </w:p>
        </w:tc>
      </w:tr>
      <w:tr>
        <w:trPr>
          <w:cantSplit/>
          <w:tblHeader w:val="false"/>
        </w:trPr>
        <w:tc>
          <w:tcPr>
            <w:tcW w:type="dxa" w:w="16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01/7/2026</w:t>
            </w:r>
          </w:p>
        </w:tc>
        <w:tc>
          <w:tcPr>
            <w:tcW w:type="dxa" w:w="26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116 có hiệu lực</w:t>
            </w:r>
          </w:p>
        </w:tc>
        <w:tc>
          <w:tcPr>
            <w:tcW w:type="dxa" w:w="14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116 Đ44.1</w:t>
            </w:r>
          </w:p>
        </w:tc>
        <w:tc>
          <w:tcPr>
            <w:tcW w:type="dxa" w:w="32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Đã hiệu lực</w:t>
            </w:r>
          </w:p>
        </w:tc>
      </w:tr>
      <w:tr>
        <w:trPr>
          <w:cantSplit/>
          <w:tblHeader w:val="false"/>
        </w:trPr>
        <w:tc>
          <w:tcPr>
            <w:tcW w:type="dxa" w:w="16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19/8/2026</w:t>
            </w:r>
          </w:p>
        </w:tc>
        <w:tc>
          <w:tcPr>
            <w:tcW w:type="dxa" w:w="26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NĐ 331, NĐ 333 có hiệu lực; mức phạt mới áp dụng</w:t>
            </w:r>
          </w:p>
        </w:tc>
        <w:tc>
          <w:tcPr>
            <w:tcW w:type="dxa" w:w="14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Đ38; NĐ 330 Đ80</w:t>
            </w:r>
          </w:p>
        </w:tc>
        <w:tc>
          <w:tcPr>
            <w:tcW w:type="dxa" w:w="32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Đã hiệu lực</w:t>
            </w:r>
          </w:p>
        </w:tc>
      </w:tr>
      <w:tr>
        <w:trPr>
          <w:cantSplit/>
          <w:tblHeader w:val="false"/>
        </w:trPr>
        <w:tc>
          <w:tcPr>
            <w:tcW w:type="dxa" w:w="16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Trước 25/12 hằng năm</w:t>
            </w:r>
          </w:p>
        </w:tc>
        <w:tc>
          <w:tcPr>
            <w:tcW w:type="dxa" w:w="26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Gửi báo cáo năm cho Bộ Công an (số liệu từ 15/12 năm trước đến 14/12)</w:t>
            </w:r>
          </w:p>
        </w:tc>
        <w:tc>
          <w:tcPr>
            <w:tcW w:type="dxa" w:w="14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Đ35.3, Đ35.4.b</w:t>
            </w:r>
          </w:p>
        </w:tc>
        <w:tc>
          <w:tcPr>
            <w:tcW w:type="dxa" w:w="32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Kỳ đầu: </w:t>
            </w:r>
            <w:r>
              <w:rPr>
                <w:rFonts w:ascii="Times New Roman" w:cs="Times New Roman" w:eastAsia="Times New Roman" w:hAnsi="Times New Roman"/>
                <w:b w:val="false"/>
                <w:bCs w:val="false"/>
                <w:i w:val="false"/>
                <w:iCs w:val="false"/>
                <w:sz w:val="22"/>
                <w:szCs w:val="22"/>
                <w:highlight w:val="yellow"/>
              </w:rPr>
              <w:t xml:space="preserve">25/12/2026</w:t>
            </w:r>
          </w:p>
        </w:tc>
      </w:tr>
      <w:tr>
        <w:trPr>
          <w:cantSplit/>
          <w:tblHeader w:val="false"/>
        </w:trPr>
        <w:tc>
          <w:tcPr>
            <w:tcW w:type="dxa" w:w="16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06 tháng kể từ 01/7/2026</w:t>
            </w:r>
          </w:p>
        </w:tc>
        <w:tc>
          <w:tcPr>
            <w:tcW w:type="dxa" w:w="26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HTTT đang đầu tư, xây dựng trước 01/7/2026: hoàn thành thẩm định, phê duyệt cấp độ theo NĐ 85/2016</w:t>
            </w:r>
          </w:p>
        </w:tc>
        <w:tc>
          <w:tcPr>
            <w:tcW w:type="dxa" w:w="14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Đ39.1</w:t>
            </w:r>
          </w:p>
        </w:tc>
        <w:tc>
          <w:tcPr>
            <w:tcW w:type="dxa" w:w="32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Không thuộc diện (CRM Online đã vận hành)</w:t>
            </w:r>
          </w:p>
        </w:tc>
      </w:tr>
      <w:tr>
        <w:trPr>
          <w:cantSplit/>
          <w:tblHeader w:val="false"/>
        </w:trPr>
        <w:tc>
          <w:tcPr>
            <w:tcW w:type="dxa" w:w="16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12 tháng kể từ 01/7/2026</w:t>
            </w:r>
          </w:p>
        </w:tc>
        <w:tc>
          <w:tcPr>
            <w:tcW w:type="dxa" w:w="26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HTTT đã xác định cấp độ theo Luật 86/2015, hoặc đang đầu tư trước 01/7/2026: phải đáp ứng điều kiện, biện pháp bảo vệ ANM tương ứng cấp độ</w:t>
            </w:r>
          </w:p>
        </w:tc>
        <w:tc>
          <w:tcPr>
            <w:tcW w:type="dxa" w:w="14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116 Đ45.1; NĐ 331 Đ39.1</w:t>
            </w:r>
          </w:p>
        </w:tc>
        <w:tc>
          <w:tcPr>
            <w:tcW w:type="dxa" w:w="322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Không thuộc diện (chưa xác định cấp độ theo Luật 86/2015)</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HTTT đang vận hành nhưng chưa từng được xác định cấp độ không thuộc hai trường hợp chuyển tiếp nêu trên, nên nghĩa vụ xác định cấp độ được hiểu là áp dụng ngay từ ngày 19/8/2026 </w:t>
      </w:r>
      <w:r>
        <w:rPr>
          <w:rFonts w:ascii="Times New Roman" w:cs="Times New Roman" w:eastAsia="Times New Roman" w:hAnsi="Times New Roman"/>
          <w:b/>
          <w:bCs/>
          <w:i w:val="false"/>
          <w:iCs w:val="false"/>
          <w:sz w:val="26"/>
          <w:szCs w:val="26"/>
        </w:rPr>
        <w:t xml:space="preserve">[CẦN ĐỐI CHIẾU]</w:t>
      </w:r>
      <w:r>
        <w:rPr>
          <w:rFonts w:ascii="Times New Roman" w:cs="Times New Roman" w:eastAsia="Times New Roman" w:hAnsi="Times New Roman"/>
          <w:b w:val="false"/>
          <w:bCs w:val="false"/>
          <w:i w:val="false"/>
          <w:iCs w:val="false"/>
          <w:sz w:val="26"/>
          <w:szCs w:val="26"/>
        </w:rPr>
        <w:t xml:space="preserve"> (văn bản không có điều khoản chuyển tiếp riêng cho trường hợp này).</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Hiện trạng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15"/>
        <w:gridCol w:w="4148"/>
        <w:gridCol w:w="4162"/>
      </w:tblGrid>
      <w:tr>
        <w:trPr>
          <w:cantSplit/>
          <w:tblHeader/>
        </w:trPr>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STT</w:t>
            </w:r>
          </w:p>
        </w:tc>
        <w:tc>
          <w:tcPr>
            <w:tcW w:type="dxa" w:w="414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416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Hiện trạng tại </w:t>
            </w:r>
            <w:r>
              <w:rPr>
                <w:rFonts w:ascii="Times New Roman" w:cs="Times New Roman" w:eastAsia="Times New Roman" w:hAnsi="Times New Roman"/>
                <w:b/>
                <w:bCs/>
                <w:i w:val="false"/>
                <w:iCs w:val="false"/>
                <w:sz w:val="24"/>
                <w:szCs w:val="24"/>
                <w:highlight w:val="yellow"/>
              </w:rPr>
              <w:t xml:space="preserve">Công ty cổ phần Giải pháp Công nghệ TURBO</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1</w:t>
            </w:r>
          </w:p>
        </w:tc>
        <w:tc>
          <w:tcPr>
            <w:tcW w:type="dxa" w:w="4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Văn bản xác định chủ quản, đơn vị chuyên trách ANM, đơn vị vận hành</w:t>
            </w:r>
          </w:p>
        </w:tc>
        <w:tc>
          <w:tcPr>
            <w:tcW w:type="dxa" w:w="4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Có một phần</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2</w:t>
            </w:r>
          </w:p>
        </w:tc>
        <w:tc>
          <w:tcPr>
            <w:tcW w:type="dxa" w:w="4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Danh mục HTTT và cấp độ đề xuất</w:t>
            </w:r>
          </w:p>
        </w:tc>
        <w:tc>
          <w:tcPr>
            <w:tcW w:type="dxa" w:w="4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Đang làm</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3</w:t>
            </w:r>
          </w:p>
        </w:tc>
        <w:tc>
          <w:tcPr>
            <w:tcW w:type="dxa" w:w="4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chế bảo đảm ANM</w:t>
            </w:r>
          </w:p>
        </w:tc>
        <w:tc>
          <w:tcPr>
            <w:tcW w:type="dxa" w:w="4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Có một phần (quy định năm 2022)</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4</w:t>
            </w:r>
          </w:p>
        </w:tc>
        <w:tc>
          <w:tcPr>
            <w:tcW w:type="dxa" w:w="4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Hồ sơ đề xuất cấp độ đã được phê duyệt</w:t>
            </w:r>
          </w:p>
        </w:tc>
        <w:tc>
          <w:tcPr>
            <w:tcW w:type="dxa" w:w="4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Chưa có</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5</w:t>
            </w:r>
          </w:p>
        </w:tc>
        <w:tc>
          <w:tcPr>
            <w:tcW w:type="dxa" w:w="4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Kiểm tra, đánh giá ANM gần nhất</w:t>
            </w:r>
          </w:p>
        </w:tc>
        <w:tc>
          <w:tcPr>
            <w:tcW w:type="dxa" w:w="4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Chưa có</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6</w:t>
            </w:r>
          </w:p>
        </w:tc>
        <w:tc>
          <w:tcPr>
            <w:tcW w:type="dxa" w:w="4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trình ứng phó, báo cáo sự cố</w:t>
            </w:r>
          </w:p>
        </w:tc>
        <w:tc>
          <w:tcPr>
            <w:tcW w:type="dxa" w:w="4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Có một phần</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7</w:t>
            </w:r>
          </w:p>
        </w:tc>
        <w:tc>
          <w:tcPr>
            <w:tcW w:type="dxa" w:w="4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Đào tạo, diễn tập trong năm</w:t>
            </w:r>
          </w:p>
        </w:tc>
        <w:tc>
          <w:tcPr>
            <w:tcW w:type="dxa" w:w="416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Chưa có</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Rủi ro nếu không thực hiện</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Theo NĐ 330, mức phạt ghi trong các điều về ANM là mức cho cá nhân; tổ chức vi phạm bị phạt </w:t>
      </w:r>
      <w:r>
        <w:rPr>
          <w:rFonts w:ascii="Times New Roman" w:cs="Times New Roman" w:eastAsia="Times New Roman" w:hAnsi="Times New Roman"/>
          <w:b/>
          <w:bCs/>
          <w:i w:val="false"/>
          <w:iCs w:val="false"/>
          <w:sz w:val="26"/>
          <w:szCs w:val="26"/>
        </w:rPr>
        <w:t xml:space="preserve">gấp hai lần</w:t>
      </w:r>
      <w:r>
        <w:rPr>
          <w:rFonts w:ascii="Times New Roman" w:cs="Times New Roman" w:eastAsia="Times New Roman" w:hAnsi="Times New Roman"/>
          <w:b w:val="false"/>
          <w:bCs w:val="false"/>
          <w:i w:val="false"/>
          <w:iCs w:val="false"/>
          <w:sz w:val="26"/>
          <w:szCs w:val="26"/>
        </w:rPr>
        <w:t xml:space="preserve"> (NĐ 330 Đ7.1). Mức tối đa trong lĩnh vực ANM là 200 triệu đồng đối với tổ chức (NĐ 330 Đ7.3). Các mức dưới đây là mức áp dụng cho tổ chức: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060"/>
        <w:gridCol w:w="2180"/>
        <w:gridCol w:w="1785"/>
      </w:tblGrid>
      <w:tr>
        <w:trPr>
          <w:cantSplit/>
          <w:tblHeader/>
        </w:trPr>
        <w:tc>
          <w:tcPr>
            <w:tcW w:type="dxa" w:w="506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Hành vi vi phạm</w:t>
            </w:r>
          </w:p>
        </w:tc>
        <w:tc>
          <w:tcPr>
            <w:tcW w:type="dxa" w:w="21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c>
          <w:tcPr>
            <w:tcW w:type="dxa" w:w="178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Mức phạt tổ chức (đồng)</w:t>
            </w:r>
          </w:p>
        </w:tc>
      </w:tr>
      <w:tr>
        <w:trPr>
          <w:cantSplit/>
          <w:tblHeader w:val="false"/>
        </w:trPr>
        <w:tc>
          <w:tcPr>
            <w:tcW w:type="dxa" w:w="5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ban hành quy định về bảo đảm ANM trong thiết kế, xây dựng, quản lý, vận hành, sử dụng, nâng cấp, hủy bỏ HTTT</w:t>
            </w:r>
          </w:p>
        </w:tc>
        <w:tc>
          <w:tcPr>
            <w:tcW w:type="dxa" w:w="2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Đ23.1.a</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40–60 triệu</w:t>
            </w:r>
          </w:p>
        </w:tc>
      </w:tr>
      <w:tr>
        <w:trPr>
          <w:cantSplit/>
          <w:tblHeader w:val="false"/>
        </w:trPr>
        <w:tc>
          <w:tcPr>
            <w:tcW w:type="dxa" w:w="5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xây dựng hồ sơ đề xuất cấp độ đối với HTTT cấp 3 đến cấp 5</w:t>
            </w:r>
          </w:p>
        </w:tc>
        <w:tc>
          <w:tcPr>
            <w:tcW w:type="dxa" w:w="2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Đ23.1.b</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40–60 triệu</w:t>
            </w:r>
          </w:p>
        </w:tc>
      </w:tr>
      <w:tr>
        <w:trPr>
          <w:cantSplit/>
          <w:tblHeader w:val="false"/>
        </w:trPr>
        <w:tc>
          <w:tcPr>
            <w:tcW w:type="dxa" w:w="5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Đưa HTTT cấp 3 đến cấp 5 vào vận hành khi chưa được phê duyệt cấp độ</w:t>
            </w:r>
          </w:p>
        </w:tc>
        <w:tc>
          <w:tcPr>
            <w:tcW w:type="dxa" w:w="2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Đ23.1.c</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40–60 triệu</w:t>
            </w:r>
          </w:p>
        </w:tc>
      </w:tr>
      <w:tr>
        <w:trPr>
          <w:cantSplit/>
          <w:tblHeader w:val="false"/>
        </w:trPr>
        <w:tc>
          <w:tcPr>
            <w:tcW w:type="dxa" w:w="5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triển khai đầy đủ biện pháp như hồ sơ đã phê duyệt (cấp 3 đến cấp 5)</w:t>
            </w:r>
          </w:p>
        </w:tc>
        <w:tc>
          <w:tcPr>
            <w:tcW w:type="dxa" w:w="2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Đ23.1.d</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40–60 triệu</w:t>
            </w:r>
          </w:p>
        </w:tc>
      </w:tr>
      <w:tr>
        <w:trPr>
          <w:cantSplit/>
          <w:tblHeader w:val="false"/>
        </w:trPr>
        <w:tc>
          <w:tcPr>
            <w:tcW w:type="dxa" w:w="5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lập hồ sơ đề xuất cấp độ hoặc không tổ chức thẩm định, phê duyệt</w:t>
            </w:r>
          </w:p>
        </w:tc>
        <w:tc>
          <w:tcPr>
            <w:tcW w:type="dxa" w:w="2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Đ24.1</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40–60 triệu</w:t>
            </w:r>
          </w:p>
        </w:tc>
      </w:tr>
      <w:tr>
        <w:trPr>
          <w:cantSplit/>
          <w:tblHeader w:val="false"/>
        </w:trPr>
        <w:tc>
          <w:tcPr>
            <w:tcW w:type="dxa" w:w="5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kiểm tra, giám sát tuân thủ, lưu trữ nhật ký hệ thống hoặc không đánh giá hiệu quả biện pháp</w:t>
            </w:r>
          </w:p>
        </w:tc>
        <w:tc>
          <w:tcPr>
            <w:tcW w:type="dxa" w:w="2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Đ23.2.a</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60–100 triệu</w:t>
            </w:r>
          </w:p>
        </w:tc>
      </w:tr>
      <w:tr>
        <w:trPr>
          <w:cantSplit/>
          <w:tblHeader w:val="false"/>
        </w:trPr>
        <w:tc>
          <w:tcPr>
            <w:tcW w:type="dxa" w:w="5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tổ chức thực thi, đôn đốc, kiểm tra, giám sát công tác bảo đảm ANM</w:t>
            </w:r>
          </w:p>
        </w:tc>
        <w:tc>
          <w:tcPr>
            <w:tcW w:type="dxa" w:w="2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Đ23.2.c</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60–100 triệu</w:t>
            </w:r>
          </w:p>
        </w:tc>
      </w:tr>
      <w:tr>
        <w:trPr>
          <w:cantSplit/>
          <w:tblHeader w:val="false"/>
        </w:trPr>
        <w:tc>
          <w:tcPr>
            <w:tcW w:type="dxa" w:w="5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báo cáo lực lượng chuyên trách khi phát hiện sự cố</w:t>
            </w:r>
          </w:p>
        </w:tc>
        <w:tc>
          <w:tcPr>
            <w:tcW w:type="dxa" w:w="2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Đ21.2.a</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40–60 triệu</w:t>
            </w:r>
          </w:p>
        </w:tc>
      </w:tr>
      <w:tr>
        <w:trPr>
          <w:cantSplit/>
          <w:tblHeader w:val="false"/>
        </w:trPr>
        <w:tc>
          <w:tcPr>
            <w:tcW w:type="dxa" w:w="506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xây dựng Kế hoạch ứng phó sự cố; không thành lập hoặc chỉ định đơn vị chuyên trách ứng cứu sự cố, Đội ứng cứu sự cố</w:t>
            </w:r>
          </w:p>
        </w:tc>
        <w:tc>
          <w:tcPr>
            <w:tcW w:type="dxa" w:w="21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Đ21.3.b, d</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60–100 triệu</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Ngoài tiền phạt, tổ chức có thể bị áp dụng biện pháp khắc phục hậu quả, như buộc khôi phục tình trạng ban đầu của HTTT, buộc khắc phục tình trạng mất ANM, buộc loại bỏ yếu tố vi phạm (NĐ 330 Đ23.4, Đ24.4). Chủ quản HTTT và đơn vị vận hành HTTT đều là đối tượng bị xử phạt (NĐ 330 Đ2.2.k). Người đứng đầu chủ quản chịu trách nhiệm trước pháp luật về công tác bảo vệ ANM (NĐ 331 Đ31.1.a).</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 NỘI DUNG ĐỀ XUẤT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Mục tiêu:</w:t>
      </w:r>
      <w:r>
        <w:rPr>
          <w:rFonts w:ascii="Times New Roman" w:cs="Times New Roman" w:eastAsia="Times New Roman" w:hAnsi="Times New Roman"/>
          <w:b w:val="false"/>
          <w:bCs w:val="false"/>
          <w:i w:val="false"/>
          <w:iCs w:val="false"/>
          <w:sz w:val="26"/>
          <w:szCs w:val="26"/>
        </w:rPr>
        <w:t xml:space="preserve"> hoàn thành xác định cấp độ, ban hành Quy chế và phê duyệt hồ sơ đề xuất cấp độ cho toàn bộ HTTT trước </w:t>
      </w:r>
      <w:r>
        <w:rPr>
          <w:rFonts w:ascii="Times New Roman" w:cs="Times New Roman" w:eastAsia="Times New Roman" w:hAnsi="Times New Roman"/>
          <w:b w:val="false"/>
          <w:bCs w:val="false"/>
          <w:i w:val="false"/>
          <w:iCs w:val="false"/>
          <w:sz w:val="26"/>
          <w:szCs w:val="26"/>
          <w:highlight w:val="yellow"/>
        </w:rPr>
        <w:t xml:space="preserve">31/10/2026</w:t>
      </w:r>
      <w:r>
        <w:rPr>
          <w:rFonts w:ascii="Times New Roman" w:cs="Times New Roman" w:eastAsia="Times New Roman" w:hAnsi="Times New Roman"/>
          <w:b w:val="false"/>
          <w:bCs w:val="false"/>
          <w:i w:val="false"/>
          <w:iCs w:val="false"/>
          <w:sz w:val="26"/>
          <w:szCs w:val="26"/>
        </w:rPr>
        <w:t xml:space="preserve">; đáp ứng yêu cầu theo cấp độ đã phê duyệt trước </w:t>
      </w:r>
      <w:r>
        <w:rPr>
          <w:rFonts w:ascii="Times New Roman" w:cs="Times New Roman" w:eastAsia="Times New Roman" w:hAnsi="Times New Roman"/>
          <w:b w:val="false"/>
          <w:bCs w:val="false"/>
          <w:i w:val="false"/>
          <w:iCs w:val="false"/>
          <w:sz w:val="26"/>
          <w:szCs w:val="26"/>
          <w:highlight w:val="yellow"/>
        </w:rPr>
        <w:t xml:space="preserve">30/06/2027</w:t>
      </w:r>
      <w:r>
        <w:rPr>
          <w:rFonts w:ascii="Times New Roman" w:cs="Times New Roman" w:eastAsia="Times New Roman" w:hAnsi="Times New Roman"/>
          <w:b w:val="false"/>
          <w:bCs w:val="false"/>
          <w:i w:val="false"/>
          <w:iCs w:val="false"/>
          <w:sz w:val="26"/>
          <w:szCs w:val="26"/>
        </w:rPr>
        <w:t xml:space="preserve">; gửi báo cáo năm đúng hạn.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Phạm vi:</w:t>
      </w:r>
      <w:r>
        <w:rPr>
          <w:rFonts w:ascii="Times New Roman" w:cs="Times New Roman" w:eastAsia="Times New Roman" w:hAnsi="Times New Roman"/>
          <w:b w:val="false"/>
          <w:bCs w:val="false"/>
          <w:i w:val="false"/>
          <w:iCs w:val="false"/>
          <w:sz w:val="26"/>
          <w:szCs w:val="26"/>
        </w:rPr>
        <w:t xml:space="preserve"> toàn bộ HTTT do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làm chủ quản. Ưu tiên HTTT cung cấp dịch vụ trực tuyến và HTTT có cấp độ cao hơn, vì nguồn lực được phân bổ theo thứ tự từ cấp độ cao xuống cấp độ thấp (NĐ 331 Đ6.3).</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Các hạng mục công việc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3355"/>
        <w:gridCol w:w="2075"/>
        <w:gridCol w:w="2923"/>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335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Hạng mục</w:t>
            </w:r>
          </w:p>
        </w:tc>
        <w:tc>
          <w:tcPr>
            <w:tcW w:type="dxa" w:w="207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Đầu ra</w:t>
            </w:r>
          </w:p>
        </w:tc>
        <w:tc>
          <w:tcPr>
            <w:tcW w:type="dxa" w:w="29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33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Phân vai: xác định chủ quản (ủy quyền nếu cần), chỉ định đơn vị chuyên trách ANM, giao đơn vị vận hành, xử lý xung đột vai trò khi thẩm định</w:t>
            </w:r>
          </w:p>
        </w:tc>
        <w:tc>
          <w:tcPr>
            <w:tcW w:type="dxa" w:w="20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Các quyết định nội bộ</w:t>
            </w:r>
          </w:p>
        </w:tc>
        <w:tc>
          <w:tcPr>
            <w:tcW w:type="dxa" w:w="2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Đ4, Đ5, Đ18.4, Đ31.1</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33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kê HTTT, phân loại thông tin và loại hình HTTT</w:t>
            </w:r>
          </w:p>
        </w:tc>
        <w:tc>
          <w:tcPr>
            <w:tcW w:type="dxa" w:w="20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Danh mục HTTT, phiếu xác định cấp độ</w:t>
            </w:r>
          </w:p>
        </w:tc>
        <w:tc>
          <w:tcPr>
            <w:tcW w:type="dxa" w:w="2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Đ7, Đ8, Đ9</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33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Đánh giá rủi ro ANM lần đầu, đề xuất cấp độ</w:t>
            </w:r>
          </w:p>
        </w:tc>
        <w:tc>
          <w:tcPr>
            <w:tcW w:type="dxa" w:w="20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đánh giá rủi ro, cấp độ đề xuất</w:t>
            </w:r>
          </w:p>
        </w:tc>
        <w:tc>
          <w:tcPr>
            <w:tcW w:type="dxa" w:w="2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Đ10.2.a, Đ11–Đ16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33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Xây dựng, ban hành Quy chế bảo đảm ANM và các quy trình kèm theo</w:t>
            </w:r>
          </w:p>
        </w:tc>
        <w:tc>
          <w:tcPr>
            <w:tcW w:type="dxa" w:w="20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Quyết định ban hành Quy chế</w:t>
            </w:r>
          </w:p>
        </w:tc>
        <w:tc>
          <w:tcPr>
            <w:tcW w:type="dxa" w:w="2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Đ30.3, Đ30.7</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33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Lập hồ sơ đề xuất cấp độ; thẩm định; phê duyệt</w:t>
            </w:r>
          </w:p>
        </w:tc>
        <w:tc>
          <w:tcPr>
            <w:tcW w:type="dxa" w:w="20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Quyết định phê duyệt cấp độ</w:t>
            </w:r>
          </w:p>
        </w:tc>
        <w:tc>
          <w:tcPr>
            <w:tcW w:type="dxa" w:w="2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Đ20–Đ24</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6</w:t>
            </w:r>
          </w:p>
        </w:tc>
        <w:tc>
          <w:tcPr>
            <w:tcW w:type="dxa" w:w="33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Triển khai phương án bảo đảm ANM theo cấp độ</w:t>
            </w:r>
          </w:p>
        </w:tc>
        <w:tc>
          <w:tcPr>
            <w:tcW w:type="dxa" w:w="20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Hồ sơ triển khai, nghiệm thu</w:t>
            </w:r>
          </w:p>
        </w:tc>
        <w:tc>
          <w:tcPr>
            <w:tcW w:type="dxa" w:w="2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Đ29, Đ30; TCVN 14423:2026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7</w:t>
            </w:r>
          </w:p>
        </w:tc>
        <w:tc>
          <w:tcPr>
            <w:tcW w:type="dxa" w:w="33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tra, đánh giá định kỳ; quản lý rủi ro</w:t>
            </w:r>
          </w:p>
        </w:tc>
        <w:tc>
          <w:tcPr>
            <w:tcW w:type="dxa" w:w="20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kiểm tra, kế hoạch khắc phục</w:t>
            </w:r>
          </w:p>
        </w:tc>
        <w:tc>
          <w:tcPr>
            <w:tcW w:type="dxa" w:w="2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Đ27, Đ31.2.c</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8</w:t>
            </w:r>
          </w:p>
        </w:tc>
        <w:tc>
          <w:tcPr>
            <w:tcW w:type="dxa" w:w="33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Đào tạo, tuyên truyền, diễn tập</w:t>
            </w:r>
          </w:p>
        </w:tc>
        <w:tc>
          <w:tcPr>
            <w:tcW w:type="dxa" w:w="20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Kế hoạch năm, hồ sơ đào tạo, diễn tập</w:t>
            </w:r>
          </w:p>
        </w:tc>
        <w:tc>
          <w:tcPr>
            <w:tcW w:type="dxa" w:w="2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Đ31.3</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9</w:t>
            </w:r>
          </w:p>
        </w:tc>
        <w:tc>
          <w:tcPr>
            <w:tcW w:type="dxa" w:w="33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năm</w:t>
            </w:r>
          </w:p>
        </w:tc>
        <w:tc>
          <w:tcPr>
            <w:tcW w:type="dxa" w:w="20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theo Mẫu 08</w:t>
            </w:r>
          </w:p>
        </w:tc>
        <w:tc>
          <w:tcPr>
            <w:tcW w:type="dxa" w:w="2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Đ35, Đ36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10</w:t>
            </w:r>
          </w:p>
        </w:tc>
        <w:tc>
          <w:tcPr>
            <w:tcW w:type="dxa" w:w="335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Rà soát song song nghĩa vụ bảo vệ dữ liệu cá nhân và nghĩa vụ của doanh nghiệp cung cấp dịch vụ (nếu thuộc diện)</w:t>
            </w:r>
          </w:p>
        </w:tc>
        <w:tc>
          <w:tcPr>
            <w:tcW w:type="dxa" w:w="207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rà soát</w:t>
            </w:r>
          </w:p>
        </w:tc>
        <w:tc>
          <w:tcPr>
            <w:tcW w:type="dxa" w:w="29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91/2025/QH15; NĐ 333 Đ16, Đ19, Đ20</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Nhân lực:</w:t>
      </w:r>
      <w:r>
        <w:rPr>
          <w:rFonts w:ascii="Times New Roman" w:cs="Times New Roman" w:eastAsia="Times New Roman" w:hAnsi="Times New Roman"/>
          <w:b w:val="false"/>
          <w:bCs w:val="false"/>
          <w:i w:val="false"/>
          <w:iCs w:val="false"/>
          <w:sz w:val="26"/>
          <w:szCs w:val="26"/>
        </w:rPr>
        <w:t xml:space="preserve"> giao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làm đầu mối chương trình. Đề xuất cụ thể về tổ chức bộ phận chuyên trách, số lượng và tiêu chuẩn nhân sự sẽ trình tại tờ trình riêng.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5. Các đề xuất chi tiết sẽ trình tiếp theo:</w:t>
      </w:r>
      <w:r>
        <w:rPr>
          <w:rFonts w:ascii="Times New Roman" w:cs="Times New Roman" w:eastAsia="Times New Roman" w:hAnsi="Times New Roman"/>
          <w:b w:val="false"/>
          <w:bCs w:val="false"/>
          <w:i w:val="false"/>
          <w:iCs w:val="false"/>
          <w:sz w:val="26"/>
          <w:szCs w:val="26"/>
        </w:rPr>
        <w:t xml:space="preserve"> thành lập, chỉ định bộ phận chuyên trách ANM; ban hành Quy chế bảo đảm ANM; thành lập Hội đồng thẩm định độc lập (nếu cần); kinh phí giải pháp kỹ thuật; thuê dịch vụ đánh giá, kiểm thử; kế hoạch đào tạo, diễn tập; tuân thủ bảo vệ dữ liệu cá nhân; lưu trữ dữ liệu và nhật ký (nếu thuộc diện).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III. KINH PHÍ DỰ KIẾN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2643"/>
        <w:gridCol w:w="2602"/>
        <w:gridCol w:w="1773"/>
        <w:gridCol w:w="1335"/>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264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Hạng mục</w:t>
            </w:r>
          </w:p>
        </w:tc>
        <w:tc>
          <w:tcPr>
            <w:tcW w:type="dxa" w:w="26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Nội dung chi</w:t>
            </w:r>
          </w:p>
        </w:tc>
        <w:tc>
          <w:tcPr>
            <w:tcW w:type="dxa" w:w="17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Kinh phí dự kiến (đồng)</w:t>
            </w:r>
          </w:p>
        </w:tc>
        <w:tc>
          <w:tcPr>
            <w:tcW w:type="dxa" w:w="13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Ghi chú</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26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kê, đánh giá rủi ro, lập hồ sơ cấp độ</w:t>
            </w:r>
          </w:p>
        </w:tc>
        <w:tc>
          <w:tcPr>
            <w:tcW w:type="dxa" w:w="2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Nhân công nội bộ; thuê tư vấn (nếu có)</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80.000.000</w:t>
            </w:r>
          </w:p>
        </w:tc>
        <w:tc>
          <w:tcPr>
            <w:tcW w:type="dxa" w:w="13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26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Quy chế, quy trình</w:t>
            </w:r>
          </w:p>
        </w:tc>
        <w:tc>
          <w:tcPr>
            <w:tcW w:type="dxa" w:w="2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Soạn thảo, rà soát pháp lý</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55.000.000</w:t>
            </w:r>
          </w:p>
        </w:tc>
        <w:tc>
          <w:tcPr>
            <w:tcW w:type="dxa" w:w="13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26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Giải pháp kỹ thuật theo cấp độ</w:t>
            </w:r>
          </w:p>
        </w:tc>
        <w:tc>
          <w:tcPr>
            <w:tcW w:type="dxa" w:w="2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tờ trình kinh phí giải pháp kỹ thuật</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1.930.000.000</w:t>
            </w:r>
          </w:p>
        </w:tc>
        <w:tc>
          <w:tcPr>
            <w:tcW w:type="dxa" w:w="13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Ước tính sơ bộ</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26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Đánh giá, kiểm thử độc lập</w:t>
            </w:r>
          </w:p>
        </w:tc>
        <w:tc>
          <w:tcPr>
            <w:tcW w:type="dxa" w:w="2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tờ trình thuê dịch vụ</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410.000.000</w:t>
            </w:r>
          </w:p>
        </w:tc>
        <w:tc>
          <w:tcPr>
            <w:tcW w:type="dxa" w:w="13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26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Đào tạo, diễn tập</w:t>
            </w:r>
          </w:p>
        </w:tc>
        <w:tc>
          <w:tcPr>
            <w:tcW w:type="dxa" w:w="2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kế hoạch năm</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330.000.000</w:t>
            </w:r>
          </w:p>
        </w:tc>
        <w:tc>
          <w:tcPr>
            <w:tcW w:type="dxa" w:w="13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6</w:t>
            </w:r>
          </w:p>
        </w:tc>
        <w:tc>
          <w:tcPr>
            <w:tcW w:type="dxa" w:w="26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Dự phòng</w:t>
            </w:r>
          </w:p>
        </w:tc>
        <w:tc>
          <w:tcPr>
            <w:tcW w:type="dxa" w:w="2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195.000.000</w:t>
            </w:r>
          </w:p>
        </w:tc>
        <w:tc>
          <w:tcPr>
            <w:tcW w:type="dxa" w:w="13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6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Tổng cộng</w:t>
            </w:r>
          </w:p>
        </w:tc>
        <w:tc>
          <w:tcPr>
            <w:tcW w:type="dxa" w:w="26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highlight w:val="yellow"/>
              </w:rPr>
              <w:t xml:space="preserve">3.000.000.000</w:t>
            </w:r>
          </w:p>
        </w:tc>
        <w:tc>
          <w:tcPr>
            <w:tcW w:type="dxa" w:w="13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Nguồn kinh phí: </w:t>
      </w:r>
      <w:r>
        <w:rPr>
          <w:rFonts w:ascii="Times New Roman" w:cs="Times New Roman" w:eastAsia="Times New Roman" w:hAnsi="Times New Roman"/>
          <w:b w:val="false"/>
          <w:bCs w:val="false"/>
          <w:i w:val="false"/>
          <w:iCs w:val="false"/>
          <w:sz w:val="26"/>
          <w:szCs w:val="26"/>
          <w:highlight w:val="yellow"/>
        </w:rPr>
        <w:t xml:space="preserve">Ngân sách hoạt động năm 2026 của Công ty</w:t>
      </w:r>
      <w:r>
        <w:rPr>
          <w:rFonts w:ascii="Times New Roman" w:cs="Times New Roman" w:eastAsia="Times New Roman" w:hAnsi="Times New Roman"/>
          <w:b w:val="false"/>
          <w:bCs w:val="false"/>
          <w:i w:val="false"/>
          <w:iCs w:val="false"/>
          <w:sz w:val="26"/>
          <w:szCs w:val="26"/>
        </w:rPr>
        <w:t xml:space="preserve">. Tổ chức ngoài khu vực nhà nước tự bảo đảm kinh phí bảo vệ ANM (Luật 116 Đ38.2). Từng hạng mục sẽ được trình phê duyệt chi tiết theo quy chế tài chính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IV. TIẾN ĐỘ</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30"/>
        <w:gridCol w:w="3271"/>
        <w:gridCol w:w="2012"/>
        <w:gridCol w:w="2912"/>
      </w:tblGrid>
      <w:tr>
        <w:trPr>
          <w:cantSplit/>
          <w:tblHeader/>
        </w:trPr>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Giai đoạn</w:t>
            </w:r>
          </w:p>
        </w:tc>
        <w:tc>
          <w:tcPr>
            <w:tcW w:type="dxa" w:w="32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Công việc chính</w:t>
            </w:r>
          </w:p>
        </w:tc>
        <w:tc>
          <w:tcPr>
            <w:tcW w:type="dxa" w:w="20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Đơn vị chủ trì</w:t>
            </w:r>
          </w:p>
        </w:tc>
        <w:tc>
          <w:tcPr>
            <w:tcW w:type="dxa" w:w="29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hạn</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32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Ban hành các quyết định phân vai</w:t>
            </w:r>
          </w:p>
        </w:tc>
        <w:tc>
          <w:tcPr>
            <w:tcW w:type="dxa" w:w="20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An ninh mạng</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15/10/2026</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32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kê HTTT, đánh giá rủi ro, đề xuất cấp độ</w:t>
            </w:r>
          </w:p>
        </w:tc>
        <w:tc>
          <w:tcPr>
            <w:tcW w:type="dxa" w:w="20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20/10/2026</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32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Ban hành Quy chế bảo đảm ANM</w:t>
            </w:r>
          </w:p>
        </w:tc>
        <w:tc>
          <w:tcPr>
            <w:tcW w:type="dxa" w:w="20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An ninh mạng</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25/10/2026</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32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Lập hồ sơ, thẩm định, phê duyệt cấp độ</w:t>
            </w:r>
          </w:p>
        </w:tc>
        <w:tc>
          <w:tcPr>
            <w:tcW w:type="dxa" w:w="20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30/10/2026</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32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Triển khai phương án bảo đảm ANM</w:t>
            </w:r>
          </w:p>
        </w:tc>
        <w:tc>
          <w:tcPr>
            <w:tcW w:type="dxa" w:w="20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30/06/2027</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6</w:t>
            </w:r>
          </w:p>
        </w:tc>
        <w:tc>
          <w:tcPr>
            <w:tcW w:type="dxa" w:w="32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tra, đánh giá; lập báo cáo năm</w:t>
            </w:r>
          </w:p>
        </w:tc>
        <w:tc>
          <w:tcPr>
            <w:tcW w:type="dxa" w:w="20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An ninh mạng</w:t>
            </w:r>
          </w:p>
        </w:tc>
        <w:tc>
          <w:tcPr>
            <w:tcW w:type="dxa" w:w="29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Trước 20/12 hằng năm (nội bộ)</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 TỔ CHỨC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đầu mối chương trình; tham mưu, đôn đốc, kiểm tra; thẩm định hồ sơ đề xuất cấp độ theo thẩm quyền; tổng hợp báo cáo năm.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kiểm kê HTTT; lập hồ sơ đề xuất cấp độ; triển khai biện pháp bảo đảm ANM theo phương án được duyệt.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val="false"/>
          <w:iCs w:val="false"/>
          <w:sz w:val="26"/>
          <w:szCs w:val="26"/>
          <w:highlight w:val="yellow"/>
        </w:rPr>
        <w:t xml:space="preserve">Phòng Pháp chế</w:t>
      </w:r>
      <w:r>
        <w:rPr>
          <w:rFonts w:ascii="Times New Roman" w:cs="Times New Roman" w:eastAsia="Times New Roman" w:hAnsi="Times New Roman"/>
          <w:b w:val="false"/>
          <w:bCs w:val="false"/>
          <w:i w:val="false"/>
          <w:iCs w:val="false"/>
          <w:sz w:val="26"/>
          <w:szCs w:val="26"/>
        </w:rPr>
        <w:t xml:space="preserve">: rà soát pháp lý các quyết định, Quy chế, hợp đồng với nhà cung cấp; đầu mối các nghĩa vụ về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bố trí nhân sự; đưa nghĩa vụ ANM vào nội quy lao động và bản mô tả công việc.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val="false"/>
          <w:bCs w:val="false"/>
          <w:i w:val="false"/>
          <w:iCs w:val="false"/>
          <w:sz w:val="26"/>
          <w:szCs w:val="26"/>
          <w:highlight w:val="yellow"/>
        </w:rPr>
        <w:t xml:space="preserve">Phòng Tài chính – Kế toán</w:t>
      </w:r>
      <w:r>
        <w:rPr>
          <w:rFonts w:ascii="Times New Roman" w:cs="Times New Roman" w:eastAsia="Times New Roman" w:hAnsi="Times New Roman"/>
          <w:b w:val="false"/>
          <w:bCs w:val="false"/>
          <w:i w:val="false"/>
          <w:iCs w:val="false"/>
          <w:sz w:val="26"/>
          <w:szCs w:val="26"/>
        </w:rPr>
        <w:t xml:space="preserve">: cân đối, bố trí kinh phí theo tiến độ.</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w:t>
      </w:r>
      <w:r>
        <w:rPr>
          <w:rFonts w:ascii="Times New Roman" w:cs="Times New Roman" w:eastAsia="Times New Roman" w:hAnsi="Times New Roman"/>
          <w:b w:val="false"/>
          <w:bCs w:val="false"/>
          <w:i w:val="false"/>
          <w:iCs w:val="false"/>
          <w:sz w:val="26"/>
          <w:szCs w:val="26"/>
          <w:highlight w:val="yellow"/>
        </w:rPr>
        <w:t xml:space="preserve">Ban Kiểm soát nội bộ</w:t>
      </w:r>
      <w:r>
        <w:rPr>
          <w:rFonts w:ascii="Times New Roman" w:cs="Times New Roman" w:eastAsia="Times New Roman" w:hAnsi="Times New Roman"/>
          <w:b w:val="false"/>
          <w:bCs w:val="false"/>
          <w:i w:val="false"/>
          <w:iCs w:val="false"/>
          <w:sz w:val="26"/>
          <w:szCs w:val="26"/>
        </w:rPr>
        <w:t xml:space="preserve">: thực hiện hoặc giám sát việc tự đánh giá, bảo đảm độc lập với đơn vị vận hành (NĐ 331 Đ31.2.c).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7. Các đơn vị nghiệp vụ sử dụng HTTT: phối hợp cung cấp thông tin kiểm kê, tham gia đào tạo, tuân thủ Quy chế.</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VI. KIẾN NGHỊ</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Kính trình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xem xét, phê duyệt: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Chủ trương triển khai chương trình tuân thủ pháp luật về ANM với phạm vi, hạng mục và tiến độ nêu tại Mục II và Mục IV.</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Giao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làm đầu mối; các đơn vị liên quan thực hiện theo Mục V.</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Tổng mức kinh phí dự kiến </w:t>
      </w:r>
      <w:r>
        <w:rPr>
          <w:rFonts w:ascii="Times New Roman" w:cs="Times New Roman" w:eastAsia="Times New Roman" w:hAnsi="Times New Roman"/>
          <w:b w:val="false"/>
          <w:bCs w:val="false"/>
          <w:i w:val="false"/>
          <w:iCs w:val="false"/>
          <w:sz w:val="26"/>
          <w:szCs w:val="26"/>
          <w:highlight w:val="yellow"/>
        </w:rPr>
        <w:t xml:space="preserve">3.000.000.000 đồng</w:t>
      </w:r>
      <w:r>
        <w:rPr>
          <w:rFonts w:ascii="Times New Roman" w:cs="Times New Roman" w:eastAsia="Times New Roman" w:hAnsi="Times New Roman"/>
          <w:b w:val="false"/>
          <w:bCs w:val="false"/>
          <w:i w:val="false"/>
          <w:iCs w:val="false"/>
          <w:sz w:val="26"/>
          <w:szCs w:val="26"/>
        </w:rPr>
        <w:t xml:space="preserve">; từng hạng mục được trình phê duyệt chi tiết theo quy định nội bộ.</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Giao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báo cáo tiến độ định kỳ </w:t>
      </w:r>
      <w:r>
        <w:rPr>
          <w:rFonts w:ascii="Times New Roman" w:cs="Times New Roman" w:eastAsia="Times New Roman" w:hAnsi="Times New Roman"/>
          <w:b w:val="false"/>
          <w:bCs w:val="false"/>
          <w:i w:val="false"/>
          <w:iCs w:val="false"/>
          <w:sz w:val="26"/>
          <w:szCs w:val="26"/>
          <w:highlight w:val="yellow"/>
        </w:rPr>
        <w:t xml:space="preserve">hằng tháng</w:t>
      </w:r>
      <w:r>
        <w:rPr>
          <w:rFonts w:ascii="Times New Roman" w:cs="Times New Roman" w:eastAsia="Times New Roman" w:hAnsi="Times New Roman"/>
          <w:b w:val="false"/>
          <w:bCs w:val="false"/>
          <w:i w:val="false"/>
          <w:iCs w:val="false"/>
          <w:sz w:val="26"/>
          <w:szCs w:val="26"/>
        </w:rPr>
        <w:t xml:space="preserve"> cho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Tài chính – Kế toán</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Pháp chế</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PVH</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TRƯỞNG PHÒNG VẬN HÀNH HỆ THỐNG</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Lê Minh Cường</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025"/>
      </w:tblGrid>
      <w:tr>
        <w:trPr>
          <w:cantSplit/>
          <w:tblHeader/>
        </w:trPr>
        <w:tc>
          <w:tcPr>
            <w:tcW w:type="dxa" w:w="90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Ý KIẾN PHÊ DUYỆT CỦA LÃNH ĐẠO</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Đồng ý    ☐ Đồng ý, có điều chỉnh    ☐ Không đồng ý    ☐ Ý kiến khác</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Ý kiến cụ thể: ............................................................................................................</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    </w:t>
            </w:r>
            <w:r>
              <w:rPr>
                <w:rFonts w:ascii="Times New Roman" w:cs="Times New Roman" w:eastAsia="Times New Roman" w:hAnsi="Times New Roman"/>
                <w:b w:val="false"/>
                <w:bCs w:val="false"/>
                <w:i w:val="false"/>
                <w:iCs w:val="false"/>
                <w:sz w:val="24"/>
                <w:szCs w:val="24"/>
                <w:highlight w:val="yellow"/>
              </w:rPr>
              <w:t xml:space="preserve">Tổng Giám đốc Công 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(ký, ghi rõ họ tên)</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Tờ trình triển khai chương trình tuân thủ an ninh mạng</dc:title>
  <dc:creator>vn-cyber-compliance</dc:creator>
  <cp:lastModifiedBy>Un-named</cp:lastModifiedBy>
  <cp:revision>1</cp:revision>
  <dcterms:created xsi:type="dcterms:W3CDTF">2026-09-28T04:07:53.616Z</dcterms:created>
  <dcterms:modified xsi:type="dcterms:W3CDTF">2026-09-28T04:07:53.616Z</dcterms:modified>
</cp:coreProperties>
</file>

<file path=docProps/custom.xml><?xml version="1.0" encoding="utf-8"?>
<Properties xmlns="http://schemas.openxmlformats.org/officeDocument/2006/custom-properties" xmlns:vt="http://schemas.openxmlformats.org/officeDocument/2006/docPropsVTypes"/>
</file>