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Phòng Pháp chế</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03/2026</w:t>
            </w:r>
            <w:r>
              <w:rPr>
                <w:rFonts w:ascii="Times New Roman" w:cs="Times New Roman" w:eastAsia="Times New Roman" w:hAnsi="Times New Roman"/>
                <w:b w:val="false"/>
                <w:bCs w:val="false"/>
                <w:i w:val="false"/>
                <w:iCs w:val="false"/>
                <w:caps w:val="false"/>
                <w:sz w:val="26"/>
                <w:szCs w:val="26"/>
              </w:rPr>
              <w:t xml:space="preserve">/TTr-</w:t>
            </w:r>
            <w:r>
              <w:rPr>
                <w:rFonts w:ascii="Times New Roman" w:cs="Times New Roman" w:eastAsia="Times New Roman" w:hAnsi="Times New Roman"/>
                <w:b w:val="false"/>
                <w:bCs w:val="false"/>
                <w:i w:val="false"/>
                <w:iCs w:val="false"/>
                <w:caps w:val="false"/>
                <w:sz w:val="26"/>
                <w:szCs w:val="26"/>
                <w:highlight w:val="yellow"/>
              </w:rPr>
              <w:t xml:space="preserve">PPC</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10</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10</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TỜ TRÌNH</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Về việc triển khai các nghĩa vụ bảo vệ dữ liệu cá nhân theo Luật Bảo vệ dữ liệu cá nhân</w:t>
      </w:r>
    </w:p>
    <w:p>
      <w:pPr>
        <w:spacing w:after="180" w:before="120" w:line="276" w:lineRule="auto"/>
        <w:jc w:val="center"/>
      </w:pPr>
      <w:r>
        <w:rPr>
          <w:rFonts w:ascii="Times New Roman" w:cs="Times New Roman" w:eastAsia="Times New Roman" w:hAnsi="Times New Roman"/>
          <w:b w:val="false"/>
          <w:bCs w:val="false"/>
          <w:i w:val="false"/>
          <w:iCs w:val="false"/>
          <w:sz w:val="26"/>
          <w:szCs w:val="26"/>
        </w:rPr>
        <w:t xml:space="preserve">Kính gửi: </w:t>
      </w:r>
      <w:r>
        <w:rPr>
          <w:rFonts w:ascii="Times New Roman" w:cs="Times New Roman" w:eastAsia="Times New Roman" w:hAnsi="Times New Roman"/>
          <w:b w:val="false"/>
          <w:bCs w:val="false"/>
          <w:i w:val="false"/>
          <w:iCs w:val="false"/>
          <w:sz w:val="26"/>
          <w:szCs w:val="26"/>
          <w:highlight w:val="yellow"/>
        </w:rPr>
        <w:t xml:space="preserve">Tổng Giám đốc Công ty</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Bảo vệ dữ liệu cá nhân số 91/2025/QH15;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356/2025/NĐ-CP ngày 31 tháng 12 năm 2025 của Chính phủ quy định chi tiết một số điều và biện pháp thi hành Luật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quyết số 22/2026/NQ-CP ngày 29 tháng 4 năm 2026 của Chính phủ cắt giảm, phân cấp, đơn giản hóa thủ tục hành chính và cắt giảm, đơn giản hóa điều kiện kinh doanh thuộc phạm vi quản lý của Bộ Công an;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330/2026/NĐ-CP ngày 19 tháng 8 năm 2026 của Chính phủ quy định xử phạt vi phạm hành chính trong lĩnh vực an ninh mạng và bảo vệ dữ liệu cá nhân;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w:t>
      </w:r>
      <w:r>
        <w:rPr>
          <w:rFonts w:ascii="Times New Roman" w:cs="Times New Roman" w:eastAsia="Times New Roman" w:hAnsi="Times New Roman"/>
          <w:b w:val="false"/>
          <w:bCs w:val="false"/>
          <w:i/>
          <w:iCs/>
          <w:sz w:val="26"/>
          <w:szCs w:val="26"/>
          <w:highlight w:val="yellow"/>
        </w:rPr>
        <w:t xml:space="preserve">Điều lệ Công ty cổ phần Giải pháp Công nghệ TURBO</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highlight w:val="yellow"/>
        </w:rPr>
        <w:t xml:space="preserve">Phòng Pháp chế</w:t>
      </w:r>
      <w:r>
        <w:rPr>
          <w:rFonts w:ascii="Times New Roman" w:cs="Times New Roman" w:eastAsia="Times New Roman" w:hAnsi="Times New Roman"/>
          <w:b w:val="false"/>
          <w:bCs w:val="false"/>
          <w:i w:val="false"/>
          <w:iCs w:val="false"/>
          <w:sz w:val="26"/>
          <w:szCs w:val="26"/>
        </w:rPr>
        <w:t xml:space="preserve"> kính trình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xem xét, phê duyệt việc triển khai các nghĩa vụ BVDLCN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như sau:</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Viết tắt: Luật 91 là Luật Bảo vệ dữ liệu cá nhân; NĐ 356, NĐ 330 là các Nghị định số 356/2025/NĐ-CP, 330/2026/NĐ-CP; NQ 22 là Nghị quyết số 22/2026/NQ-CP; DLCN là dữ liệu cá nhân; BVDLCN là bảo vệ dữ liệu cá nhân; DPIA là hồ sơ đánh giá tác động xử lý DLCN. "Đ21.1" nghĩa là khoản 1 Điều 21.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 SỰ CẦN THIẾT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1. Cơ sở pháp lý</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2958"/>
        <w:gridCol w:w="2958"/>
        <w:gridCol w:w="2437"/>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295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Nghĩa vụ</w:t>
            </w:r>
          </w:p>
        </w:tc>
        <w:tc>
          <w:tcPr>
            <w:tcW w:type="dxa" w:w="295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hạn</w:t>
            </w:r>
          </w:p>
        </w:tc>
        <w:tc>
          <w:tcPr>
            <w:tcW w:type="dxa" w:w="243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2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Bên kiểm soát, bên kiểm soát và xử lý DLCN lập, lưu trữ DPIA và gửi 01 bản chính cho cơ quan chuyên trách BVDLCN</w:t>
            </w:r>
          </w:p>
        </w:tc>
        <w:tc>
          <w:tcPr>
            <w:tcW w:type="dxa" w:w="2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60 ngày kể từ ngày đầu tiên xử lý DLCN</w:t>
            </w:r>
          </w:p>
        </w:tc>
        <w:tc>
          <w:tcPr>
            <w:tcW w:type="dxa" w:w="2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Đ21.1; NĐ 356 Đ19</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2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Lập hồ sơ đánh giá tác động chuyển DLCN xuyên biên giới khi chuyển dữ liệu ra hệ thống đặt ngoài lãnh thổ (kể cả cloud của nhà cung cấp ở nước ngoài), chuyển cho tổ chức ở nước ngoài, hoặc dùng nền tảng ở nước ngoài để xử lý DLCN thu thập tại Việt Nam; gửi 01 bản chính</w:t>
            </w:r>
          </w:p>
        </w:tc>
        <w:tc>
          <w:tcPr>
            <w:tcW w:type="dxa" w:w="2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60 ngày kể từ ngày đầu tiên chuyển dữ liệu</w:t>
            </w:r>
          </w:p>
        </w:tc>
        <w:tc>
          <w:tcPr>
            <w:tcW w:type="dxa" w:w="2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Đ20.1–20.2; NĐ 356 Đ17.1, Đ18</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2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Cập nhật hai loại hồ sơ trên</w:t>
            </w:r>
          </w:p>
        </w:tc>
        <w:tc>
          <w:tcPr>
            <w:tcW w:type="dxa" w:w="2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Định kỳ 06 tháng khi có mục đích mới hoặc thay đổi các bên; trong 10 ngày khi tổ chức lại, thay đổi nhà cung cấp dịch vụ BVDLCN, thay đổi ngành nghề liên quan</w:t>
            </w:r>
          </w:p>
        </w:tc>
        <w:tc>
          <w:tcPr>
            <w:tcW w:type="dxa" w:w="2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Đ22; NĐ 356 Đ20</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2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định bộ phận, nhân sự đủ điều kiện năng lực BVDLCN, hoặc thuê dịch vụ BVDLCN</w:t>
            </w:r>
          </w:p>
        </w:tc>
        <w:tc>
          <w:tcPr>
            <w:tcW w:type="dxa" w:w="2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Khi xử lý DLCN</w:t>
            </w:r>
          </w:p>
        </w:tc>
        <w:tc>
          <w:tcPr>
            <w:tcW w:type="dxa" w:w="2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Đ33.2; NĐ 356 Đ13</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2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báo cơ quan chuyên trách BVDLCN khi phát hiện vi phạm có thể gây tổn hại quốc phòng, an ninh, trật tự hoặc tính mạng, sức khỏe, danh dự, tài sản của chủ thể; lập biên bản xác nhận vi phạm</w:t>
            </w:r>
          </w:p>
        </w:tc>
        <w:tc>
          <w:tcPr>
            <w:tcW w:type="dxa" w:w="2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Chậm nhất 72 giờ kể từ khi phát hiện</w:t>
            </w:r>
          </w:p>
        </w:tc>
        <w:tc>
          <w:tcPr>
            <w:tcW w:type="dxa" w:w="2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Luật 91 Đ23.1–23.2</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6</w:t>
            </w:r>
          </w:p>
        </w:tc>
        <w:tc>
          <w:tcPr>
            <w:tcW w:type="dxa" w:w="2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Kinh doanh một trong 09 dịch vụ xử lý DLCN phải có Giấy chứng nhận đủ điều kiện và đáp ứng điều kiện về nhân sự, hạ tầng, hồ sơ DPIA đạt yêu cầu</w:t>
            </w:r>
          </w:p>
        </w:tc>
        <w:tc>
          <w:tcPr>
            <w:tcW w:type="dxa" w:w="295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Trước khi kinh doanh</w:t>
            </w:r>
          </w:p>
        </w:tc>
        <w:tc>
          <w:tcPr>
            <w:tcW w:type="dxa" w:w="243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356 Đ21, Đ22</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Hồ sơ nộp qua Cổng Dịch vụ công quốc gia, trực tiếp hoặc bưu chính về Bộ Công an; Bộ Công an tiếp nhận, phân loại và chuyển Công an tỉnh, thành phố xử lý (NQ 22 Phụ lục I.7). Thủ tục theo NQ 22 áp dụng từ 29/4/2026 đến hết 01/3/2027 (NQ 22 Đ6.1).</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2. Hiện trạng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715"/>
        <w:gridCol w:w="3719"/>
        <w:gridCol w:w="4591"/>
      </w:tblGrid>
      <w:tr>
        <w:trPr>
          <w:cantSplit/>
          <w:tblHeader/>
        </w:trPr>
        <w:tc>
          <w:tcPr>
            <w:tcW w:type="dxa" w:w="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STT</w:t>
            </w:r>
          </w:p>
        </w:tc>
        <w:tc>
          <w:tcPr>
            <w:tcW w:type="dxa" w:w="37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Nội dung</w:t>
            </w:r>
          </w:p>
        </w:tc>
        <w:tc>
          <w:tcPr>
            <w:tcW w:type="dxa" w:w="459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Hiện trạng tại </w:t>
            </w:r>
            <w:r>
              <w:rPr>
                <w:rFonts w:ascii="Times New Roman" w:cs="Times New Roman" w:eastAsia="Times New Roman" w:hAnsi="Times New Roman"/>
                <w:b/>
                <w:bCs/>
                <w:i w:val="false"/>
                <w:iCs w:val="false"/>
                <w:sz w:val="24"/>
                <w:szCs w:val="24"/>
                <w:highlight w:val="yellow"/>
              </w:rPr>
              <w:t xml:space="preserve">Công ty cổ phần Giải pháp Công nghệ TURBO</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1</w:t>
            </w:r>
          </w:p>
        </w:tc>
        <w:tc>
          <w:tcPr>
            <w:tcW w:type="dxa" w:w="37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Vai trò của </w:t>
            </w:r>
            <w:r>
              <w:rPr>
                <w:rFonts w:ascii="Times New Roman" w:cs="Times New Roman" w:eastAsia="Times New Roman" w:hAnsi="Times New Roman"/>
                <w:b w:val="false"/>
                <w:bCs w:val="false"/>
                <w:i w:val="false"/>
                <w:iCs w:val="false"/>
                <w:sz w:val="24"/>
                <w:szCs w:val="24"/>
                <w:highlight w:val="yellow"/>
              </w:rPr>
              <w:t xml:space="preserve">Công ty cổ phần Giải pháp Công nghệ TURBO</w:t>
            </w:r>
            <w:r>
              <w:rPr>
                <w:rFonts w:ascii="Times New Roman" w:cs="Times New Roman" w:eastAsia="Times New Roman" w:hAnsi="Times New Roman"/>
                <w:b w:val="false"/>
                <w:bCs w:val="false"/>
                <w:i w:val="false"/>
                <w:iCs w:val="false"/>
                <w:sz w:val="24"/>
                <w:szCs w:val="24"/>
              </w:rPr>
              <w:t xml:space="preserve"> với từng hoạt động xử lý (bên kiểm soát, bên xử lý, bên kiểm soát và xử lý)</w:t>
            </w:r>
          </w:p>
        </w:tc>
        <w:tc>
          <w:tcPr>
            <w:tcW w:type="dxa" w:w="4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Bên kiểm soát và xử lý (DLCN khách hàng, người lao động)</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2</w:t>
            </w:r>
          </w:p>
        </w:tc>
        <w:tc>
          <w:tcPr>
            <w:tcW w:type="dxa" w:w="37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Số chủ thể DLCN cơ bản / nhạy cảm (tính tích lũy)</w:t>
            </w:r>
          </w:p>
        </w:tc>
        <w:tc>
          <w:tcPr>
            <w:tcW w:type="dxa" w:w="4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khoảng 150.000</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val="false"/>
                <w:iCs w:val="false"/>
                <w:sz w:val="24"/>
                <w:szCs w:val="24"/>
                <w:highlight w:val="yellow"/>
              </w:rPr>
              <w:t xml:space="preserve">0</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3</w:t>
            </w:r>
          </w:p>
        </w:tc>
        <w:tc>
          <w:tcPr>
            <w:tcW w:type="dxa" w:w="37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Hồ sơ DPIA</w:t>
            </w:r>
          </w:p>
        </w:tc>
        <w:tc>
          <w:tcPr>
            <w:tcW w:type="dxa" w:w="4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Chưa có</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4</w:t>
            </w:r>
          </w:p>
        </w:tc>
        <w:tc>
          <w:tcPr>
            <w:tcW w:type="dxa" w:w="37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Luồng dữ liệu ra nước ngoài (cloud, SaaS, công ty mẹ)</w:t>
            </w:r>
          </w:p>
        </w:tc>
        <w:tc>
          <w:tcPr>
            <w:tcW w:type="dxa" w:w="4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01 luồng (thư điện tử giao dịch, Singapore); chưa lập hồ sơ</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5</w:t>
            </w:r>
          </w:p>
        </w:tc>
        <w:tc>
          <w:tcPr>
            <w:tcW w:type="dxa" w:w="37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Nhân sự BVDLCN</w:t>
            </w:r>
          </w:p>
        </w:tc>
        <w:tc>
          <w:tcPr>
            <w:tcW w:type="dxa" w:w="4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Chưa có văn bản chỉ định</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6</w:t>
            </w:r>
          </w:p>
        </w:tc>
        <w:tc>
          <w:tcPr>
            <w:tcW w:type="dxa" w:w="37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Kết luận rà soát "kinh doanh dịch vụ xử lý DLCN"</w:t>
            </w:r>
          </w:p>
        </w:tc>
        <w:tc>
          <w:tcPr>
            <w:tcW w:type="dxa" w:w="4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Chưa kết luận</w:t>
            </w:r>
          </w:p>
        </w:tc>
      </w:tr>
      <w:tr>
        <w:trPr>
          <w:cantSplit/>
          <w:tblHeader w:val="false"/>
        </w:trPr>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7</w:t>
            </w:r>
          </w:p>
        </w:tc>
        <w:tc>
          <w:tcPr>
            <w:tcW w:type="dxa" w:w="37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Quy trình thông báo vi phạm 72 giờ</w:t>
            </w:r>
          </w:p>
        </w:tc>
        <w:tc>
          <w:tcPr>
            <w:tcW w:type="dxa" w:w="459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Chưa có</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3. Diện miễn trừ và ngoại lệ</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a) Doanh nghiệp nhỏ, doanh nghiệp khởi nghiệp được </w:t>
      </w:r>
      <w:r>
        <w:rPr>
          <w:rFonts w:ascii="Times New Roman" w:cs="Times New Roman" w:eastAsia="Times New Roman" w:hAnsi="Times New Roman"/>
          <w:b/>
          <w:bCs/>
          <w:i w:val="false"/>
          <w:iCs w:val="false"/>
          <w:sz w:val="26"/>
          <w:szCs w:val="26"/>
        </w:rPr>
        <w:t xml:space="preserve">lựa chọn</w:t>
      </w:r>
      <w:r>
        <w:rPr>
          <w:rFonts w:ascii="Times New Roman" w:cs="Times New Roman" w:eastAsia="Times New Roman" w:hAnsi="Times New Roman"/>
          <w:b w:val="false"/>
          <w:bCs w:val="false"/>
          <w:i w:val="false"/>
          <w:iCs w:val="false"/>
          <w:sz w:val="26"/>
          <w:szCs w:val="26"/>
        </w:rPr>
        <w:t xml:space="preserve"> thực hiện hay không thực hiện DPIA, cập nhật hồ sơ và chỉ định nhân sự BVDLCN trong 05 năm kể từ 01/01/2026. Hộ kinh doanh, doanh nghiệp siêu nhỏ không phải thực hiện các nghĩa vụ này (Luật 91 Đ38.2–38.3; NĐ 356 Đ41).</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 Không được hưởng miễn trừ nếu: kinh doanh dịch vụ xử lý DLCN; trực tiếp xử lý DLCN nhạy cảm; hoặc xử lý DLCN kể từ thời điểm quy mô đạt từ 100.000 chủ thể trở lên, tính trên kết quả tích lũy (NĐ 356 Đ41).</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c) Miễn trừ </w:t>
      </w:r>
      <w:r>
        <w:rPr>
          <w:rFonts w:ascii="Times New Roman" w:cs="Times New Roman" w:eastAsia="Times New Roman" w:hAnsi="Times New Roman"/>
          <w:b/>
          <w:bCs/>
          <w:i w:val="false"/>
          <w:iCs w:val="false"/>
          <w:sz w:val="26"/>
          <w:szCs w:val="26"/>
        </w:rPr>
        <w:t xml:space="preserve">không</w:t>
      </w:r>
      <w:r>
        <w:rPr>
          <w:rFonts w:ascii="Times New Roman" w:cs="Times New Roman" w:eastAsia="Times New Roman" w:hAnsi="Times New Roman"/>
          <w:b w:val="false"/>
          <w:bCs w:val="false"/>
          <w:i w:val="false"/>
          <w:iCs w:val="false"/>
          <w:sz w:val="26"/>
          <w:szCs w:val="26"/>
        </w:rPr>
        <w:t xml:space="preserve"> bao gồm hồ sơ chuyển DLCN xuyên biên giới (Luật 91 Đ20) và nghĩa vụ thông báo vi phạm (Luật 91 Đ23). Đây là cách đọc theo câu chữ Luật 91 Đ38.2–38.3 (xem Hướng dẫn điền, điểm C14).</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d) Kết luận đối với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không thuộc diện miễn trừ (xử lý DLCN của khoảng 150.000 chủ thể — NĐ 356 Đ41)</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4. Rủi ro nếu không thực hiện (mức phạt tổ chức)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2395"/>
        <w:gridCol w:w="1718"/>
        <w:gridCol w:w="2274"/>
        <w:gridCol w:w="2638"/>
      </w:tblGrid>
      <w:tr>
        <w:trPr>
          <w:cantSplit/>
          <w:tblHeader/>
        </w:trPr>
        <w:tc>
          <w:tcPr>
            <w:tcW w:type="dxa" w:w="239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Hành vi</w:t>
            </w:r>
          </w:p>
        </w:tc>
        <w:tc>
          <w:tcPr>
            <w:tcW w:type="dxa" w:w="171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Căn cứ</w:t>
            </w:r>
          </w:p>
        </w:tc>
        <w:tc>
          <w:tcPr>
            <w:tcW w:type="dxa" w:w="227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Mức phạt tổ chức</w:t>
            </w:r>
          </w:p>
        </w:tc>
        <w:tc>
          <w:tcPr>
            <w:tcW w:type="dxa" w:w="26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Biện pháp khác</w:t>
            </w:r>
          </w:p>
        </w:tc>
      </w:tr>
      <w:tr>
        <w:trPr>
          <w:cantSplit/>
          <w:tblHeader w:val="false"/>
        </w:trPr>
        <w:tc>
          <w:tcPr>
            <w:tcW w:type="dxa" w:w="23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lập, duy trì DPIA; không gửi trong 60 ngày; không cập nhật 06 tháng hoặc 10 ngày</w:t>
            </w:r>
          </w:p>
        </w:tc>
        <w:tc>
          <w:tcPr>
            <w:tcW w:type="dxa" w:w="17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Đ55.1</w:t>
            </w:r>
          </w:p>
        </w:tc>
        <w:tc>
          <w:tcPr>
            <w:tcW w:type="dxa" w:w="22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20–30 triệu đồng</w:t>
            </w:r>
          </w:p>
        </w:tc>
        <w:tc>
          <w:tcPr>
            <w:tcW w:type="dxa" w:w="2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Buộc dừng xử lý DLCN đến khi hoàn thành và được xác nhận, nếu không lập hồ sơ (Đ55.3.b)</w:t>
            </w:r>
          </w:p>
        </w:tc>
      </w:tr>
      <w:tr>
        <w:trPr>
          <w:cantSplit/>
          <w:tblHeader w:val="false"/>
        </w:trPr>
        <w:tc>
          <w:tcPr>
            <w:tcW w:type="dxa" w:w="23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lập, không nộp hồ sơ chuyển DLCN xuyên biên giới trong 60 ngày</w:t>
            </w:r>
          </w:p>
        </w:tc>
        <w:tc>
          <w:tcPr>
            <w:tcW w:type="dxa" w:w="17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Đ56.1.a–b</w:t>
            </w:r>
          </w:p>
        </w:tc>
        <w:tc>
          <w:tcPr>
            <w:tcW w:type="dxa" w:w="22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30–50 triệu đồng</w:t>
            </w:r>
          </w:p>
        </w:tc>
        <w:tc>
          <w:tcPr>
            <w:tcW w:type="dxa" w:w="2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Buộc ngừng chuyển dữ liệu đến khi hoàn thành (Đ56.6.b)</w:t>
            </w:r>
          </w:p>
        </w:tc>
      </w:tr>
      <w:tr>
        <w:trPr>
          <w:cantSplit/>
          <w:tblHeader w:val="false"/>
        </w:trPr>
        <w:tc>
          <w:tcPr>
            <w:tcW w:type="dxa" w:w="23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Chuyển xuyên biên giới không lập hồ sơ, dẫn đến lộ, mất DLCN</w:t>
            </w:r>
          </w:p>
        </w:tc>
        <w:tc>
          <w:tcPr>
            <w:tcW w:type="dxa" w:w="17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Đ56.3–56.4</w:t>
            </w:r>
          </w:p>
        </w:tc>
        <w:tc>
          <w:tcPr>
            <w:tcW w:type="dxa" w:w="22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1–5% tổng doanh thu năm tài chính liền trước tại Việt Nam, theo số chủ thể bị ảnh hưởng; nếu không có doanh thu hoặc mức tính thấp hơn 03 tỷ đồng thì 200 triệu – 03 tỷ đồng</w:t>
            </w:r>
          </w:p>
        </w:tc>
        <w:tc>
          <w:tcPr>
            <w:tcW w:type="dxa" w:w="2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Đình chỉ chuyển DLCN xuyên biên giới 06–12 tháng (Đ56.5.b)</w:t>
            </w:r>
          </w:p>
        </w:tc>
      </w:tr>
      <w:tr>
        <w:trPr>
          <w:cantSplit/>
          <w:tblHeader w:val="false"/>
        </w:trPr>
        <w:tc>
          <w:tcPr>
            <w:tcW w:type="dxa" w:w="23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Không ban hành văn bản chỉ định nhân sự BVDLCN; nhân sự không đủ điều kiện</w:t>
            </w:r>
          </w:p>
        </w:tc>
        <w:tc>
          <w:tcPr>
            <w:tcW w:type="dxa" w:w="17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Đ57.2</w:t>
            </w:r>
          </w:p>
        </w:tc>
        <w:tc>
          <w:tcPr>
            <w:tcW w:type="dxa" w:w="22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20–30 triệu đồng</w:t>
            </w:r>
          </w:p>
        </w:tc>
        <w:tc>
          <w:tcPr>
            <w:tcW w:type="dxa" w:w="2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Buộc thay nhân sự (Đ57.3.a)</w:t>
            </w:r>
          </w:p>
        </w:tc>
      </w:tr>
      <w:tr>
        <w:trPr>
          <w:cantSplit/>
          <w:tblHeader w:val="false"/>
        </w:trPr>
        <w:tc>
          <w:tcPr>
            <w:tcW w:type="dxa" w:w="23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Thông báo vi phạm cho cơ quan chuyên trách chậm hơn 72 giờ</w:t>
            </w:r>
          </w:p>
        </w:tc>
        <w:tc>
          <w:tcPr>
            <w:tcW w:type="dxa" w:w="17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Đ54.3</w:t>
            </w:r>
          </w:p>
        </w:tc>
        <w:tc>
          <w:tcPr>
            <w:tcW w:type="dxa" w:w="22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40–60 triệu đồng</w:t>
            </w:r>
          </w:p>
        </w:tc>
        <w:tc>
          <w:tcPr>
            <w:tcW w:type="dxa" w:w="2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Buộc thông báo đúng hạn (Đ54.5.a)</w:t>
            </w:r>
          </w:p>
        </w:tc>
      </w:tr>
      <w:tr>
        <w:trPr>
          <w:cantSplit/>
          <w:tblHeader w:val="false"/>
        </w:trPr>
        <w:tc>
          <w:tcPr>
            <w:tcW w:type="dxa" w:w="239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Kinh doanh dịch vụ xử lý DLCN khi chưa có Giấy chứng nhận</w:t>
            </w:r>
          </w:p>
        </w:tc>
        <w:tc>
          <w:tcPr>
            <w:tcW w:type="dxa" w:w="171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330 Đ59.3.a</w:t>
            </w:r>
          </w:p>
        </w:tc>
        <w:tc>
          <w:tcPr>
            <w:tcW w:type="dxa" w:w="22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50–80 triệu đồng</w:t>
            </w:r>
          </w:p>
        </w:tc>
        <w:tc>
          <w:tcPr>
            <w:tcW w:type="dxa" w:w="26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Buộc hủy dữ liệu xử lý trái phép; nộp lại khoản thu (Đ59.5)</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Trong lĩnh vực BVDLCN, mức phạt ghi trong điều khoản là mức cho tổ chức (NĐ 330 Đ7.1). Mức tối đa đối với tổ chức là 03 tỷ đồng; riêng vi phạm về chuyển DLCN xuyên biên giới là 5% doanh thu năm trước liền kề nếu cao hơn (NĐ 330 Đ7.4).</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 NỘI DUNG ĐỀ XUẤT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bCs/>
          <w:i w:val="false"/>
          <w:iCs w:val="false"/>
          <w:sz w:val="26"/>
          <w:szCs w:val="26"/>
        </w:rPr>
        <w:t xml:space="preserve">Kiểm kê hoạt động xử lý DLCN:</w:t>
      </w:r>
      <w:r>
        <w:rPr>
          <w:rFonts w:ascii="Times New Roman" w:cs="Times New Roman" w:eastAsia="Times New Roman" w:hAnsi="Times New Roman"/>
          <w:b w:val="false"/>
          <w:bCs w:val="false"/>
          <w:i w:val="false"/>
          <w:iCs w:val="false"/>
          <w:sz w:val="26"/>
          <w:szCs w:val="26"/>
        </w:rPr>
        <w:t xml:space="preserve"> lập danh mục hoạt động xử lý theo từng HTTT, gồm loại dữ liệu (cơ bản, nhạy cảm), số chủ thể, vai trò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vị trí lưu trữ, bên nhận. Dùng chung bảng kiểm kê với việc xác định cấp độ HTTT.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bCs/>
          <w:i w:val="false"/>
          <w:iCs w:val="false"/>
          <w:sz w:val="26"/>
          <w:szCs w:val="26"/>
        </w:rPr>
        <w:t xml:space="preserve">Hồ sơ DPIA:</w:t>
      </w:r>
      <w:r>
        <w:rPr>
          <w:rFonts w:ascii="Times New Roman" w:cs="Times New Roman" w:eastAsia="Times New Roman" w:hAnsi="Times New Roman"/>
          <w:b w:val="false"/>
          <w:bCs w:val="false"/>
          <w:i w:val="false"/>
          <w:iCs w:val="false"/>
          <w:sz w:val="26"/>
          <w:szCs w:val="26"/>
        </w:rPr>
        <w:t xml:space="preserve"> lập DPIA cho </w:t>
      </w:r>
      <w:r>
        <w:rPr>
          <w:rFonts w:ascii="Times New Roman" w:cs="Times New Roman" w:eastAsia="Times New Roman" w:hAnsi="Times New Roman"/>
          <w:b w:val="false"/>
          <w:bCs w:val="false"/>
          <w:i w:val="false"/>
          <w:iCs w:val="false"/>
          <w:sz w:val="26"/>
          <w:szCs w:val="26"/>
          <w:highlight w:val="yellow"/>
        </w:rPr>
        <w:t xml:space="preserve">Hệ thống CRM Online</w:t>
      </w:r>
      <w:r>
        <w:rPr>
          <w:rFonts w:ascii="Times New Roman" w:cs="Times New Roman" w:eastAsia="Times New Roman" w:hAnsi="Times New Roman"/>
          <w:b w:val="false"/>
          <w:bCs w:val="false"/>
          <w:i w:val="false"/>
          <w:iCs w:val="false"/>
          <w:sz w:val="26"/>
          <w:szCs w:val="26"/>
        </w:rPr>
        <w:t xml:space="preserve">; nộp trước </w:t>
      </w:r>
      <w:r>
        <w:rPr>
          <w:rFonts w:ascii="Times New Roman" w:cs="Times New Roman" w:eastAsia="Times New Roman" w:hAnsi="Times New Roman"/>
          <w:b w:val="false"/>
          <w:bCs w:val="false"/>
          <w:i w:val="false"/>
          <w:iCs w:val="false"/>
          <w:sz w:val="26"/>
          <w:szCs w:val="26"/>
          <w:highlight w:val="yellow"/>
        </w:rPr>
        <w:t xml:space="preserve">31/10/2026</w:t>
      </w:r>
      <w:r>
        <w:rPr>
          <w:rFonts w:ascii="Times New Roman" w:cs="Times New Roman" w:eastAsia="Times New Roman" w:hAnsi="Times New Roman"/>
          <w:b w:val="false"/>
          <w:bCs w:val="false"/>
          <w:i w:val="false"/>
          <w:iCs w:val="false"/>
          <w:sz w:val="26"/>
          <w:szCs w:val="26"/>
        </w:rPr>
        <w:t xml:space="preserve">. Thiết lập lịch cập nhật 06 tháng và cơ chế cập nhật trong 10 ngày.</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bCs/>
          <w:i w:val="false"/>
          <w:iCs w:val="false"/>
          <w:sz w:val="26"/>
          <w:szCs w:val="26"/>
        </w:rPr>
        <w:t xml:space="preserve">Hồ sơ chuyển DLCN xuyên biên giới:</w:t>
      </w:r>
      <w:r>
        <w:rPr>
          <w:rFonts w:ascii="Times New Roman" w:cs="Times New Roman" w:eastAsia="Times New Roman" w:hAnsi="Times New Roman"/>
          <w:b w:val="false"/>
          <w:bCs w:val="false"/>
          <w:i w:val="false"/>
          <w:iCs w:val="false"/>
          <w:sz w:val="26"/>
          <w:szCs w:val="26"/>
        </w:rPr>
        <w:t xml:space="preserve"> lập cho các luồng </w:t>
      </w:r>
      <w:r>
        <w:rPr>
          <w:rFonts w:ascii="Times New Roman" w:cs="Times New Roman" w:eastAsia="Times New Roman" w:hAnsi="Times New Roman"/>
          <w:b w:val="false"/>
          <w:bCs w:val="false"/>
          <w:i w:val="false"/>
          <w:iCs w:val="false"/>
          <w:sz w:val="26"/>
          <w:szCs w:val="26"/>
          <w:highlight w:val="yellow"/>
        </w:rPr>
        <w:t xml:space="preserve">dịch vụ gửi thư điện tử giao dịch đặt máy chủ tại Singapore</w:t>
      </w:r>
      <w:r>
        <w:rPr>
          <w:rFonts w:ascii="Times New Roman" w:cs="Times New Roman" w:eastAsia="Times New Roman" w:hAnsi="Times New Roman"/>
          <w:b w:val="false"/>
          <w:bCs w:val="false"/>
          <w:i w:val="false"/>
          <w:iCs w:val="false"/>
          <w:sz w:val="26"/>
          <w:szCs w:val="26"/>
        </w:rPr>
        <w:t xml:space="preserve">; ký hoặc bổ sung hợp đồng ràng buộc trách nhiệm với bên nhận; ghi nhận căn cứ miễn đối với các luồng thuộc trường hợp được miễn (Luật 91 Đ20.6; NĐ 356 Đ17.3).</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w:t>
      </w:r>
      <w:r>
        <w:rPr>
          <w:rFonts w:ascii="Times New Roman" w:cs="Times New Roman" w:eastAsia="Times New Roman" w:hAnsi="Times New Roman"/>
          <w:b/>
          <w:bCs/>
          <w:i w:val="false"/>
          <w:iCs w:val="false"/>
          <w:sz w:val="26"/>
          <w:szCs w:val="26"/>
        </w:rPr>
        <w:t xml:space="preserve">Nhân sự BVDLCN:</w:t>
      </w:r>
      <w:r>
        <w:rPr>
          <w:rFonts w:ascii="Times New Roman" w:cs="Times New Roman" w:eastAsia="Times New Roman" w:hAnsi="Times New Roman"/>
          <w:b w:val="false"/>
          <w:bCs w:val="false"/>
          <w:i w:val="false"/>
          <w:iCs w:val="false"/>
          <w:sz w:val="26"/>
          <w:szCs w:val="26"/>
        </w:rPr>
        <w:t xml:space="preserve"> chỉ định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bằng văn bản chính thức, nêu rõ chức năng, nhiệm vụ, quyền hạn (NĐ 356 Đ13.1); ký thỏa thuận trách nhiệm bảo mật (NĐ 356 Đ13.5); bố trí đào tạo (NĐ 356 Đ13.6).</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bCs/>
          <w:i w:val="false"/>
          <w:iCs w:val="false"/>
          <w:sz w:val="26"/>
          <w:szCs w:val="26"/>
        </w:rPr>
        <w:t xml:space="preserve">Rà soát "kinh doanh dịch vụ xử lý DLCN":</w:t>
      </w:r>
      <w:r>
        <w:rPr>
          <w:rFonts w:ascii="Times New Roman" w:cs="Times New Roman" w:eastAsia="Times New Roman" w:hAnsi="Times New Roman"/>
          <w:b w:val="false"/>
          <w:bCs w:val="false"/>
          <w:i w:val="false"/>
          <w:iCs w:val="false"/>
          <w:sz w:val="26"/>
          <w:szCs w:val="26"/>
        </w:rPr>
        <w:t xml:space="preserve"> đối chiếu các dịch vụ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cung cấp cho khách hàng với 09 loại dịch vụ tại NĐ 356 Đ21. Nếu thuộc phạm vi thì lập hồ sơ đề nghị cấp Giấy chứng nhận (NĐ 356 Đ22). Nếu còn vùng chưa rõ thì xin ý kiến bằng văn bản của cơ quan chuyên trách BVDLCN hoặc luật sư.</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6. </w:t>
      </w:r>
      <w:r>
        <w:rPr>
          <w:rFonts w:ascii="Times New Roman" w:cs="Times New Roman" w:eastAsia="Times New Roman" w:hAnsi="Times New Roman"/>
          <w:b/>
          <w:bCs/>
          <w:i w:val="false"/>
          <w:iCs w:val="false"/>
          <w:sz w:val="26"/>
          <w:szCs w:val="26"/>
        </w:rPr>
        <w:t xml:space="preserve">Thông báo vi phạm 72 giờ:</w:t>
      </w:r>
      <w:r>
        <w:rPr>
          <w:rFonts w:ascii="Times New Roman" w:cs="Times New Roman" w:eastAsia="Times New Roman" w:hAnsi="Times New Roman"/>
          <w:b w:val="false"/>
          <w:bCs w:val="false"/>
          <w:i w:val="false"/>
          <w:iCs w:val="false"/>
          <w:sz w:val="26"/>
          <w:szCs w:val="26"/>
        </w:rPr>
        <w:t xml:space="preserve"> tích hợp vào quy trình ứng phó sự cố ANM một nhánh đánh giá có liên quan DLCN hay không, lập biên bản xác nhận vi phạm và thông báo đúng hạn.</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III. KINH PHÍ DỰ KIẾN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4510"/>
        <w:gridCol w:w="1531"/>
        <w:gridCol w:w="2312"/>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451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Nội dung</w:t>
            </w:r>
          </w:p>
        </w:tc>
        <w:tc>
          <w:tcPr>
            <w:tcW w:type="dxa" w:w="153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Kinh phí dự kiến (đồng)</w:t>
            </w:r>
          </w:p>
        </w:tc>
        <w:tc>
          <w:tcPr>
            <w:tcW w:type="dxa" w:w="231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Ghi chú</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45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Kiểm kê dữ liệu, lập DPIA và hồ sơ chuyển xuyên biên giới</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60.000.000</w:t>
            </w:r>
          </w:p>
        </w:tc>
        <w:tc>
          <w:tcPr>
            <w:tcW w:type="dxa" w:w="23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Nội bộ hoặc thuê tư vấn</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45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Đào tạo nhân sự BVDLCN</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20.000.000</w:t>
            </w:r>
          </w:p>
        </w:tc>
        <w:tc>
          <w:tcPr>
            <w:tcW w:type="dxa" w:w="23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NĐ 356 Đ13.6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45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Rà soát, bổ sung hợp đồng với bên xử lý, bên nhận</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15.000.000</w:t>
            </w:r>
          </w:p>
        </w:tc>
        <w:tc>
          <w:tcPr>
            <w:tcW w:type="dxa" w:w="23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45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Tư vấn pháp lý về phạm vi "kinh doanh dịch vụ xử lý DLCN"</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30.000.000</w:t>
            </w:r>
          </w:p>
        </w:tc>
        <w:tc>
          <w:tcPr>
            <w:tcW w:type="dxa" w:w="23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Nếu cần</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45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Hồ sơ đề nghị cấp Giấy chứng nhận (nếu thuộc diện)</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0</w:t>
            </w:r>
          </w:p>
        </w:tc>
        <w:tc>
          <w:tcPr>
            <w:tcW w:type="dxa" w:w="23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c>
          <w:tcPr>
            <w:tcW w:type="dxa" w:w="451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rPr>
              <w:t xml:space="preserve">Tổng cộng</w:t>
            </w:r>
          </w:p>
        </w:tc>
        <w:tc>
          <w:tcPr>
            <w:tcW w:type="dxa" w:w="153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bCs/>
                <w:i w:val="false"/>
                <w:iCs w:val="false"/>
                <w:sz w:val="22"/>
                <w:szCs w:val="22"/>
                <w:highlight w:val="yellow"/>
              </w:rPr>
              <w:t xml:space="preserve">125.000.000</w:t>
            </w:r>
          </w:p>
        </w:tc>
        <w:tc>
          <w:tcPr>
            <w:tcW w:type="dxa" w:w="231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Nguồn kinh phí: </w:t>
      </w:r>
      <w:r>
        <w:rPr>
          <w:rFonts w:ascii="Times New Roman" w:cs="Times New Roman" w:eastAsia="Times New Roman" w:hAnsi="Times New Roman"/>
          <w:b w:val="false"/>
          <w:bCs w:val="false"/>
          <w:i w:val="false"/>
          <w:iCs w:val="false"/>
          <w:sz w:val="26"/>
          <w:szCs w:val="26"/>
          <w:highlight w:val="yellow"/>
        </w:rPr>
        <w:t xml:space="preserve">Ngân sách hoạt động năm 2026 của Công ty</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IV. TIẾN ĐỘ</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2797"/>
        <w:gridCol w:w="2448"/>
        <w:gridCol w:w="3108"/>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27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Công việc</w:t>
            </w:r>
          </w:p>
        </w:tc>
        <w:tc>
          <w:tcPr>
            <w:tcW w:type="dxa" w:w="244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Đơn vị chủ trì</w:t>
            </w:r>
          </w:p>
        </w:tc>
        <w:tc>
          <w:tcPr>
            <w:tcW w:type="dxa" w:w="310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Thời hạn</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27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Chỉ định nhân sự BVDLCN</w:t>
            </w:r>
          </w:p>
        </w:tc>
        <w:tc>
          <w:tcPr>
            <w:tcW w:type="dxa" w:w="24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Pháp chế</w:t>
            </w:r>
          </w:p>
        </w:tc>
        <w:tc>
          <w:tcPr>
            <w:tcW w:type="dxa" w:w="31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15/10/2026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27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Hoàn thành kiểm kê hoạt động xử lý DLCN</w:t>
            </w:r>
          </w:p>
        </w:tc>
        <w:tc>
          <w:tcPr>
            <w:tcW w:type="dxa" w:w="24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Chuyên viên bảo vệ DLCN (bà Phạm Thu Dung)</w:t>
            </w:r>
          </w:p>
        </w:tc>
        <w:tc>
          <w:tcPr>
            <w:tcW w:type="dxa" w:w="31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20/10/2026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27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Kết luận phạm vi "kinh doanh dịch vụ xử lý DLCN"</w:t>
            </w:r>
          </w:p>
        </w:tc>
        <w:tc>
          <w:tcPr>
            <w:tcW w:type="dxa" w:w="24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Pháp chế</w:t>
            </w:r>
          </w:p>
        </w:tc>
        <w:tc>
          <w:tcPr>
            <w:tcW w:type="dxa" w:w="31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25/10/2026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27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Nộp DPIA</w:t>
            </w:r>
          </w:p>
        </w:tc>
        <w:tc>
          <w:tcPr>
            <w:tcW w:type="dxa" w:w="24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Chuyên viên bảo vệ DLCN (bà Phạm Thu Dung)</w:t>
            </w:r>
          </w:p>
        </w:tc>
        <w:tc>
          <w:tcPr>
            <w:tcW w:type="dxa" w:w="31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Trong 60 ngày kể từ ngày đầu xử lý: </w:t>
            </w:r>
            <w:r>
              <w:rPr>
                <w:rFonts w:ascii="Times New Roman" w:cs="Times New Roman" w:eastAsia="Times New Roman" w:hAnsi="Times New Roman"/>
                <w:b w:val="false"/>
                <w:bCs w:val="false"/>
                <w:i w:val="false"/>
                <w:iCs w:val="false"/>
                <w:sz w:val="22"/>
                <w:szCs w:val="22"/>
                <w:highlight w:val="yellow"/>
              </w:rPr>
              <w:t xml:space="preserve">31/10/2026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5</w:t>
            </w:r>
          </w:p>
        </w:tc>
        <w:tc>
          <w:tcPr>
            <w:tcW w:type="dxa" w:w="27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Nộp hồ sơ chuyển DLCN xuyên biên giới</w:t>
            </w:r>
          </w:p>
        </w:tc>
        <w:tc>
          <w:tcPr>
            <w:tcW w:type="dxa" w:w="24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Chuyên viên bảo vệ DLCN (bà Phạm Thu Dung)</w:t>
            </w:r>
          </w:p>
        </w:tc>
        <w:tc>
          <w:tcPr>
            <w:tcW w:type="dxa" w:w="31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Trong 60 ngày kể từ ngày đầu chuyển: </w:t>
            </w:r>
            <w:r>
              <w:rPr>
                <w:rFonts w:ascii="Times New Roman" w:cs="Times New Roman" w:eastAsia="Times New Roman" w:hAnsi="Times New Roman"/>
                <w:b w:val="false"/>
                <w:bCs w:val="false"/>
                <w:i w:val="false"/>
                <w:iCs w:val="false"/>
                <w:sz w:val="22"/>
                <w:szCs w:val="22"/>
                <w:highlight w:val="yellow"/>
              </w:rPr>
              <w:t xml:space="preserve">31/10/2026</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6</w:t>
            </w:r>
          </w:p>
        </w:tc>
        <w:tc>
          <w:tcPr>
            <w:tcW w:type="dxa" w:w="27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Cập nhật quy trình ứng phó sự cố (nhánh DLCN 72 giờ)</w:t>
            </w:r>
          </w:p>
        </w:tc>
        <w:tc>
          <w:tcPr>
            <w:tcW w:type="dxa" w:w="244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Phòng An ninh mạng</w:t>
            </w:r>
          </w:p>
        </w:tc>
        <w:tc>
          <w:tcPr>
            <w:tcW w:type="dxa" w:w="310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30/10/2026</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 TỔ CHỨC THỰC HIỆN</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w:t>
      </w:r>
      <w:r>
        <w:rPr>
          <w:rFonts w:ascii="Times New Roman" w:cs="Times New Roman" w:eastAsia="Times New Roman" w:hAnsi="Times New Roman"/>
          <w:b w:val="false"/>
          <w:bCs w:val="false"/>
          <w:i w:val="false"/>
          <w:iCs w:val="false"/>
          <w:sz w:val="26"/>
          <w:szCs w:val="26"/>
          <w:highlight w:val="yellow"/>
        </w:rPr>
        <w:t xml:space="preserve">Phòng Pháp chế</w:t>
      </w:r>
      <w:r>
        <w:rPr>
          <w:rFonts w:ascii="Times New Roman" w:cs="Times New Roman" w:eastAsia="Times New Roman" w:hAnsi="Times New Roman"/>
          <w:b w:val="false"/>
          <w:bCs w:val="false"/>
          <w:i w:val="false"/>
          <w:iCs w:val="false"/>
          <w:sz w:val="26"/>
          <w:szCs w:val="26"/>
        </w:rPr>
        <w:t xml:space="preserve"> và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đầu mối; lập, nộp, cập nhật hồ sơ; rà soát hợp đồng; tiếp nhận yêu cầu của chủ thể dữ liệu và cơ quan chuyên trách.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cung cấp phương án bảo đảm an toàn, sơ đồ hệ thống cho hồ sơ; tích hợp nhánh DLCN vào quy trình sự cố.</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cung cấp thông tin luồng dữ liệu, vị trí lưu trữ, nhà cung cấp cloud.</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Các đơn vị nghiệp vụ có xử lý DLCN (kinh doanh, chăm sóc khách hàng, nhân sự): kê khai hoạt động xử lý; tuân thủ quy trình.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w:t>
      </w:r>
      <w:r>
        <w:rPr>
          <w:rFonts w:ascii="Times New Roman" w:cs="Times New Roman" w:eastAsia="Times New Roman" w:hAnsi="Times New Roman"/>
          <w:b w:val="false"/>
          <w:bCs w:val="false"/>
          <w:i w:val="false"/>
          <w:iCs w:val="false"/>
          <w:sz w:val="26"/>
          <w:szCs w:val="26"/>
          <w:highlight w:val="yellow"/>
        </w:rPr>
        <w:t xml:space="preserve">Phòng Tài chính – Kế toán</w:t>
      </w:r>
      <w:r>
        <w:rPr>
          <w:rFonts w:ascii="Times New Roman" w:cs="Times New Roman" w:eastAsia="Times New Roman" w:hAnsi="Times New Roman"/>
          <w:b w:val="false"/>
          <w:bCs w:val="false"/>
          <w:i w:val="false"/>
          <w:iCs w:val="false"/>
          <w:sz w:val="26"/>
          <w:szCs w:val="26"/>
        </w:rPr>
        <w:t xml:space="preserve">: bố trí kinh phí.</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VI. KIẾN NGHỊ</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Kính trình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 xem xét, phê duyệt: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Các nội dung triển khai tại Mục II và tiến độ tại Mục IV.</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Chỉ định </w:t>
      </w:r>
      <w:r>
        <w:rPr>
          <w:rFonts w:ascii="Times New Roman" w:cs="Times New Roman" w:eastAsia="Times New Roman" w:hAnsi="Times New Roman"/>
          <w:b w:val="false"/>
          <w:bCs w:val="false"/>
          <w:i w:val="false"/>
          <w:iCs w:val="false"/>
          <w:sz w:val="26"/>
          <w:szCs w:val="26"/>
          <w:highlight w:val="yellow"/>
        </w:rPr>
        <w:t xml:space="preserve">Chuyên viên bảo vệ DLCN (bà Phạm Thu Dung)</w:t>
      </w:r>
      <w:r>
        <w:rPr>
          <w:rFonts w:ascii="Times New Roman" w:cs="Times New Roman" w:eastAsia="Times New Roman" w:hAnsi="Times New Roman"/>
          <w:b w:val="false"/>
          <w:bCs w:val="false"/>
          <w:i w:val="false"/>
          <w:iCs w:val="false"/>
          <w:sz w:val="26"/>
          <w:szCs w:val="26"/>
        </w:rPr>
        <w:t xml:space="preserve"> làm nhân sự BVDLCN của </w:t>
      </w:r>
      <w:r>
        <w:rPr>
          <w:rFonts w:ascii="Times New Roman" w:cs="Times New Roman" w:eastAsia="Times New Roman" w:hAnsi="Times New Roman"/>
          <w:b w:val="false"/>
          <w:bCs w:val="false"/>
          <w:i w:val="false"/>
          <w:iCs w:val="false"/>
          <w:sz w:val="26"/>
          <w:szCs w:val="26"/>
          <w:highlight w:val="yellow"/>
        </w:rPr>
        <w:t xml:space="preserve">Công ty cổ phần Giải pháp Công nghệ TURBO</w:t>
      </w:r>
      <w:r>
        <w:rPr>
          <w:rFonts w:ascii="Times New Roman" w:cs="Times New Roman" w:eastAsia="Times New Roman" w:hAnsi="Times New Roman"/>
          <w:b w:val="false"/>
          <w:bCs w:val="false"/>
          <w:i w:val="false"/>
          <w:iCs w:val="false"/>
          <w:sz w:val="26"/>
          <w:szCs w:val="26"/>
        </w:rPr>
        <w:t xml:space="preserve"> (văn bản chỉ định kèm theo).</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Giao </w:t>
      </w:r>
      <w:r>
        <w:rPr>
          <w:rFonts w:ascii="Times New Roman" w:cs="Times New Roman" w:eastAsia="Times New Roman" w:hAnsi="Times New Roman"/>
          <w:b w:val="false"/>
          <w:bCs w:val="false"/>
          <w:i w:val="false"/>
          <w:iCs w:val="false"/>
          <w:sz w:val="26"/>
          <w:szCs w:val="26"/>
          <w:highlight w:val="yellow"/>
        </w:rPr>
        <w:t xml:space="preserve">Phòng Pháp chế</w:t>
      </w:r>
      <w:r>
        <w:rPr>
          <w:rFonts w:ascii="Times New Roman" w:cs="Times New Roman" w:eastAsia="Times New Roman" w:hAnsi="Times New Roman"/>
          <w:b w:val="false"/>
          <w:bCs w:val="false"/>
          <w:i w:val="false"/>
          <w:iCs w:val="false"/>
          <w:sz w:val="26"/>
          <w:szCs w:val="26"/>
        </w:rPr>
        <w:t xml:space="preserve"> ký nộp hồ sơ DPIA và hồ sơ chuyển DLCN xuyên biên giới theo ủy quyền của </w:t>
      </w:r>
      <w:r>
        <w:rPr>
          <w:rFonts w:ascii="Times New Roman" w:cs="Times New Roman" w:eastAsia="Times New Roman" w:hAnsi="Times New Roman"/>
          <w:b w:val="false"/>
          <w:bCs w:val="false"/>
          <w:i w:val="false"/>
          <w:iCs w:val="false"/>
          <w:sz w:val="26"/>
          <w:szCs w:val="26"/>
          <w:highlight w:val="yellow"/>
        </w:rPr>
        <w:t xml:space="preserve">Tổng Giám đốc Công ty</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Kinh phí </w:t>
      </w:r>
      <w:r>
        <w:rPr>
          <w:rFonts w:ascii="Times New Roman" w:cs="Times New Roman" w:eastAsia="Times New Roman" w:hAnsi="Times New Roman"/>
          <w:b w:val="false"/>
          <w:bCs w:val="false"/>
          <w:i w:val="false"/>
          <w:iCs w:val="false"/>
          <w:sz w:val="26"/>
          <w:szCs w:val="26"/>
          <w:highlight w:val="yellow"/>
        </w:rPr>
        <w:t xml:space="preserve">125.000.000 đồng</w:t>
      </w:r>
      <w:r>
        <w:rPr>
          <w:rFonts w:ascii="Times New Roman" w:cs="Times New Roman" w:eastAsia="Times New Roman" w:hAnsi="Times New Roman"/>
          <w:b w:val="false"/>
          <w:bCs w:val="false"/>
          <w:i w:val="false"/>
          <w:iCs w:val="false"/>
          <w:sz w:val="26"/>
          <w:szCs w:val="26"/>
        </w:rPr>
        <w:t xml:space="preserve"> từ </w:t>
      </w:r>
      <w:r>
        <w:rPr>
          <w:rFonts w:ascii="Times New Roman" w:cs="Times New Roman" w:eastAsia="Times New Roman" w:hAnsi="Times New Roman"/>
          <w:b w:val="false"/>
          <w:bCs w:val="false"/>
          <w:i w:val="false"/>
          <w:iCs w:val="false"/>
          <w:sz w:val="26"/>
          <w:szCs w:val="26"/>
          <w:highlight w:val="yellow"/>
        </w:rPr>
        <w:t xml:space="preserve">Ngân sách hoạt động năm 2026 của Công ty</w:t>
      </w:r>
      <w:r>
        <w:rPr>
          <w:rFonts w:ascii="Times New Roman" w:cs="Times New Roman" w:eastAsia="Times New Roman" w:hAnsi="Times New Roman"/>
          <w:b w:val="false"/>
          <w:bCs w:val="false"/>
          <w:i w:val="false"/>
          <w:iCs w:val="false"/>
          <w:sz w:val="26"/>
          <w:szCs w:val="26"/>
        </w:rPr>
        <w:t xml:space="preserve">.</w:t>
      </w: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Như trên;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An ninh mạng</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Tài chính – Kế toán</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Lưu: VT, </w:t>
            </w:r>
            <w:r>
              <w:rPr>
                <w:rFonts w:ascii="Times New Roman" w:cs="Times New Roman" w:eastAsia="Times New Roman" w:hAnsi="Times New Roman"/>
                <w:b w:val="false"/>
                <w:bCs w:val="false"/>
                <w:i w:val="false"/>
                <w:iCs w:val="false"/>
                <w:sz w:val="22"/>
                <w:szCs w:val="22"/>
                <w:highlight w:val="yellow"/>
              </w:rPr>
              <w:t xml:space="preserve">PPC</w:t>
            </w:r>
            <w:r>
              <w:rPr>
                <w:rFonts w:ascii="Times New Roman" w:cs="Times New Roman" w:eastAsia="Times New Roman" w:hAnsi="Times New Roman"/>
                <w:b w:val="false"/>
                <w:bCs w:val="false"/>
                <w:i w:val="false"/>
                <w:iCs w:val="false"/>
                <w:sz w:val="22"/>
                <w:szCs w:val="22"/>
              </w:rPr>
              <w:t xml:space="preserve">.</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TRƯỞNG PHÒNG PHÁP CHẾ</w:t>
            </w:r>
          </w:p>
          <w:p>
            <w:pPr>
              <w:spacing w:after="0" w:before="0" w:line="240" w:lineRule="auto"/>
              <w:jc w:val="center"/>
            </w:pPr>
            <w:r>
              <w:rPr>
                <w:rFonts w:ascii="Times New Roman" w:cs="Times New Roman" w:eastAsia="Times New Roman" w:hAnsi="Times New Roman"/>
                <w:b w:val="false"/>
                <w:bCs w:val="false"/>
                <w:i/>
                <w:iCs/>
                <w:sz w:val="26"/>
                <w:szCs w:val="26"/>
              </w:rPr>
              <w:t xml:space="preserve">(Ký,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highlight w:val="yellow"/>
              </w:rPr>
              <w:t xml:space="preserve">Bùi Minh Khoa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9025"/>
      </w:tblGrid>
      <w:tr>
        <w:trPr>
          <w:cantSplit/>
          <w:tblHeader/>
        </w:trPr>
        <w:tc>
          <w:tcPr>
            <w:tcW w:type="dxa" w:w="90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Ý KIẾN PHÊ DUYỆT CỦA LÃNH ĐẠO</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 Đồng ý    ☐ Đồng ý, có điều chỉnh    ☐ Không đồng ý    ☐ Ý kiến khác</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rPr>
              <w:t xml:space="preserve">Ý kiến cụ thể: ............................................................................................................</w:t>
            </w:r>
          </w:p>
        </w:tc>
      </w:tr>
      <w:tr>
        <w:trPr>
          <w:cantSplit/>
          <w:tblHeader w:val="false"/>
        </w:trPr>
        <w:tc>
          <w:tcPr>
            <w:tcW w:type="dxa" w:w="90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rPr>
              <w:t xml:space="preserve">Ngày ....../....../..........    </w:t>
            </w:r>
            <w:r>
              <w:rPr>
                <w:rFonts w:ascii="Times New Roman" w:cs="Times New Roman" w:eastAsia="Times New Roman" w:hAnsi="Times New Roman"/>
                <w:b w:val="false"/>
                <w:bCs w:val="false"/>
                <w:i w:val="false"/>
                <w:iCs w:val="false"/>
                <w:sz w:val="24"/>
                <w:szCs w:val="24"/>
                <w:highlight w:val="yellow"/>
              </w:rPr>
              <w:t xml:space="preserve">Tổng Giám đốc Công ty</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(ký, ghi rõ họ tên)</w:t>
            </w:r>
          </w:p>
        </w:tc>
      </w:tr>
    </w:tbl>
    <w:p>
      <w:pPr>
        <w:spacing w:after="60" w:before="0" w:line="276" w:lineRule="auto"/>
        <w:jc w:val="both"/>
      </w:pPr>
    </w:p>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Tờ trình triển khai các nghĩa vụ bảo vệ dữ liệu cá nhân</dc:title>
  <dc:creator>vn-cyber-compliance</dc:creator>
  <cp:lastModifiedBy>Un-named</cp:lastModifiedBy>
  <cp:revision>1</cp:revision>
  <dcterms:created xsi:type="dcterms:W3CDTF">2026-09-28T04:07:54.080Z</dcterms:created>
  <dcterms:modified xsi:type="dcterms:W3CDTF">2026-09-28T04:07:54.080Z</dcterms:modified>
</cp:coreProperties>
</file>

<file path=docProps/custom.xml><?xml version="1.0" encoding="utf-8"?>
<Properties xmlns="http://schemas.openxmlformats.org/officeDocument/2006/custom-properties" xmlns:vt="http://schemas.openxmlformats.org/officeDocument/2006/docPropsVTypes"/>
</file>