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180" w:before="12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  <w:highlight w:val="yellow"/>
        </w:rPr>
        <w:t xml:space="preserve">Công ty cổ phần Giải pháp Công nghệ TURBO</w:t>
      </w:r>
    </w:p>
    <w:p>
      <w:pPr>
        <w:keepNext/>
        <w:spacing w:after="0" w:before="12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BÁO CÁO ĐÁNH GIÁ RỦI RO AN NINH MẠNG</w:t>
      </w:r>
    </w:p>
    <w:p>
      <w:pPr>
        <w:keepNext/>
        <w:spacing w:after="180" w:before="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  <w:highlight w:val="yellow"/>
        </w:rPr>
        <w:t xml:space="preserve">Hệ thống quản lý khách hàng trực tuyến (CRM Online)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0. Thông tin báo cáo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3016"/>
        <w:gridCol w:w="6009"/>
      </w:tblGrid>
      <w:tr>
        <w:trPr>
          <w:cantSplit/>
          <w:tblHeader/>
        </w:trPr>
        <w:tc>
          <w:tcPr>
            <w:tcW w:type="dxa" w:w="30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Trường</w:t>
            </w:r>
          </w:p>
        </w:tc>
        <w:tc>
          <w:tcPr>
            <w:tcW w:type="dxa" w:w="60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Nội dung</w:t>
            </w:r>
          </w:p>
        </w:tc>
      </w:tr>
      <w:tr>
        <w:trPr>
          <w:cantSplit/>
          <w:tblHeader w:val="false"/>
        </w:trPr>
        <w:tc>
          <w:tcPr>
            <w:tcW w:type="dxa" w:w="30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Hệ thống</w:t>
            </w:r>
          </w:p>
        </w:tc>
        <w:tc>
          <w:tcPr>
            <w:tcW w:type="dxa" w:w="60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Hệ thống quản lý khách hàng trực tuyến (CRM Online)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— cấp độ hiện tại/đề xuất: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30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Lý do đánh giá (Đ10.2)</w:t>
            </w:r>
          </w:p>
        </w:tc>
        <w:tc>
          <w:tcPr>
            <w:tcW w:type="dxa" w:w="60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a. Xác định cấp độ lần đầu ☐ b. Thay đổi ☐ c. Mở rộng/liên thông ☐ d. Sự cố nghiêm trọng ☐ đ. Theo yêu cầu cơ quan có thẩm quyền</w:t>
            </w:r>
          </w:p>
        </w:tc>
      </w:tr>
      <w:tr>
        <w:trPr>
          <w:cantSplit/>
          <w:tblHeader w:val="false"/>
        </w:trPr>
        <w:tc>
          <w:tcPr>
            <w:tcW w:type="dxa" w:w="30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Phạm vi đánh giá</w:t>
            </w:r>
          </w:p>
        </w:tc>
        <w:tc>
          <w:tcPr>
            <w:tcW w:type="dxa" w:w="60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Toàn bộ thành phần hệ thống CRM Online (ứng dụng, CSDL, hạ tầng tại TTDL thuê)</w:t>
            </w:r>
          </w:p>
        </w:tc>
      </w:tr>
      <w:tr>
        <w:trPr>
          <w:cantSplit/>
          <w:tblHeader w:val="false"/>
        </w:trPr>
        <w:tc>
          <w:tcPr>
            <w:tcW w:type="dxa" w:w="30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Thời gian thực hiện</w:t>
            </w:r>
          </w:p>
        </w:tc>
        <w:tc>
          <w:tcPr>
            <w:tcW w:type="dxa" w:w="60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Từ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07/9/2026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đến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25/9/2026</w:t>
            </w:r>
          </w:p>
        </w:tc>
      </w:tr>
      <w:tr>
        <w:trPr>
          <w:cantSplit/>
          <w:tblHeader w:val="false"/>
        </w:trPr>
        <w:tc>
          <w:tcPr>
            <w:tcW w:type="dxa" w:w="30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Đơn vị thực hiện</w:t>
            </w:r>
          </w:p>
        </w:tc>
        <w:tc>
          <w:tcPr>
            <w:tcW w:type="dxa" w:w="60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Ban Kiểm soát nội bộ (phối hợp Công ty CP Kiểm thử An ninh Mẫu)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— ☐ Tự đánh giá (bộ phận độc lập với vận hành) ☐ Tổ chức chuyên môn</w:t>
            </w:r>
          </w:p>
        </w:tc>
      </w:tr>
      <w:tr>
        <w:trPr>
          <w:cantSplit/>
          <w:tblHeader w:val="false"/>
        </w:trPr>
        <w:tc>
          <w:tcPr>
            <w:tcW w:type="dxa" w:w="30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Phương pháp, thang đo</w:t>
            </w:r>
          </w:p>
        </w:tc>
        <w:tc>
          <w:tcPr>
            <w:tcW w:type="dxa" w:w="60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Ma trận khả năng × tác động 5×5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4"/>
                <w:szCs w:val="24"/>
              </w:rPr>
              <w:t xml:space="preserve">(ví dụ: ma trận khả năng × tác động 5×5 — xem mục 3)</w:t>
            </w:r>
          </w:p>
        </w:tc>
      </w:tr>
      <w:tr>
        <w:trPr>
          <w:cantSplit/>
          <w:tblHeader w:val="false"/>
        </w:trPr>
        <w:tc>
          <w:tcPr>
            <w:tcW w:type="dxa" w:w="30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Phiên bản / lần đánh giá trước</w:t>
            </w:r>
          </w:p>
        </w:tc>
        <w:tc>
          <w:tcPr>
            <w:tcW w:type="dxa" w:w="60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1.0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— (đánh giá lần đầu)</w:t>
            </w: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1. Tài sản, chức năng trọng yếu và phân loại tài sản (Đ10.3.a)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695"/>
        <w:gridCol w:w="2576"/>
        <w:gridCol w:w="1023"/>
        <w:gridCol w:w="1023"/>
        <w:gridCol w:w="1023"/>
        <w:gridCol w:w="766"/>
        <w:gridCol w:w="1023"/>
        <w:gridCol w:w="896"/>
      </w:tblGrid>
      <w:tr>
        <w:trPr>
          <w:cantSplit/>
          <w:tblHeader/>
        </w:trPr>
        <w:tc>
          <w:tcPr>
            <w:tcW w:type="dxa" w:w="6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Mã TS</w:t>
            </w:r>
          </w:p>
        </w:tc>
        <w:tc>
          <w:tcPr>
            <w:tcW w:type="dxa" w:w="2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Tài sản</w:t>
            </w:r>
          </w:p>
        </w:tc>
        <w:tc>
          <w:tcPr>
            <w:tcW w:type="dxa" w:w="10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Loại (phần cứng / phần mềm / dữ liệu / dịch vụ / con người / nhà cung cấp)</w:t>
            </w:r>
          </w:p>
        </w:tc>
        <w:tc>
          <w:tcPr>
            <w:tcW w:type="dxa" w:w="10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Chức năng trọng yếu hỗ trợ</w:t>
            </w:r>
          </w:p>
        </w:tc>
        <w:tc>
          <w:tcPr>
            <w:tcW w:type="dxa" w:w="10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Vai trò trong HTTT</w:t>
            </w:r>
          </w:p>
        </w:tc>
        <w:tc>
          <w:tcPr>
            <w:tcW w:type="dxa" w:w="7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Chủ sở hữu tài sản</w:t>
            </w:r>
          </w:p>
        </w:tc>
        <w:tc>
          <w:tcPr>
            <w:tcW w:type="dxa" w:w="10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Mức quan trọng (1–5)</w:t>
            </w:r>
          </w:p>
        </w:tc>
        <w:tc>
          <w:tcPr>
            <w:tcW w:type="dxa" w:w="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Thứ tự ưu tiên</w:t>
            </w:r>
          </w:p>
        </w:tc>
      </w:tr>
      <w:tr>
        <w:trPr>
          <w:cantSplit/>
          <w:tblHeader w:val="false"/>
        </w:trPr>
        <w:tc>
          <w:tcPr>
            <w:tcW w:type="dxa" w:w="6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TS-01</w:t>
            </w:r>
          </w:p>
        </w:tc>
        <w:tc>
          <w:tcPr>
            <w:tcW w:type="dxa" w:w="2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  <w:highlight w:val="yellow"/>
              </w:rPr>
              <w:t xml:space="preserve">CSDL khách hàng (CRM-DB)</w:t>
            </w:r>
          </w:p>
        </w:tc>
        <w:tc>
          <w:tcPr>
            <w:tcW w:type="dxa" w:w="10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0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0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7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0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6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TS-02</w:t>
            </w:r>
          </w:p>
        </w:tc>
        <w:tc>
          <w:tcPr>
            <w:tcW w:type="dxa" w:w="2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0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0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0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7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0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</w:tbl>
    <w:p>
      <w:pPr>
        <w:spacing w:after="60" w:before="0" w:line="276" w:lineRule="auto"/>
        <w:jc w:val="both"/>
      </w:pP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Gợi ý mức quan trọng: 5 = gián đoạn/lộ lọt làm dừng chức năng cốt lõi hoặc ảnh hưởng lớn tới bên ngoài; 1 = ảnh hưởng không đáng kể.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2. Loại thông tin xử lý, lưu trữ, truyền đưa (Đ10.3.b)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3588"/>
        <w:gridCol w:w="866"/>
        <w:gridCol w:w="1338"/>
        <w:gridCol w:w="1338"/>
        <w:gridCol w:w="1895"/>
      </w:tblGrid>
      <w:tr>
        <w:trPr>
          <w:cantSplit/>
          <w:tblHeader/>
        </w:trPr>
        <w:tc>
          <w:tcPr>
            <w:tcW w:type="dxa" w:w="35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Loại thông tin (Đ9.1)</w:t>
            </w:r>
          </w:p>
        </w:tc>
        <w:tc>
          <w:tcPr>
            <w:tcW w:type="dxa" w:w="8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Có?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Tài sản lưu trữ/xử lý (mã TS)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Kênh truyền đưa</w:t>
            </w:r>
          </w:p>
        </w:tc>
        <w:tc>
          <w:tcPr>
            <w:tcW w:type="dxa" w:w="18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Số chủ thể (nếu là TTCN)</w:t>
            </w:r>
          </w:p>
        </w:tc>
      </w:tr>
      <w:tr>
        <w:trPr>
          <w:cantSplit/>
          <w:tblHeader w:val="false"/>
        </w:trPr>
        <w:tc>
          <w:tcPr>
            <w:tcW w:type="dxa" w:w="35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Thông tin công cộng</w:t>
            </w:r>
          </w:p>
        </w:tc>
        <w:tc>
          <w:tcPr>
            <w:tcW w:type="dxa" w:w="8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8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5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Thông tin riêng</w:t>
            </w:r>
          </w:p>
        </w:tc>
        <w:tc>
          <w:tcPr>
            <w:tcW w:type="dxa" w:w="8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8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5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Thông tin cá nhân — cơ bản</w:t>
            </w:r>
          </w:p>
        </w:tc>
        <w:tc>
          <w:tcPr>
            <w:tcW w:type="dxa" w:w="8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8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khoảng 150.000</w:t>
            </w:r>
          </w:p>
        </w:tc>
      </w:tr>
      <w:tr>
        <w:trPr>
          <w:cantSplit/>
          <w:tblHeader w:val="false"/>
        </w:trPr>
        <w:tc>
          <w:tcPr>
            <w:tcW w:type="dxa" w:w="35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Thông tin cá nhân — nhạy cảm</w:t>
            </w:r>
          </w:p>
        </w:tc>
        <w:tc>
          <w:tcPr>
            <w:tcW w:type="dxa" w:w="8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8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35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Thông tin bí mật nhà nước</w:t>
            </w:r>
          </w:p>
        </w:tc>
        <w:tc>
          <w:tcPr>
            <w:tcW w:type="dxa" w:w="8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8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3. Nhận diện rủi ro (Đ10.3.c) và đánh giá khả năng, tác động (Đ10.3.d)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6"/>
          <w:szCs w:val="26"/>
        </w:rPr>
        <w:t xml:space="preserve">3.1. Thang đo gợi 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887"/>
        <w:gridCol w:w="2515"/>
        <w:gridCol w:w="5623"/>
      </w:tblGrid>
      <w:tr>
        <w:trPr>
          <w:cantSplit/>
          <w:tblHeader/>
        </w:trPr>
        <w:tc>
          <w:tcPr>
            <w:tcW w:type="dxa" w:w="8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Điểm</w:t>
            </w:r>
          </w:p>
        </w:tc>
        <w:tc>
          <w:tcPr>
            <w:tcW w:type="dxa" w:w="25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Khả năng xảy ra</w:t>
            </w:r>
          </w:p>
        </w:tc>
        <w:tc>
          <w:tcPr>
            <w:tcW w:type="dxa" w:w="56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Mức tác động (gắn với Luật 116 Đ8.1)</w:t>
            </w:r>
          </w:p>
        </w:tc>
      </w:tr>
      <w:tr>
        <w:trPr>
          <w:cantSplit/>
          <w:tblHeader w:val="false"/>
        </w:trPr>
        <w:tc>
          <w:tcPr>
            <w:tcW w:type="dxa" w:w="8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5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Hiếm (≤ 1 lần/5 năm)</w:t>
            </w:r>
          </w:p>
        </w:tc>
        <w:tc>
          <w:tcPr>
            <w:tcW w:type="dxa" w:w="56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Tổn hại nhỏ tới quyền, lợi ích tổ chức, cá nhân</w:t>
            </w:r>
          </w:p>
        </w:tc>
      </w:tr>
      <w:tr>
        <w:trPr>
          <w:cantSplit/>
          <w:tblHeader w:val="false"/>
        </w:trPr>
        <w:tc>
          <w:tcPr>
            <w:tcW w:type="dxa" w:w="8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25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Ít (1 lần/2–5 năm)</w:t>
            </w:r>
          </w:p>
        </w:tc>
        <w:tc>
          <w:tcPr>
            <w:tcW w:type="dxa" w:w="56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Tổn hại quyền, lợi ích hợp pháp của tổ chức, cá nhân (≈ cấp 1)</w:t>
            </w:r>
          </w:p>
        </w:tc>
      </w:tr>
      <w:tr>
        <w:trPr>
          <w:cantSplit/>
          <w:tblHeader w:val="false"/>
        </w:trPr>
        <w:tc>
          <w:tcPr>
            <w:tcW w:type="dxa" w:w="8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25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Có thể (1 lần/năm)</w:t>
            </w:r>
          </w:p>
        </w:tc>
        <w:tc>
          <w:tcPr>
            <w:tcW w:type="dxa" w:w="56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Tổn hại nghiêm trọng quyền, lợi ích tổ chức, cá nhân hoặc tổn hại lợi ích công cộng (≈ cấp 2)</w:t>
            </w:r>
          </w:p>
        </w:tc>
      </w:tr>
      <w:tr>
        <w:trPr>
          <w:cantSplit/>
          <w:tblHeader w:val="false"/>
        </w:trPr>
        <w:tc>
          <w:tcPr>
            <w:tcW w:type="dxa" w:w="8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25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Thường (nhiều lần/năm)</w:t>
            </w:r>
          </w:p>
        </w:tc>
        <w:tc>
          <w:tcPr>
            <w:tcW w:type="dxa" w:w="56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Tổn hại đặc biệt nghiêm trọng quyền, lợi ích tổ chức, cá nhân; tổn hại nghiêm trọng lợi ích công cộng; tổn hại TT-ATXH hoặc ANQG (≈ cấp 3)</w:t>
            </w:r>
          </w:p>
        </w:tc>
      </w:tr>
      <w:tr>
        <w:trPr>
          <w:cantSplit/>
          <w:tblHeader w:val="false"/>
        </w:trPr>
        <w:tc>
          <w:tcPr>
            <w:tcW w:type="dxa" w:w="8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25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Gần như chắc chắn</w:t>
            </w:r>
          </w:p>
        </w:tc>
        <w:tc>
          <w:tcPr>
            <w:tcW w:type="dxa" w:w="56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Tổn hại đặc biệt nghiêm trọng lợi ích công cộng, TT-ATXH; tổn hại nghiêm trọng / đặc biệt nghiêm trọng ANQG (≈ cấp 4–5)</w:t>
            </w:r>
          </w:p>
        </w:tc>
      </w:tr>
    </w:tbl>
    <w:p>
      <w:pPr>
        <w:spacing w:after="60" w:before="0" w:line="276" w:lineRule="auto"/>
        <w:jc w:val="both"/>
      </w:pP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Mức rủi ro = Khả năng × Tác động: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1–4 Thấp · 5–9 Trung bình · 10–16 Cao · 20–25 Rất cao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(gợi ý).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6"/>
          <w:szCs w:val="26"/>
        </w:rPr>
        <w:t xml:space="preserve">3.2. Sổ đăng ký rủi ro (risk register)</w:t>
      </w:r>
    </w:p>
    <w:p>
      <w:pPr>
        <w:sectPr>
          <w:pgSz w:w="11905" w:h="16837" w:orient="portrait"/>
          <w:pgMar w:top="1440" w:right="1440" w:bottom="1440" w:left="1440" w:header="708" w:footer="708" w:gutter="0"/>
          <w:pgNumType/>
          <w:docGrid w:linePitch="360"/>
        </w:sectPr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695"/>
        <w:gridCol w:w="999"/>
        <w:gridCol w:w="915"/>
        <w:gridCol w:w="936"/>
        <w:gridCol w:w="1219"/>
        <w:gridCol w:w="922"/>
        <w:gridCol w:w="1168"/>
        <w:gridCol w:w="844"/>
        <w:gridCol w:w="844"/>
        <w:gridCol w:w="794"/>
        <w:gridCol w:w="715"/>
        <w:gridCol w:w="973"/>
        <w:gridCol w:w="858"/>
        <w:gridCol w:w="897"/>
        <w:gridCol w:w="587"/>
        <w:gridCol w:w="591"/>
      </w:tblGrid>
      <w:tr>
        <w:trPr>
          <w:cantSplit/>
          <w:tblHeader/>
        </w:trPr>
        <w:tc>
          <w:tcPr>
            <w:tcW w:type="dxa" w:w="6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Mã RR</w:t>
            </w:r>
          </w:p>
        </w:tc>
        <w:tc>
          <w:tcPr>
            <w:tcW w:type="dxa" w:w="9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Tài sản (mã TS)</w:t>
            </w:r>
          </w:p>
        </w:tc>
        <w:tc>
          <w:tcPr>
            <w:tcW w:type="dxa" w:w="9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Mối đe dọa</w:t>
            </w:r>
          </w:p>
        </w:tc>
        <w:tc>
          <w:tcPr>
            <w:tcW w:type="dxa" w:w="9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Điểm yếu / lỗ hổng</w:t>
            </w:r>
          </w:p>
        </w:tc>
        <w:tc>
          <w:tcPr>
            <w:tcW w:type="dxa" w:w="12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Khả năng bị khai thác</w:t>
            </w:r>
          </w:p>
        </w:tc>
        <w:tc>
          <w:tcPr>
            <w:tcW w:type="dxa" w:w="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Hậu quả (bí mật / toàn vẹn / sẵn sàng)</w:t>
            </w:r>
          </w:p>
        </w:tc>
        <w:tc>
          <w:tcPr>
            <w:tcW w:type="dxa" w:w="11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Đối tượng bị tác động (ANQG / TT-ATXH / quyền lợi TC-CN / lợi ích công cộng)</w:t>
            </w:r>
          </w:p>
        </w:tc>
        <w:tc>
          <w:tcPr>
            <w:tcW w:type="dxa" w:w="8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Khả năng (1–5)</w:t>
            </w:r>
          </w:p>
        </w:tc>
        <w:tc>
          <w:tcPr>
            <w:tcW w:type="dxa" w:w="8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Tác động (1–5)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Mức rủi ro</w:t>
            </w:r>
          </w:p>
        </w:tc>
        <w:tc>
          <w:tcPr>
            <w:tcW w:type="dxa" w:w="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Biện pháp hiện có</w:t>
            </w:r>
          </w:p>
        </w:tc>
        <w:tc>
          <w:tcPr>
            <w:tcW w:type="dxa" w:w="9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Phương án xử lý (giảm / chuyển / chấp nhận / tránh)</w:t>
            </w:r>
          </w:p>
        </w:tc>
        <w:tc>
          <w:tcPr>
            <w:tcW w:type="dxa" w:w="8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Biện pháp bổ sung</w:t>
            </w: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Người phụ trách</w:t>
            </w:r>
          </w:p>
        </w:tc>
        <w:tc>
          <w:tcPr>
            <w:tcW w:type="dxa" w:w="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Hạn</w:t>
            </w:r>
          </w:p>
        </w:tc>
        <w:tc>
          <w:tcPr>
            <w:tcW w:type="dxa" w:w="5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Rủi ro còn lại</w:t>
            </w:r>
          </w:p>
        </w:tc>
      </w:tr>
      <w:tr>
        <w:trPr>
          <w:cantSplit/>
          <w:tblHeader w:val="false"/>
        </w:trPr>
        <w:tc>
          <w:tcPr>
            <w:tcW w:type="dxa" w:w="6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RR-01</w:t>
            </w:r>
          </w:p>
        </w:tc>
        <w:tc>
          <w:tcPr>
            <w:tcW w:type="dxa" w:w="9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TS-0x (cổng web)</w:t>
            </w:r>
          </w:p>
        </w:tc>
        <w:tc>
          <w:tcPr>
            <w:tcW w:type="dxa" w:w="9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Chiếm quyền tài khoản</w:t>
            </w:r>
          </w:p>
        </w:tc>
        <w:tc>
          <w:tcPr>
            <w:tcW w:type="dxa" w:w="9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Chưa bắt buộc xác thực đa yếu tố</w:t>
            </w:r>
          </w:p>
        </w:tc>
        <w:tc>
          <w:tcPr>
            <w:tcW w:type="dxa" w:w="12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Cao — dịch vụ công khai Internet</w:t>
            </w:r>
          </w:p>
        </w:tc>
        <w:tc>
          <w:tcPr>
            <w:tcW w:type="dxa" w:w="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Bí mật, toàn vẹn</w:t>
            </w:r>
          </w:p>
        </w:tc>
        <w:tc>
          <w:tcPr>
            <w:tcW w:type="dxa" w:w="11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Quyền lợi TC-CN</w:t>
            </w:r>
          </w:p>
        </w:tc>
        <w:tc>
          <w:tcPr>
            <w:tcW w:type="dxa" w:w="8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8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 Cao</w:t>
            </w:r>
          </w:p>
        </w:tc>
        <w:tc>
          <w:tcPr>
            <w:tcW w:type="dxa" w:w="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Giảm</w:t>
            </w:r>
          </w:p>
        </w:tc>
        <w:tc>
          <w:tcPr>
            <w:tcW w:type="dxa" w:w="8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Triển khai MFA</w:t>
            </w: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  <w:highlight w:val="yellow"/>
              </w:rPr>
              <w:t xml:space="preserve">Lê Minh Cường</w:t>
            </w:r>
          </w:p>
        </w:tc>
        <w:tc>
          <w:tcPr>
            <w:tcW w:type="dxa" w:w="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  <w:highlight w:val="yellow"/>
              </w:rPr>
              <w:t xml:space="preserve">15</w:t>
            </w:r>
          </w:p>
        </w:tc>
        <w:tc>
          <w:tcPr>
            <w:tcW w:type="dxa" w:w="5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6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RR-02</w:t>
            </w:r>
          </w:p>
        </w:tc>
        <w:tc>
          <w:tcPr>
            <w:tcW w:type="dxa" w:w="9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TS-0x (CSDL)</w:t>
            </w:r>
          </w:p>
        </w:tc>
        <w:tc>
          <w:tcPr>
            <w:tcW w:type="dxa" w:w="9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Mã độc tống tiền</w:t>
            </w:r>
          </w:p>
        </w:tc>
        <w:tc>
          <w:tcPr>
            <w:tcW w:type="dxa" w:w="9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Sao lưu chưa tách biệt</w:t>
            </w:r>
          </w:p>
        </w:tc>
        <w:tc>
          <w:tcPr>
            <w:tcW w:type="dxa" w:w="12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Sẵn sàng, toàn vẹn</w:t>
            </w:r>
          </w:p>
        </w:tc>
        <w:tc>
          <w:tcPr>
            <w:tcW w:type="dxa" w:w="11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5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6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RR-03</w:t>
            </w:r>
          </w:p>
        </w:tc>
        <w:tc>
          <w:tcPr>
            <w:tcW w:type="dxa" w:w="9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TS-0x (API đối tác)</w:t>
            </w:r>
          </w:p>
        </w:tc>
        <w:tc>
          <w:tcPr>
            <w:tcW w:type="dxa" w:w="9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Lộ lọt dữ liệu qua API</w:t>
            </w:r>
          </w:p>
        </w:tc>
        <w:tc>
          <w:tcPr>
            <w:tcW w:type="dxa" w:w="9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Thiếu kiểm soát phân quyền đối tượng</w:t>
            </w:r>
          </w:p>
        </w:tc>
        <w:tc>
          <w:tcPr>
            <w:tcW w:type="dxa" w:w="12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Bí mật</w:t>
            </w:r>
          </w:p>
        </w:tc>
        <w:tc>
          <w:tcPr>
            <w:tcW w:type="dxa" w:w="11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5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6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RR-04</w:t>
            </w:r>
          </w:p>
        </w:tc>
        <w:tc>
          <w:tcPr>
            <w:tcW w:type="dxa" w:w="9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TS-0x (nhà cung cấp cloud)</w:t>
            </w:r>
          </w:p>
        </w:tc>
        <w:tc>
          <w:tcPr>
            <w:tcW w:type="dxa" w:w="9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Gián đoạn dịch vụ nhà cung cấp</w:t>
            </w:r>
          </w:p>
        </w:tc>
        <w:tc>
          <w:tcPr>
            <w:tcW w:type="dxa" w:w="9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Không có phương án dự phòng vùng</w:t>
            </w:r>
          </w:p>
        </w:tc>
        <w:tc>
          <w:tcPr>
            <w:tcW w:type="dxa" w:w="12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Sẵn sàng</w:t>
            </w:r>
          </w:p>
        </w:tc>
        <w:tc>
          <w:tcPr>
            <w:tcW w:type="dxa" w:w="11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5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6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RR-05</w:t>
            </w:r>
          </w:p>
        </w:tc>
        <w:tc>
          <w:tcPr>
            <w:tcW w:type="dxa" w:w="9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TS-0x (nhân sự quản trị)</w:t>
            </w:r>
          </w:p>
        </w:tc>
        <w:tc>
          <w:tcPr>
            <w:tcW w:type="dxa" w:w="9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Lạm dụng quyền quản trị</w:t>
            </w:r>
          </w:p>
        </w:tc>
        <w:tc>
          <w:tcPr>
            <w:tcW w:type="dxa" w:w="9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Chưa giám sát phiên đặc quyền</w:t>
            </w:r>
          </w:p>
        </w:tc>
        <w:tc>
          <w:tcPr>
            <w:tcW w:type="dxa" w:w="12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1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5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</w:tbl>
    <w:p>
      <w:pPr>
        <w:sectPr>
          <w:pgSz w:w="16837" w:h="11905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6"/>
          <w:szCs w:val="26"/>
        </w:rPr>
        <w:t xml:space="preserve">3.3. Nguồn nhận diện đã dùng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Kết quả dò quét lỗ hổng, kiểm thử xâm nhập (NĐ 331 Đ27.3) — ngày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15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.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Rà soát cấu hình theo TCVN 14423:2026 (cấp tương ứng).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Nhật ký sự cố, cảnh báo giám sát trong kỳ.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Cảnh báo từ cơ quan chức năng, nhà cung cấp.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Phỏng vấn đơn vị vận hành, chủ sở hữu nghiệp vụ.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4. Đánh giá năng lực phòng ngừa, phát hiện, ứng phó, khắc phục hiện có (Đ10.3.đ)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5907"/>
        <w:gridCol w:w="987"/>
        <w:gridCol w:w="987"/>
        <w:gridCol w:w="1144"/>
      </w:tblGrid>
      <w:tr>
        <w:trPr>
          <w:cantSplit/>
          <w:tblHeader/>
        </w:trPr>
        <w:tc>
          <w:tcPr>
            <w:tcW w:type="dxa" w:w="5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Năng lực</w:t>
            </w:r>
          </w:p>
        </w:tc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Hiện trạng</w:t>
            </w:r>
          </w:p>
        </w:tc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Mức (Chưa có / Cơ bản / Đầy đủ)</w:t>
            </w:r>
          </w:p>
        </w:tc>
        <w:tc>
          <w:tcPr>
            <w:tcW w:type="dxa" w:w="11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Khoảng trống</w:t>
            </w:r>
          </w:p>
        </w:tc>
      </w:tr>
      <w:tr>
        <w:trPr>
          <w:cantSplit/>
          <w:tblHeader w:val="false"/>
        </w:trPr>
        <w:tc>
          <w:tcPr>
            <w:tcW w:type="dxa" w:w="5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Phòng ngừa (kiểm soát truy cập, cấu hình an toàn, vá lỗi, đào tạo)</w:t>
            </w:r>
          </w:p>
        </w:tc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1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5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Phát hiện (giám sát, nhật ký, cảnh báo)</w:t>
            </w:r>
          </w:p>
        </w:tc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1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5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Ứng phó (quy trình, đội ứng cứu, đầu mối báo cáo 24h/72h — Đ31.2.d)</w:t>
            </w:r>
          </w:p>
        </w:tc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1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5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Khắc phục (sao lưu, khôi phục, DR, RTO/RPO)</w:t>
            </w:r>
          </w:p>
        </w:tc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1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5. Kế hoạch và biện pháp giảm thiểu rủi ro (Đ10.3.e)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695"/>
        <w:gridCol w:w="835"/>
        <w:gridCol w:w="3189"/>
        <w:gridCol w:w="835"/>
        <w:gridCol w:w="964"/>
        <w:gridCol w:w="707"/>
        <w:gridCol w:w="835"/>
        <w:gridCol w:w="965"/>
      </w:tblGrid>
      <w:tr>
        <w:trPr>
          <w:cantSplit/>
          <w:tblHeader/>
        </w:trPr>
        <w:tc>
          <w:tcPr>
            <w:tcW w:type="dxa" w:w="6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Mã RR</w:t>
            </w:r>
          </w:p>
        </w:tc>
        <w:tc>
          <w:tcPr>
            <w:tcW w:type="dxa" w:w="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Biện pháp</w:t>
            </w:r>
          </w:p>
        </w:tc>
        <w:tc>
          <w:tcPr>
            <w:tcW w:type="dxa" w:w="31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Liên kết yêu cầu phương án ANM (mã trong thuyet-minh-phuong-an-anm.md)</w:t>
            </w:r>
          </w:p>
        </w:tc>
        <w:tc>
          <w:tcPr>
            <w:tcW w:type="dxa" w:w="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Ưu tiên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Người phụ trách</w:t>
            </w:r>
          </w:p>
        </w:tc>
        <w:tc>
          <w:tcPr>
            <w:tcW w:type="dxa" w:w="7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Hạn</w:t>
            </w:r>
          </w:p>
        </w:tc>
        <w:tc>
          <w:tcPr>
            <w:tcW w:type="dxa" w:w="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Chi phí ước tính</w:t>
            </w:r>
          </w:p>
        </w:tc>
        <w:tc>
          <w:tcPr>
            <w:tcW w:type="dxa" w:w="9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Trạng thái</w:t>
            </w:r>
          </w:p>
        </w:tc>
      </w:tr>
      <w:tr>
        <w:trPr>
          <w:cantSplit/>
          <w:tblHeader w:val="false"/>
        </w:trPr>
        <w:tc>
          <w:tcPr>
            <w:tcW w:type="dxa" w:w="6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RR-01</w:t>
            </w:r>
          </w:p>
        </w:tc>
        <w:tc>
          <w:tcPr>
            <w:tcW w:type="dxa" w:w="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31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7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6. Truyền thông rủi ro và báo cáo cơ quan có thẩm quyền (Đ10.3.g)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2269"/>
        <w:gridCol w:w="3456"/>
        <w:gridCol w:w="1481"/>
        <w:gridCol w:w="830"/>
        <w:gridCol w:w="989"/>
      </w:tblGrid>
      <w:tr>
        <w:trPr>
          <w:cantSplit/>
          <w:tblHeader/>
        </w:trPr>
        <w:tc>
          <w:tcPr>
            <w:tcW w:type="dxa" w:w="2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Đối tượng nhận thông tin</w:t>
            </w:r>
          </w:p>
        </w:tc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Nội dung</w:t>
            </w:r>
          </w:p>
        </w:tc>
        <w:tc>
          <w:tcPr>
            <w:tcW w:type="dxa" w:w="14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Hình thức</w:t>
            </w:r>
          </w:p>
        </w:tc>
        <w:tc>
          <w:tcPr>
            <w:tcW w:type="dxa" w:w="8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Thời điểm</w:t>
            </w:r>
          </w:p>
        </w:tc>
        <w:tc>
          <w:tcPr>
            <w:tcW w:type="dxa" w:w="9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Bằng chứng</w:t>
            </w:r>
          </w:p>
        </w:tc>
      </w:tr>
      <w:tr>
        <w:trPr>
          <w:cantSplit/>
          <w:tblHeader w:val="false"/>
        </w:trPr>
        <w:tc>
          <w:tcPr>
            <w:tcW w:type="dxa" w:w="2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Lãnh đạo chủ quản HTTT</w:t>
            </w:r>
          </w:p>
        </w:tc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Kết quả, rủi ro cao/rất cao, đề xuất cấp độ</w:t>
            </w:r>
          </w:p>
        </w:tc>
        <w:tc>
          <w:tcPr>
            <w:tcW w:type="dxa" w:w="14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Báo cáo, họp</w:t>
            </w:r>
          </w:p>
        </w:tc>
        <w:tc>
          <w:tcPr>
            <w:tcW w:type="dxa" w:w="8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2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Đơn vị vận hành, người dùng liên quan</w:t>
            </w:r>
          </w:p>
        </w:tc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Rủi ro và biện pháp phải thực hiện</w:t>
            </w:r>
          </w:p>
        </w:tc>
        <w:tc>
          <w:tcPr>
            <w:tcW w:type="dxa" w:w="14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Thông báo, đào tạo</w:t>
            </w:r>
          </w:p>
        </w:tc>
        <w:tc>
          <w:tcPr>
            <w:tcW w:type="dxa" w:w="8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2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Cơ quan có thẩm quyền</w:t>
            </w:r>
          </w:p>
        </w:tc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Khi được yêu cầu; trong hồ sơ đề xuất cấp độ; báo cáo năm (Đ35, Mẫu 08)</w:t>
            </w:r>
          </w:p>
        </w:tc>
        <w:tc>
          <w:tcPr>
            <w:tcW w:type="dxa" w:w="14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Văn bản</w:t>
            </w:r>
          </w:p>
        </w:tc>
        <w:tc>
          <w:tcPr>
            <w:tcW w:type="dxa" w:w="8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7. Kết luận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5020"/>
        <w:gridCol w:w="4005"/>
      </w:tblGrid>
      <w:tr>
        <w:trPr>
          <w:cantSplit/>
          <w:tblHeader/>
        </w:trPr>
        <w:tc>
          <w:tcPr>
            <w:tcW w:type="dxa" w:w="5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Nội dung</w:t>
            </w:r>
          </w:p>
        </w:tc>
        <w:tc>
          <w:tcPr>
            <w:tcW w:type="dxa" w:w="40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Kết quả</w:t>
            </w:r>
          </w:p>
        </w:tc>
      </w:tr>
      <w:tr>
        <w:trPr>
          <w:cantSplit/>
          <w:tblHeader w:val="false"/>
        </w:trPr>
        <w:tc>
          <w:tcPr>
            <w:tcW w:type="dxa" w:w="5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Số rủi ro theo mức: Rất cao / Cao / Trung bình / Thấp</w:t>
            </w:r>
          </w:p>
        </w:tc>
        <w:tc>
          <w:tcPr>
            <w:tcW w:type="dxa" w:w="40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{{...}} / {{...}} / {{...}} / {{...}}</w:t>
            </w:r>
          </w:p>
        </w:tc>
      </w:tr>
      <w:tr>
        <w:trPr>
          <w:cantSplit/>
          <w:tblHeader w:val="false"/>
        </w:trPr>
        <w:tc>
          <w:tcPr>
            <w:tcW w:type="dxa" w:w="5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Mức tổn hại cao nhất dự kiến theo Luật 116 Đ8.1</w:t>
            </w:r>
          </w:p>
        </w:tc>
        <w:tc>
          <w:tcPr>
            <w:tcW w:type="dxa" w:w="40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Tương ứng cấp {{...}}</w:t>
            </w:r>
          </w:p>
        </w:tc>
      </w:tr>
      <w:tr>
        <w:trPr>
          <w:cantSplit/>
          <w:tblHeader w:val="false"/>
        </w:trPr>
        <w:tc>
          <w:tcPr>
            <w:tcW w:type="dxa" w:w="5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So sánh với cấp độ theo tiêu chí NĐ 331 Đ11–Đ16</w:t>
            </w:r>
          </w:p>
        </w:tc>
        <w:tc>
          <w:tcPr>
            <w:tcW w:type="dxa" w:w="40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Phù hợp ☐ Rủi ro cao hơn → đề xuất cấp {{...}} (Đ10.5)</w:t>
            </w:r>
          </w:p>
        </w:tc>
      </w:tr>
      <w:tr>
        <w:trPr>
          <w:cantSplit/>
          <w:tblHeader w:val="false"/>
        </w:trPr>
        <w:tc>
          <w:tcPr>
            <w:tcW w:type="dxa" w:w="5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Đề xuất điều chỉnh phương án bảo vệ / phương án ứng cứu sự cố (Đ10.4.c)</w:t>
            </w:r>
          </w:p>
        </w:tc>
        <w:tc>
          <w:tcPr>
            <w:tcW w:type="dxa" w:w="40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{{...}}</w:t>
            </w:r>
          </w:p>
        </w:tc>
      </w:tr>
      <w:tr>
        <w:trPr>
          <w:cantSplit/>
          <w:tblHeader w:val="false"/>
        </w:trPr>
        <w:tc>
          <w:tcPr>
            <w:tcW w:type="dxa" w:w="5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Thời điểm đánh giá lại dự kiến</w:t>
            </w:r>
          </w:p>
        </w:tc>
        <w:tc>
          <w:tcPr>
            <w:tcW w:type="dxa" w:w="40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15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hoặc khi phát sinh trường hợp Đ10.2</w:t>
            </w: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8. Phụ lục bổ sung cho cấp 4–5 (Đ22.5)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Danh sách HTTT liên quan, kết nối, có ảnh hưởng quan trọng (Đ22.5.a).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Phân tích nguy cơ tấn công mạng và mức độ ảnh hưởng (Đ22.5.b).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Phạm vi, mức độ ảnh hưởng tới lợi ích công cộng, TT-ATXH, ANQG (Đ22.5.c).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Thuyết minh yêu cầu vận hành 24/7 (Đ22.5.d, với HTTT theo Đ14.2).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4069"/>
        <w:gridCol w:w="4069"/>
        <w:gridCol w:w="887"/>
      </w:tblGrid>
      <w:tr>
        <w:trPr>
          <w:cantSplit/>
          <w:tblHeader/>
        </w:trPr>
        <w:tc>
          <w:tcPr>
            <w:tcW w:type="dxa" w:w="40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Người lập</w:t>
            </w:r>
          </w:p>
        </w:tc>
        <w:tc>
          <w:tcPr>
            <w:tcW w:type="dxa" w:w="40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Người phê duyệt báo cáo</w:t>
            </w:r>
          </w:p>
        </w:tc>
        <w:tc>
          <w:tcPr>
            <w:tcW w:type="dxa" w:w="8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Ngày</w:t>
            </w:r>
          </w:p>
        </w:tc>
      </w:tr>
      <w:tr>
        <w:trPr>
          <w:cantSplit/>
          <w:tblHeader w:val="false"/>
        </w:trPr>
        <w:tc>
          <w:tcPr>
            <w:tcW w:type="dxa" w:w="40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Lê Minh Cường</w:t>
            </w:r>
          </w:p>
        </w:tc>
        <w:tc>
          <w:tcPr>
            <w:tcW w:type="dxa" w:w="40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Nguyễn Văn An</w:t>
            </w:r>
          </w:p>
        </w:tc>
        <w:tc>
          <w:tcPr>
            <w:tcW w:type="dxa" w:w="8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15</w:t>
            </w:r>
          </w:p>
        </w:tc>
      </w:tr>
    </w:tbl>
    <w:p>
      <w:pPr>
        <w:spacing w:after="60" w:before="0" w:line="276" w:lineRule="auto"/>
        <w:jc w:val="both"/>
      </w:pPr>
    </w:p>
    <w:p>
      <w:pPr>
        <w:pBdr>
          <w:left w:val="single" w:color="999999" w:sz="12" w:space="8"/>
        </w:pBdr>
        <w:spacing w:after="120" w:before="0" w:line="276" w:lineRule="auto"/>
        <w:ind w:left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Lưu giữ báo cáo và bằng chứng; cung cấp cho cơ quan có thẩm quyền khi thanh tra, kiểm tra, giám sát (NĐ 331 Đ10.6).</w:t>
      </w:r>
    </w:p>
    <w:sectPr>
      <w:pgSz w:w="11905" w:h="16837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Báo cáo đánh giá rủi ro an ninh mạng — khung</dc:title>
  <dc:creator>vn-cyber-compliance</dc:creator>
  <cp:lastModifiedBy>Un-named</cp:lastModifiedBy>
  <cp:revision>1</cp:revision>
  <dcterms:created xsi:type="dcterms:W3CDTF">2026-09-24T11:07:27.388Z</dcterms:created>
  <dcterms:modified xsi:type="dcterms:W3CDTF">2026-09-24T11:07:27.388Z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