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30/2026/QĐ-TURBO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phê duyệt cấp độ hệ thống thông tin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 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Xét đề nghị của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 cấp độ hệ thống thông tin đối với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cụ thể như sau: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Thông tin chung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c)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Cấp độ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Phương án bảo đảm an ninh mạng: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Phương án bảo đảm an ninh mạng trong thiết kế hệ thống thông tin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Phương án bảo đảm an ninh mạng trong quá trình vận hành hệ thống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Thực hiện trách nhiệm bảo đảm an ninh mạng hệ thống thông tin mình quản lý theo các quy định tại Điều 33 Nghị định này.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Các nội dung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Trách nhiệm của các cơ quan liên quan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Điều khoản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cơ quan liên quan khác chịu trách nhiệm thi hành Quyết định này.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chuyên trách về an ninh mạng chịu trách nhiệm kiểm tra, giám sát việc thực hiện Quyết định này báo cáo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định của pháp luật.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06 — Quyết định phê duyệt cấp độ hệ thống thông tin</dc:title>
  <dc:creator>vn-cyber-compliance</dc:creator>
  <cp:lastModifiedBy>Un-named</cp:lastModifiedBy>
  <cp:revision>1</cp:revision>
  <dcterms:created xsi:type="dcterms:W3CDTF">2026-09-24T11:07:27.065Z</dcterms:created>
  <dcterms:modified xsi:type="dcterms:W3CDTF">2026-09-24T11:07:27.065Z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