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THUYẾT MINH PHƯƠNG ÁN BẢO ĐẢM AN NINH MẠNG</w:t>
      </w:r>
    </w:p>
    <w:p>
      <w:pPr>
        <w:keepNext/>
        <w:spacing w:after="180" w:before="0" w:line="240" w:lineRule="auto"/>
        <w:jc w:val="center"/>
      </w:pPr>
      <w:r>
        <w:rPr>
          <w:rFonts w:ascii="Times New Roman" w:cs="Times New Roman" w:eastAsia="Times New Roman" w:hAnsi="Times New Roman"/>
          <w:b/>
          <w:bCs/>
          <w:i w:val="false"/>
          <w:iCs w:val="false"/>
          <w:sz w:val="28"/>
          <w:szCs w:val="28"/>
          <w:highlight w:val="yellow"/>
        </w:rPr>
        <w:t xml:space="preserve">Hệ thống quản lý khách hàng trực tuyến (CRM Online)</w:t>
      </w:r>
      <w:r>
        <w:rPr>
          <w:rFonts w:ascii="Times New Roman" w:cs="Times New Roman" w:eastAsia="Times New Roman" w:hAnsi="Times New Roman"/>
          <w:b/>
          <w:bCs/>
          <w:i w:val="false"/>
          <w:iCs w:val="false"/>
          <w:sz w:val="28"/>
          <w:szCs w:val="28"/>
        </w:rPr>
        <w:t xml:space="preserve"> — CẤP ĐỘ </w:t>
      </w:r>
      <w:r>
        <w:rPr>
          <w:rFonts w:ascii="Times New Roman" w:cs="Times New Roman" w:eastAsia="Times New Roman" w:hAnsi="Times New Roman"/>
          <w:b/>
          <w:bCs/>
          <w:i w:val="false"/>
          <w:iCs w:val="false"/>
          <w:sz w:val="28"/>
          <w:szCs w:val="28"/>
          <w:highlight w:val="yellow"/>
        </w:rPr>
        <w:t xml:space="preserve">3</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(Phiên bản </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0. Nguyên tắc và phạm vi phương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937"/>
        <w:gridCol w:w="1630"/>
        <w:gridCol w:w="2072"/>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9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0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NT-1</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đáp ứng yêu cầu cơ bản của NĐ 331 và TCVN "An ninh mạng - HTTT - Yêu cầu cơ bản" theo cấp độ</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Đ29.1, Đ30.1</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0"/>
                <w:szCs w:val="20"/>
              </w:rPr>
              <w:t xml:space="preserve">Áp dụng TCVN 14423:2026 mục {{3/4/5/6/7}} cho cấp </w:t>
            </w:r>
            <w:r>
              <w:rPr>
                <w:rFonts w:ascii="Times New Roman" w:cs="Times New Roman" w:eastAsia="Times New Roman" w:hAnsi="Times New Roman"/>
                <w:b w:val="false"/>
                <w:bCs w:val="false"/>
                <w:i/>
                <w:iCs/>
                <w:sz w:val="20"/>
                <w:szCs w:val="20"/>
                <w:highlight w:val="yellow"/>
              </w:rPr>
              <w:t xml:space="preserve">3</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NT-2</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Yêu cầu cơ bản là tối thiểu, gồm quản lý và kỹ thuật; </w:t>
            </w:r>
            <w:r>
              <w:rPr>
                <w:rFonts w:ascii="Times New Roman" w:cs="Times New Roman" w:eastAsia="Times New Roman" w:hAnsi="Times New Roman"/>
                <w:b/>
                <w:bCs/>
                <w:i w:val="false"/>
                <w:iCs w:val="false"/>
                <w:sz w:val="20"/>
                <w:szCs w:val="20"/>
              </w:rPr>
              <w:t xml:space="preserve">không bao gồm an ninh vật lý</w:t>
            </w:r>
            <w:r>
              <w:rPr>
                <w:rFonts w:ascii="Times New Roman" w:cs="Times New Roman" w:eastAsia="Times New Roman" w:hAnsi="Times New Roman"/>
                <w:b w:val="false"/>
                <w:bCs w:val="false"/>
                <w:i w:val="false"/>
                <w:iCs w:val="false"/>
                <w:sz w:val="20"/>
                <w:szCs w:val="20"/>
              </w:rPr>
              <w:t xml:space="preserve"> (an ninh vật lý tham khảo TCVN 14423:2026 Phụ lục A)</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Đ30.2</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NT-3</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Cấp 1, 2, 3: xem xét dùng chung giải pháp bảo vệ, chia sẻ tài nguyên giữa các HTTT, tránh đầu tư trùng lặp</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Đ30.5.a, Đ6.2</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0"/>
                <w:szCs w:val="20"/>
              </w:rPr>
              <w:t xml:space="preserve">Liệt kê giải pháp dùng chung (SOC, tường lửa, EDR...)</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NT-4</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Cấp 4, 5: thiết kế bảo đảm tính sẵn sàng, phân tách, hạn chế ảnh hưởng toàn hệ thống khi một thành phần mất ANM</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Đ30.5.b</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NT-5</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HTTT xây mới/mở rộng/nâng cấp: triển khai đầy đủ phương án đã phê duyệt và đáp ứng Đ29, Đ30 </w:t>
            </w:r>
            <w:r>
              <w:rPr>
                <w:rFonts w:ascii="Times New Roman" w:cs="Times New Roman" w:eastAsia="Times New Roman" w:hAnsi="Times New Roman"/>
                <w:b/>
                <w:bCs/>
                <w:i w:val="false"/>
                <w:iCs w:val="false"/>
                <w:sz w:val="20"/>
                <w:szCs w:val="20"/>
              </w:rPr>
              <w:t xml:space="preserve">trước khi</w:t>
            </w:r>
            <w:r>
              <w:rPr>
                <w:rFonts w:ascii="Times New Roman" w:cs="Times New Roman" w:eastAsia="Times New Roman" w:hAnsi="Times New Roman"/>
                <w:b w:val="false"/>
                <w:bCs w:val="false"/>
                <w:i w:val="false"/>
                <w:iCs w:val="false"/>
                <w:sz w:val="20"/>
                <w:szCs w:val="20"/>
              </w:rPr>
              <w:t xml:space="preserve"> đưa vào vận hành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Đ30.6</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NT-6</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Quy chế bảo đảm ANM cho hệ thống được xây dựng theo cấp độ và được phê duyệt, ban hành </w:t>
            </w:r>
            <w:r>
              <w:rPr>
                <w:rFonts w:ascii="Times New Roman" w:cs="Times New Roman" w:eastAsia="Times New Roman" w:hAnsi="Times New Roman"/>
                <w:b/>
                <w:bCs/>
                <w:i w:val="false"/>
                <w:iCs w:val="false"/>
                <w:sz w:val="20"/>
                <w:szCs w:val="20"/>
              </w:rPr>
              <w:t xml:space="preserve">trước khi</w:t>
            </w:r>
            <w:r>
              <w:rPr>
                <w:rFonts w:ascii="Times New Roman" w:cs="Times New Roman" w:eastAsia="Times New Roman" w:hAnsi="Times New Roman"/>
                <w:b w:val="false"/>
                <w:bCs w:val="false"/>
                <w:i w:val="false"/>
                <w:iCs w:val="false"/>
                <w:sz w:val="20"/>
                <w:szCs w:val="20"/>
              </w:rPr>
              <w:t xml:space="preserve"> hồ sơ đề xuất cấp độ được phê duyệt</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Đ30.7</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0"/>
                <w:szCs w:val="20"/>
              </w:rPr>
              <w:t xml:space="preserve">Số, ngày QĐ ban hành quy chế</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A. Bảy nội dung của phương án bảo đảm ANM (NĐ 331 Đ29.2)</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A.1. Bảo đảm ANM trong thiết kế, xây dựng (Đ29.2.a)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573"/>
        <w:gridCol w:w="1379"/>
        <w:gridCol w:w="2687"/>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5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3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6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TK-1</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Yêu cầu ANM được đưa vào thiết kế từ đầu, xuyên suốt đến khi hủy bỏ</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Đ6.1</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TK-2</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kỹ thuật trong BCKTKT / thiết kế cơ sở / kế hoạch thuê dịch vụ / đề cương đáp ứng phương án ANM theo cấp độ</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Đ22.1</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TK-3</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Ban hành quy định về bảo đảm ANM trong thiết kế, xây dựng</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 Luật 116 Đ10.2.a</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TK-4</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Phát triển ứng dụng an toàn (cấp 3–5)</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5.17 / 6.16 / 7.16</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0"/>
                <w:szCs w:val="20"/>
              </w:rPr>
              <w:t xml:space="preserve">Xem ../03-yeu-cau-theo-cap-do/</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TK-5</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Thuê TTDL/cloud: yêu cầu tách biệt (xem Phần D)</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 Đ30.9</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A.2. Bảo đảm ANM trong quá trình vận hành (Đ29.2.b)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612"/>
        <w:gridCol w:w="1501"/>
        <w:gridCol w:w="1526"/>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6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5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VH-1</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Ban hành quy định bảo đảm ANM trong quản lý, vận hành, sử dụng, nâng cấp</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VH-2</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trữ, sao lưu bảo vệ an ninh thông tin mạng và các thành tố HTTT</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 Luật 116 Đ10.2.đ</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VH-3</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Áp dụng biện pháp quản lý, kỹ thuật theo Đ29, Đ30 và TCVN</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Đ28.4</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0"/>
                <w:szCs w:val="20"/>
              </w:rPr>
              <w:t xml:space="preserve">Chi tiết Phần B, C</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VH-4</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Đơn vị vận hành thực hiện biện pháp theo phương án được phê duyệt; định kỳ đánh giá hiệu quả, báo cáo chủ quản</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Đ33.1, Đ33.3</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VH-5</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Phối hợp xử lý, khắc phục điểm yếu, lỗ hổng</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Đ33.4</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VH-6</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định kỳ/đột xuất theo yêu cầu chủ quản, cơ quan quản lý</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Đ33.6, Đ35</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0"/>
                <w:szCs w:val="20"/>
              </w:rPr>
              <w:t xml:space="preserve">Mẫu 08</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A.3. Kiểm tra, đánh giá ANM (Đ29.2.c)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906"/>
        <w:gridCol w:w="1701"/>
        <w:gridCol w:w="2031"/>
        <w:gridCol w:w="915"/>
        <w:gridCol w:w="915"/>
        <w:gridCol w:w="917"/>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9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7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0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KT-1</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điều kiện ANM trước khi đưa vào vận hành; khi thay đổi lớn; theo yêu cầu</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Đ28.3</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KT-2</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tra, giám sát tuân thủ và đánh giá hiệu quả: định kỳ theo cấp độ và rủi ro, thường xuyên qua giám sát, đột xuất, theo yêu cầu</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Đ28.5.a</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0"/>
                <w:szCs w:val="20"/>
              </w:rPr>
              <w:t xml:space="preserve">Tần suất: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KT-3</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Nội dung kiểm tra tuân thủ (Đ27.1), đánh giá hiệu quả (Đ27.2)</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Đ27.1, Đ27.2</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KT-4</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Dò quét mã độc, lỗ hổng, điểm yếu; kiểm thử xâm nhập; đánh giá an toàn mã nguồn phần mềm nội bộ; kế hoạch xử lý</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Đ27.3</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0"/>
                <w:szCs w:val="20"/>
              </w:rPr>
              <w:t xml:space="preserve">Hình thức: hộp đen/xám/trắng (Đ27.4)</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KT-5</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Tự đánh giá do bộ phận độc lập với đơn vị vận hành; hoặc tổ chức chuyên môn đánh giá (thực hiện với cấp 5/ANQG và các trường hợp khác liệt kê tại Đ31.2.c)</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Đ31.2.c</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KT-6</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kiểm tra ANM (cấp 3–5)</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5.18 / 6.18 / 7.18</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A.4. Quản lý rủi ro ANM (Đ29.2.d)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388"/>
        <w:gridCol w:w="1449"/>
        <w:gridCol w:w="2802"/>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3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4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8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RR-1</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rủi ro trong các trường hợp Đ10.2</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Đ10.2</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RR-2</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Nội dung tối thiểu Đ10.3.a–g</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Đ10.3</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0"/>
                <w:szCs w:val="20"/>
              </w:rPr>
              <w:t xml:space="preserve">bao-cao-danh-gia-rui-ro.md</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RR-3</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giữ hồ sơ đánh giá rủi ro, cung cấp khi thanh tra, kiểm tra</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Đ10.6</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RR-4</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rủi ro theo TCVN</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 / 4.1 / 5.1 / 6.1 / 7.1</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A.5. Giám sát ANM (Đ29.2.đ)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288"/>
        <w:gridCol w:w="1490"/>
        <w:gridCol w:w="2860"/>
        <w:gridCol w:w="915"/>
        <w:gridCol w:w="915"/>
        <w:gridCol w:w="917"/>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2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4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8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GS-1</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Thực hiện giám sát ANM</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Đ10.2.g</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GS-2</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nối hệ thống giám sát ANM, phòng chống mã độc tập trung về Trung tâm ANM quốc gia (Bộ Công an) hoặc Trung tâm ANM tỉnh, thành phố</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Đ40.1.b</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GS-3</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Phối hợp, thiết lập kết nối, đấu nối đường truyền, truyền dữ liệu phục vụ giám sát theo hướng dẫn lực lượng chuyên trách Bộ Công an</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Đ33.5</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GS-4</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Giám sát và phòng thủ ANM (cấp 3–5)</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5.13 / 6.13 / 7.13</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GS-5</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nhật ký</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3.8 / 4.8 / 5.8 / 6.8 / 7.8</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0"/>
                <w:szCs w:val="20"/>
              </w:rPr>
              <w:t xml:space="preserve">Yêu cầu lưu log theo NĐ 333: xem ../05-nghia-vu-lien-quan/</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định chi tiết về giám sát, ứng phó sự cố: chờ hướng dẫn của Bộ trưởng Bộ Công an (NĐ 331 Đ28.6).</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A.6. Dự phòng, ứng phó sự cố ANM, khôi phục sau thảm họa (Đ29.2.e)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022"/>
        <w:gridCol w:w="1992"/>
        <w:gridCol w:w="1625"/>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0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9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6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SC-1</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ứng cứu sự cố ANM, được điều chỉnh theo kết quả đánh giá rủi ro</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Đ10.4.c</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SC-2</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Thông báo ban đầu sự cố nghiêm trọng trong </w:t>
            </w:r>
            <w:r>
              <w:rPr>
                <w:rFonts w:ascii="Times New Roman" w:cs="Times New Roman" w:eastAsia="Times New Roman" w:hAnsi="Times New Roman"/>
                <w:b/>
                <w:bCs/>
                <w:i w:val="false"/>
                <w:iCs w:val="false"/>
                <w:sz w:val="20"/>
                <w:szCs w:val="20"/>
              </w:rPr>
              <w:t xml:space="preserve">24 giờ</w:t>
            </w:r>
            <w:r>
              <w:rPr>
                <w:rFonts w:ascii="Times New Roman" w:cs="Times New Roman" w:eastAsia="Times New Roman" w:hAnsi="Times New Roman"/>
                <w:b w:val="false"/>
                <w:bCs w:val="false"/>
                <w:i w:val="false"/>
                <w:iCs w:val="false"/>
                <w:sz w:val="20"/>
                <w:szCs w:val="20"/>
              </w:rPr>
              <w:t xml:space="preserve"> kể từ khi phát hiện</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SC-3</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nguyên nhân, phạm vi ảnh hưởng, biện pháp khắc phục trong </w:t>
            </w:r>
            <w:r>
              <w:rPr>
                <w:rFonts w:ascii="Times New Roman" w:cs="Times New Roman" w:eastAsia="Times New Roman" w:hAnsi="Times New Roman"/>
                <w:b/>
                <w:bCs/>
                <w:i w:val="false"/>
                <w:iCs w:val="false"/>
                <w:sz w:val="20"/>
                <w:szCs w:val="20"/>
              </w:rPr>
              <w:t xml:space="preserve">72 giờ</w:t>
            </w:r>
            <w:r>
              <w:rPr>
                <w:rFonts w:ascii="Times New Roman" w:cs="Times New Roman" w:eastAsia="Times New Roman" w:hAnsi="Times New Roman"/>
                <w:b w:val="false"/>
                <w:bCs w:val="false"/>
                <w:i w:val="false"/>
                <w:iCs w:val="false"/>
                <w:sz w:val="20"/>
                <w:szCs w:val="20"/>
              </w:rPr>
              <w:t xml:space="preserve">; sự cố phức tạp: báo cáo sơ bộ, cập nhật, kết thúc</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SC-4</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Sự cố có dấu hiệu xâm phạm ANQG, TT-ATXH hoặc gián đoạn nghiêm trọng: báo cáo </w:t>
            </w:r>
            <w:r>
              <w:rPr>
                <w:rFonts w:ascii="Times New Roman" w:cs="Times New Roman" w:eastAsia="Times New Roman" w:hAnsi="Times New Roman"/>
                <w:b/>
                <w:bCs/>
                <w:i w:val="false"/>
                <w:iCs w:val="false"/>
                <w:sz w:val="20"/>
                <w:szCs w:val="20"/>
              </w:rPr>
              <w:t xml:space="preserve">ngay</w:t>
            </w:r>
            <w:r>
              <w:rPr>
                <w:rFonts w:ascii="Times New Roman" w:cs="Times New Roman" w:eastAsia="Times New Roman" w:hAnsi="Times New Roman"/>
                <w:b w:val="false"/>
                <w:bCs w:val="false"/>
                <w:i w:val="false"/>
                <w:iCs w:val="false"/>
                <w:sz w:val="20"/>
                <w:szCs w:val="20"/>
              </w:rPr>
              <w:t xml:space="preserve"> khi phát hiện</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SC-5</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sự cố với cơ quan chuyên trách Bộ Công an (hoặc Bộ Quốc phòng)</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Đ40.1.c</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0"/>
                <w:szCs w:val="20"/>
              </w:rPr>
              <w:t xml:space="preserve">Đầu mối, kênh báo cáo: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SC-6</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Sao lưu và khôi phục dữ liệu; khôi phục sau thảm họa</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3.11 / 4.11 / 5.11 / 6.11 / 7.11</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0"/>
                <w:szCs w:val="20"/>
              </w:rPr>
              <w:t xml:space="preserve">RTO/RPO: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SC-7</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trị ứng phó sự cố ANM</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3.15 / 4.15 / 5.16 / 6.17 / 7.17</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SC-8</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Diễn tập bảo đảm ANM</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Đ31.3</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A.7. Kết thúc vận hành, khai thác, thanh lý, hủy bỏ (Đ29.2.g)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50"/>
        <w:gridCol w:w="3501"/>
        <w:gridCol w:w="970"/>
        <w:gridCol w:w="1059"/>
        <w:gridCol w:w="915"/>
        <w:gridCol w:w="915"/>
        <w:gridCol w:w="915"/>
      </w:tblGrid>
      <w:tr>
        <w:trPr>
          <w:cantSplit/>
          <w:tblHeader/>
        </w:trPr>
        <w:tc>
          <w:tcPr>
            <w:tcW w:type="dxa" w:w="7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3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KT-H1</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Quy định bảo đảm ANM khi hủy bỏ HTTT</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KT-H2</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kết thúc vận hành, thanh lý, hủy bỏ (xóa/hủy dữ liệu an toàn, thu hồi tài khoản, thanh lý thiết bị lưu trữ)</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Đ30.3.g</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KT-H3</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Thuê dịch vụ: điều khoản duy trì, chuyển giao dịch vụ, trả/hủy dữ liệu khi hết hợp đồng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Đ5.3.b</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B. Yêu cầu cơ bản về quản lý (NĐ 331 Đ30.3)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Đ30.3 yêu cầu </w:t>
      </w:r>
      <w:r>
        <w:rPr>
          <w:rFonts w:ascii="Times New Roman" w:cs="Times New Roman" w:eastAsia="Times New Roman" w:hAnsi="Times New Roman"/>
          <w:b/>
          <w:bCs/>
          <w:i w:val="false"/>
          <w:iCs w:val="false"/>
          <w:sz w:val="26"/>
          <w:szCs w:val="26"/>
        </w:rPr>
        <w:t xml:space="preserve">ban hành các quy định và triển khai các quy định</w:t>
      </w:r>
      <w:r>
        <w:rPr>
          <w:rFonts w:ascii="Times New Roman" w:cs="Times New Roman" w:eastAsia="Times New Roman" w:hAnsi="Times New Roman"/>
          <w:b w:val="false"/>
          <w:bCs w:val="false"/>
          <w:i w:val="false"/>
          <w:iCs w:val="false"/>
          <w:sz w:val="26"/>
          <w:szCs w:val="26"/>
        </w:rPr>
        <w:t xml:space="preserve"> về 7 nhóm sau. Mẫu quy chế, quy trình: ../04-chinh-sach-quy-trinh/.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1347"/>
        <w:gridCol w:w="893"/>
        <w:gridCol w:w="2122"/>
        <w:gridCol w:w="1534"/>
        <w:gridCol w:w="844"/>
        <w:gridCol w:w="844"/>
        <w:gridCol w:w="845"/>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3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Nhóm yêu cầu quản lý</w:t>
            </w:r>
          </w:p>
        </w:tc>
        <w:tc>
          <w:tcPr>
            <w:tcW w:type="dxa" w:w="8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Căn cứ</w:t>
            </w:r>
          </w:p>
        </w:tc>
        <w:tc>
          <w:tcPr>
            <w:tcW w:type="dxa" w:w="21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Nhóm TCVN 14423:2026 liên quan (gợi ý)</w:t>
            </w:r>
          </w:p>
        </w:tc>
        <w:tc>
          <w:tcPr>
            <w:tcW w:type="dxa" w:w="15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Phương án triển khai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Bằng chứng</w:t>
            </w:r>
          </w:p>
        </w:tc>
        <w:tc>
          <w:tcPr>
            <w:tcW w:type="dxa" w:w="8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Kế hoạch khắc phục</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QL-a</w:t>
            </w:r>
          </w:p>
        </w:tc>
        <w:tc>
          <w:tcPr>
            <w:tcW w:type="dxa" w:w="1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Thiết lập chính sách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Đ30.3.a</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Xuyên suốt; Quy chế ANM (Đ30.7)</w:t>
            </w:r>
          </w:p>
        </w:tc>
        <w:tc>
          <w:tcPr>
            <w:tcW w:type="dxa" w:w="15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18"/>
                <w:szCs w:val="18"/>
              </w:rPr>
              <w:t xml:space="preserve">Chính sách ANM, quy chế số {{...}}</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QL-b</w:t>
            </w:r>
          </w:p>
        </w:tc>
        <w:tc>
          <w:tcPr>
            <w:tcW w:type="dxa" w:w="1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Tổ chức bảo đảm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Đ30.3.b</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Nhân sự vận hành, quản trị, bảo vệ ANM</w:t>
            </w:r>
          </w:p>
        </w:tc>
        <w:tc>
          <w:tcPr>
            <w:tcW w:type="dxa" w:w="15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18"/>
                <w:szCs w:val="18"/>
              </w:rPr>
              <w:t xml:space="preserve">Đơn vị/bộ phận chuyên trách (Đ31.1); phân công trách nhiệm</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QL-c</w:t>
            </w:r>
          </w:p>
        </w:tc>
        <w:tc>
          <w:tcPr>
            <w:tcW w:type="dxa" w:w="1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nguồn nhân lực</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Đ30.3.c</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Nhân sự vận hành, quản trị, bảo vệ ANM</w:t>
            </w:r>
          </w:p>
        </w:tc>
        <w:tc>
          <w:tcPr>
            <w:tcW w:type="dxa" w:w="15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18"/>
                <w:szCs w:val="18"/>
              </w:rPr>
              <w:t xml:space="preserve">Tuyển dụng, đào tạo, nâng cao nhận thức (Đ31.3), chấm dứt hợp đồng</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QL-d</w:t>
            </w:r>
          </w:p>
        </w:tc>
        <w:tc>
          <w:tcPr>
            <w:tcW w:type="dxa" w:w="1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thiết kế, xây dựng hệ thống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Đ30.3.d</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triển ứng dụng an toàn (cấp 3–5); Cấu hình an toàn; Quản lý nhà cung cấp</w:t>
            </w:r>
          </w:p>
        </w:tc>
        <w:tc>
          <w:tcPr>
            <w:tcW w:type="dxa" w:w="15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QL-đ</w:t>
            </w:r>
          </w:p>
        </w:tc>
        <w:tc>
          <w:tcPr>
            <w:tcW w:type="dxa" w:w="1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vận hành hệ thống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Đ30.3.đ</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(phần cứng, phần mềm, thông tin); Tài khoản và truy cập; Lỗ hổng; Nhật ký; Trình duyệt, thư điện tử; Mã độc; Sao lưu; Giám sát (cấp 3–5); Ứng phó sự cố; Kiểm tra ANM (cấp 3–5)</w:t>
            </w:r>
          </w:p>
        </w:tc>
        <w:tc>
          <w:tcPr>
            <w:tcW w:type="dxa" w:w="15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QL-e</w:t>
            </w:r>
          </w:p>
        </w:tc>
        <w:tc>
          <w:tcPr>
            <w:tcW w:type="dxa" w:w="1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Phương án quản lý rủi ro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Đ30.3.e</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rủi ro ANM</w:t>
            </w:r>
          </w:p>
        </w:tc>
        <w:tc>
          <w:tcPr>
            <w:tcW w:type="dxa" w:w="15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18"/>
                <w:szCs w:val="18"/>
              </w:rPr>
              <w:t xml:space="preserve">Xem A.4</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QL-g</w:t>
            </w:r>
          </w:p>
        </w:tc>
        <w:tc>
          <w:tcPr>
            <w:tcW w:type="dxa" w:w="1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Phương án kết thúc vận hành, khai thác, thanh lý, hủy bỏ HTTT</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Đ30.3.g</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thông tin, tài sản phần cứng</w:t>
            </w:r>
          </w:p>
        </w:tc>
        <w:tc>
          <w:tcPr>
            <w:tcW w:type="dxa" w:w="15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18"/>
                <w:szCs w:val="18"/>
              </w:rPr>
              <w:t xml:space="preserve">Xem A.7</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C. Yêu cầu cơ bản về kỹ thuật (NĐ 331 Đ30.4)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95"/>
        <w:gridCol w:w="1117"/>
        <w:gridCol w:w="893"/>
        <w:gridCol w:w="2193"/>
        <w:gridCol w:w="1593"/>
        <w:gridCol w:w="844"/>
        <w:gridCol w:w="844"/>
        <w:gridCol w:w="846"/>
      </w:tblGrid>
      <w:tr>
        <w:trPr>
          <w:cantSplit/>
          <w:tblHeader/>
        </w:trPr>
        <w:tc>
          <w:tcPr>
            <w:tcW w:type="dxa" w:w="6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1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Nhóm yêu cầu kỹ thuật</w:t>
            </w:r>
          </w:p>
        </w:tc>
        <w:tc>
          <w:tcPr>
            <w:tcW w:type="dxa" w:w="8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Căn cứ</w:t>
            </w:r>
          </w:p>
        </w:tc>
        <w:tc>
          <w:tcPr>
            <w:tcW w:type="dxa" w:w="21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Nhóm TCVN 14423:2026 liên quan (gợi ý)</w:t>
            </w:r>
          </w:p>
        </w:tc>
        <w:tc>
          <w:tcPr>
            <w:tcW w:type="dxa" w:w="15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Phương án triển khai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Bằng chứng</w:t>
            </w:r>
          </w:p>
        </w:tc>
        <w:tc>
          <w:tcPr>
            <w:tcW w:type="dxa" w:w="8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Kế hoạch khắc phục</w:t>
            </w: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KTH-a</w:t>
            </w:r>
          </w:p>
        </w:tc>
        <w:tc>
          <w:tcPr>
            <w:tcW w:type="dxa" w:w="1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mạng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hạ tầng mạng; Giám sát và phòng thủ (cấp 3–5)</w:t>
            </w:r>
          </w:p>
        </w:tc>
        <w:tc>
          <w:tcPr>
            <w:tcW w:type="dxa" w:w="15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18"/>
                <w:szCs w:val="18"/>
              </w:rPr>
              <w:t xml:space="preserve">Phân vùng, kiểm soát truy cập giữa vùng, bảo vệ biên, truy cập từ xa</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KTH-b</w:t>
            </w:r>
          </w:p>
        </w:tc>
        <w:tc>
          <w:tcPr>
            <w:tcW w:type="dxa" w:w="1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máy chủ</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Đ30.4.b</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Cấu hình an toàn; Lỗ hổng; Mã độc; Nhật ký; Tài khoản và truy cập</w:t>
            </w:r>
          </w:p>
        </w:tc>
        <w:tc>
          <w:tcPr>
            <w:tcW w:type="dxa" w:w="15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KTH-c</w:t>
            </w:r>
          </w:p>
        </w:tc>
        <w:tc>
          <w:tcPr>
            <w:tcW w:type="dxa" w:w="1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ứng dụng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Đ30.4.c</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triển ứng dụng an toàn (cấp 3–5); Tài khoản và truy cập; Trình duyệt, thư điện tử</w:t>
            </w:r>
          </w:p>
        </w:tc>
        <w:tc>
          <w:tcPr>
            <w:tcW w:type="dxa" w:w="15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KTH-d</w:t>
            </w:r>
          </w:p>
        </w:tc>
        <w:tc>
          <w:tcPr>
            <w:tcW w:type="dxa" w:w="1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dữ liệu</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Đ30.4.d</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thông tin; Sao lưu và khôi phục</w:t>
            </w:r>
          </w:p>
        </w:tc>
        <w:tc>
          <w:tcPr>
            <w:tcW w:type="dxa" w:w="15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18"/>
                <w:szCs w:val="18"/>
              </w:rPr>
              <w:t xml:space="preserve">Phân loại, mã hóa, kiểm soát truy cập, sao lưu</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Cột "Nhóm TCVN liên quan" là </w:t>
      </w:r>
      <w:r>
        <w:rPr>
          <w:rFonts w:ascii="Times New Roman" w:cs="Times New Roman" w:eastAsia="Times New Roman" w:hAnsi="Times New Roman"/>
          <w:b/>
          <w:bCs/>
          <w:i/>
          <w:iCs/>
          <w:sz w:val="24"/>
          <w:szCs w:val="24"/>
        </w:rPr>
        <w:t xml:space="preserve">gợi ý ánh xạ</w:t>
      </w:r>
      <w:r>
        <w:rPr>
          <w:rFonts w:ascii="Times New Roman" w:cs="Times New Roman" w:eastAsia="Times New Roman" w:hAnsi="Times New Roman"/>
          <w:b w:val="false"/>
          <w:bCs w:val="false"/>
          <w:i/>
          <w:iCs/>
          <w:sz w:val="24"/>
          <w:szCs w:val="24"/>
        </w:rPr>
        <w:t xml:space="preserve"> của bộ khung này; NĐ 331 và TCVN 14423:2026 không tự ánh xạ các nhóm Đ30.3/Đ30.4 vào các mục của tiêu chuẩn. Mỗi hàng nên tách thành các dòng con theo từng yêu cầu chi tiết trong ma trận tại ../03-yeu-cau-theo-cap-do/ để đáp ứng Đ22.6 ("đối với từng yêu cầu").</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D. HTTT triển khai trên TTDL thuê hoặc điện toán đám mây (NĐ 331 Đ30.8, Đ30.9)</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D.1. Cấp độ 3, 4 (Đ30.8)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523"/>
        <w:gridCol w:w="970"/>
        <w:gridCol w:w="2146"/>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5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1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DC-a</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Hệ thống tách riêng, độc lập với hệ thống khác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có biện pháp quản lý truy cập giữa các hệ thống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Đ30.8.a</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0"/>
                <w:szCs w:val="20"/>
              </w:rPr>
              <w:t xml:space="preserve">VPC/tenant riêng, security group...</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DC-b</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Các vùng mạng trong hệ thống tách riêng, độc lập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quản lý truy cập giữa các vùng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Đ30.8.b</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DC-c</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vùng lưu trữ phân tách độc lập </w:t>
            </w:r>
            <w:r>
              <w:rPr>
                <w:rFonts w:ascii="Times New Roman" w:cs="Times New Roman" w:eastAsia="Times New Roman" w:hAnsi="Times New Roman"/>
                <w:b/>
                <w:bCs/>
                <w:i w:val="false"/>
                <w:iCs w:val="false"/>
                <w:sz w:val="20"/>
                <w:szCs w:val="20"/>
              </w:rPr>
              <w:t xml:space="preserve">về lô-gic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Đ30.8.c</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D.2. Cấp độ 5 hoặc HTTT quan trọng về ANQG (Đ30.9)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50"/>
        <w:gridCol w:w="3501"/>
        <w:gridCol w:w="970"/>
        <w:gridCol w:w="1059"/>
        <w:gridCol w:w="915"/>
        <w:gridCol w:w="915"/>
        <w:gridCol w:w="915"/>
      </w:tblGrid>
      <w:tr>
        <w:trPr>
          <w:cantSplit/>
          <w:tblHeader/>
        </w:trPr>
        <w:tc>
          <w:tcPr>
            <w:tcW w:type="dxa" w:w="7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3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DC5-a</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Tách riêng, độc lập với hệ thống khác </w:t>
            </w:r>
            <w:r>
              <w:rPr>
                <w:rFonts w:ascii="Times New Roman" w:cs="Times New Roman" w:eastAsia="Times New Roman" w:hAnsi="Times New Roman"/>
                <w:b/>
                <w:bCs/>
                <w:i w:val="false"/>
                <w:iCs w:val="false"/>
                <w:sz w:val="20"/>
                <w:szCs w:val="20"/>
              </w:rPr>
              <w:t xml:space="preserve">về vật lý</w:t>
            </w:r>
            <w:r>
              <w:rPr>
                <w:rFonts w:ascii="Times New Roman" w:cs="Times New Roman" w:eastAsia="Times New Roman" w:hAnsi="Times New Roman"/>
                <w:b w:val="false"/>
                <w:bCs w:val="false"/>
                <w:i w:val="false"/>
                <w:iCs w:val="false"/>
                <w:sz w:val="20"/>
                <w:szCs w:val="20"/>
              </w:rPr>
              <w:t xml:space="preserve">; quản lý truy cập giữa các hệ thống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Đ30.9.a</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DC5-b</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Các vùng mạng tách riêng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quản lý truy cập giữa các vùng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Đ30.9.b</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DC5-c</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vùng lưu trữ phân tách </w:t>
            </w:r>
            <w:r>
              <w:rPr>
                <w:rFonts w:ascii="Times New Roman" w:cs="Times New Roman" w:eastAsia="Times New Roman" w:hAnsi="Times New Roman"/>
                <w:b/>
                <w:bCs/>
                <w:i w:val="false"/>
                <w:iCs w:val="false"/>
                <w:sz w:val="20"/>
                <w:szCs w:val="20"/>
              </w:rPr>
              <w:t xml:space="preserve">về vật lý</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Đ30.9.c</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DC5-d</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Thiết bị mạng chính phân tách </w:t>
            </w:r>
            <w:r>
              <w:rPr>
                <w:rFonts w:ascii="Times New Roman" w:cs="Times New Roman" w:eastAsia="Times New Roman" w:hAnsi="Times New Roman"/>
                <w:b/>
                <w:bCs/>
                <w:i w:val="false"/>
                <w:iCs w:val="false"/>
                <w:sz w:val="20"/>
                <w:szCs w:val="20"/>
              </w:rPr>
              <w:t xml:space="preserve">về vật lý</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Đ30.9.d</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DC5-đ</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Giải pháp ANM dùng chung chỉ được triển khai nếu chỉ giám sát, phát hiện, cảnh báo hoặc bảo vệ lớp biên, không tạo khả năng truy cập, điều khiển, can thiệp trực tiếp vào dữ liệu, tài nguyên, hoạt động nội bộ</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Đ30.9.đ</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Hợp đồng thuê phải quy định trách nhiệm, thẩm quyền các bên về quản trị dữ liệu, kiểm soát truy cập, bảo đảm ANM (Đ5.3.a); nhà cung cấp phối hợp cập nhật hồ sơ theo hiện trạng hạ tầng (Đ19.2.b).</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E. Bảng tra nhóm yêu cầu TCVN 14423:2026 theo cấp độ</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Số mục theo cấu trúc tiêu chuẩn (tên nhóm diễn đạt ngắn). Nội dung yêu cầu: xem ../03-yeu-cau-theo-cap-do/ và bản chính thức.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275"/>
        <w:gridCol w:w="1190"/>
        <w:gridCol w:w="640"/>
        <w:gridCol w:w="640"/>
        <w:gridCol w:w="640"/>
        <w:gridCol w:w="640"/>
      </w:tblGrid>
      <w:tr>
        <w:trPr>
          <w:cantSplit/>
          <w:tblHeader/>
        </w:trPr>
        <w:tc>
          <w:tcPr>
            <w:tcW w:type="dxa" w:w="52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Nhóm</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Cấp 1</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Cấp 2</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Cấp 3</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Cấp 4</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Cấp 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rủi ro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phần cứng</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7.2</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phần mềm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7.3</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thông tin</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7.4</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Cấu hình an toàn phần cứng, phần mềm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khoản và quyền truy cập</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7.6</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lỗ hổng bảo mật</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7.7</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nhật ký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7.8</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Bảo vệ trình duyệt web, thư điện tử</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7.9</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Phòng chống phần mềm độc hại</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7.10</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Sao lưu và khôi phục dữ liệu</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7.11</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hạ tầng mạng</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7.12</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Giám sát và phòng thủ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7.13</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Nhân sự vận hành, quản trị, bảo vệ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7.14</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nhà cung cấp sản phẩm, dịch vụ</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Phát triển ứng dụng an toàn</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7.16</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trị ứng phó sự cố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7.17</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kiểm tra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5.18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6.18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7.18</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An ninh vật lý (tham khảo; ngoài yêu cầu cơ bản theo Đ30.2)</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Phụ lục A</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Lưu ý: thứ tự mục "Phát triển ứng dụng an toàn" và "Quản trị ứng phó sự cố" ở cấp 3 (5.17, 5.16) khác cấp 4–5 (6.16/7.16, 6.17/7.17) — kiểm tra kỹ khi dẫn số mục.</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F. Tổng hợp kế hoạch khắc phục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695"/>
        <w:gridCol w:w="1190"/>
        <w:gridCol w:w="1190"/>
        <w:gridCol w:w="2139"/>
        <w:gridCol w:w="844"/>
        <w:gridCol w:w="1190"/>
        <w:gridCol w:w="1190"/>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6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Mã yêu cầu</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Nội dung chưa đáp ứng</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Biện pháp</w:t>
            </w:r>
          </w:p>
        </w:tc>
        <w:tc>
          <w:tcPr>
            <w:tcW w:type="dxa" w:w="21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Người/đơn vị phụ trách</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Hạn hoàn thành</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Nguồn lực</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RR-01</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1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15</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Mốc chuyển tiếp cần đáp ứng: 12 tháng kể từ 01/7/2026 với HTTT đã có cấp độ theo Luật ATTTM (Luật 116 Đ45.1) hoặc đang đầu tư trước 01/7/2026 (NĐ 331 Đ39.1) — xem ../01-xac-dinh-cap-do/tham-quyen-trinh-tu.md.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69"/>
        <w:gridCol w:w="4069"/>
        <w:gridCol w:w="887"/>
      </w:tblGrid>
      <w:tr>
        <w:trPr>
          <w:cantSplit/>
          <w:tblHeader/>
        </w:trPr>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lập</w:t>
            </w:r>
          </w:p>
        </w:tc>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Đơn vị chuyên trách ANM soát xét</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Ngày</w:t>
            </w:r>
          </w:p>
        </w:tc>
      </w:tr>
      <w:tr>
        <w:trPr>
          <w:cantSplit/>
          <w:tblHeader w:val="false"/>
        </w:trPr>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phương án bảo đảm an ninh mạng — khung</dc:title>
  <dc:creator>vn-cyber-compliance</dc:creator>
  <cp:lastModifiedBy>Un-named</cp:lastModifiedBy>
  <cp:revision>1</cp:revision>
  <dcterms:created xsi:type="dcterms:W3CDTF">2026-09-25T02:31:04.165Z</dcterms:created>
  <dcterms:modified xsi:type="dcterms:W3CDTF">2026-09-25T02:31:04.165Z</dcterms:modified>
</cp:coreProperties>
</file>

<file path=docProps/custom.xml><?xml version="1.0" encoding="utf-8"?>
<Properties xmlns="http://schemas.openxmlformats.org/officeDocument/2006/custom-properties" xmlns:vt="http://schemas.openxmlformats.org/officeDocument/2006/docPropsVTypes"/>
</file>