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53/2026/TB-TURBO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THÔNG BÁO</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xử lý dữ liệu cá nhân của người lao động</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Người lao động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Thông báo này giải thích Công ty thu thập, sử dụng và bảo vệ dữ liệu cá nhân của Anh/Chị như thế nào trong quá trình làm việc, theo Luật Bảo vệ dữ liệu cá nhân số 91/2025/QH15 và Nghị định số 356/2025/NĐ-CP. Anh/Chị vui lòng đọc kỹ và ký xác nhận đã nhận thông báo.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Ai xử lý dữ liệu của Anh/Chị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Bên kiểm soát dữ liệu cá nhân (bên quyết định mục đích và cách xử lý):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Đầu mối bảo vệ dữ liệu cá nhân: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Mọi câu hỏi, yêu cầu về dữ liệu cá nhân của Anh/Chị gửi về đầu mối này.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quản lý hồ sơ nhân sự;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vận hành các hệ thống thông tin;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xử lý sự cố an ninh mạng.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Công ty xử lý những dữ liệu nào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94"/>
        <w:gridCol w:w="3681"/>
        <w:gridCol w:w="3550"/>
      </w:tblGrid>
      <w:tr>
        <w:trPr>
          <w:cantSplit/>
          <w:tblHeader/>
        </w:trPr>
        <w:tc>
          <w:tcPr>
            <w:tcW w:type="dxa" w:w="1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Nhóm dữ liệu</w:t>
            </w:r>
          </w:p>
        </w:tc>
        <w:tc>
          <w:tcPr>
            <w:tcW w:type="dxa" w:w="36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Ví dụ</w:t>
            </w:r>
          </w:p>
        </w:tc>
        <w:tc>
          <w:tcPr>
            <w:tcW w:type="dxa" w:w="35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Loại</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thân, liên hệ</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tên, ngày sinh, giới tính, quê quán, địa chỉ, số điện thoại, email cá nhân, </w:t>
            </w:r>
            <w:r>
              <w:rPr>
                <w:rFonts w:ascii="Times New Roman" w:cs="Times New Roman" w:eastAsia="Times New Roman" w:hAnsi="Times New Roman"/>
                <w:b/>
                <w:bCs/>
                <w:i w:val="false"/>
                <w:iCs w:val="false"/>
                <w:sz w:val="24"/>
                <w:szCs w:val="24"/>
              </w:rPr>
              <w:t xml:space="preserve">số</w:t>
            </w:r>
            <w:r>
              <w:rPr>
                <w:rFonts w:ascii="Times New Roman" w:cs="Times New Roman" w:eastAsia="Times New Roman" w:hAnsi="Times New Roman"/>
                <w:b w:val="false"/>
                <w:bCs w:val="false"/>
                <w:i w:val="false"/>
                <w:iCs w:val="false"/>
                <w:sz w:val="24"/>
                <w:szCs w:val="24"/>
              </w:rPr>
              <w:t xml:space="preserve"> căn cước, tình trạng hôn nhân, người liên hệ khi khẩn cấp</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bản</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Công việc</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lao động, chức danh, phòng ban, quá trình công tác, đánh giá, khen thưởng, kỷ luật, ảnh thẻ nhân viên</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bản</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Lương, thuế, bảo hiểm</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Tiền lương, mã số thuế, người phụ thuộc, số sổ bảo hiểm xã hội, </w:t>
            </w:r>
            <w:r>
              <w:rPr>
                <w:rFonts w:ascii="Times New Roman" w:cs="Times New Roman" w:eastAsia="Times New Roman" w:hAnsi="Times New Roman"/>
                <w:b/>
                <w:bCs/>
                <w:i w:val="false"/>
                <w:iCs w:val="false"/>
                <w:sz w:val="24"/>
                <w:szCs w:val="24"/>
              </w:rPr>
              <w:t xml:space="preserve">số tài khoản ngân hàng nhận lương</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bản (Công ty bảo vệ số tài khoản như dữ liệu nhạy cảm)</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nhật ký hệ thống</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thư điện tử, Intranet, ERP, mạng nội bộ; thời điểm đăng nhập, thao tác, địa chỉ IP, tên miền truy cập Internet</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truy cập Internet có thể là </w:t>
            </w:r>
            <w:r>
              <w:rPr>
                <w:rFonts w:ascii="Times New Roman" w:cs="Times New Roman" w:eastAsia="Times New Roman" w:hAnsi="Times New Roman"/>
                <w:b/>
                <w:bCs/>
                <w:i w:val="false"/>
                <w:iCs w:val="false"/>
                <w:sz w:val="24"/>
                <w:szCs w:val="24"/>
              </w:rPr>
              <w:t xml:space="preserve">nhạy cảm</w:t>
            </w:r>
            <w:r>
              <w:rPr>
                <w:rFonts w:ascii="Times New Roman" w:cs="Times New Roman" w:eastAsia="Times New Roman" w:hAnsi="Times New Roman"/>
                <w:b w:val="false"/>
                <w:bCs w:val="false"/>
                <w:i w:val="false"/>
                <w:iCs w:val="false"/>
                <w:sz w:val="24"/>
                <w:szCs w:val="24"/>
              </w:rPr>
              <w:t xml:space="preserve">; Công ty bảo vệ toàn bộ nhóm này như dữ liệu nhạy cảm</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Chấm công, ra vào</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Giờ vào, giờ ra ghi bằng </w:t>
            </w:r>
            <w:r>
              <w:rPr>
                <w:rFonts w:ascii="Times New Roman" w:cs="Times New Roman" w:eastAsia="Times New Roman" w:hAnsi="Times New Roman"/>
                <w:b/>
                <w:bCs/>
                <w:i w:val="false"/>
                <w:iCs w:val="false"/>
                <w:sz w:val="24"/>
                <w:szCs w:val="24"/>
              </w:rPr>
              <w:t xml:space="preserve">thẻ từ</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bản</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camera</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tại </w:t>
            </w:r>
            <w:r>
              <w:rPr>
                <w:rFonts w:ascii="Times New Roman" w:cs="Times New Roman" w:eastAsia="Times New Roman" w:hAnsi="Times New Roman"/>
                <w:b w:val="false"/>
                <w:bCs w:val="false"/>
                <w:i w:val="false"/>
                <w:iCs w:val="false"/>
                <w:sz w:val="24"/>
                <w:szCs w:val="24"/>
                <w:highlight w:val="yellow"/>
              </w:rPr>
              <w:t xml:space="preserve">sảnh lễ tân và cửa ra vào trụ sở</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bản</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Sức khỏe</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khám sức khỏe, giấy nghỉ ốm, thai sản, tai nạn lao động</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Nhạy cảm</w:t>
            </w:r>
          </w:p>
        </w:tc>
      </w:tr>
      <w:tr>
        <w:trPr>
          <w:cantSplit/>
          <w:tblHeader w:val="false"/>
        </w:trPr>
        <w:tc>
          <w:tcPr>
            <w:tcW w:type="dxa" w:w="1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Ảnh chụp thẻ căn cước</w:t>
            </w:r>
          </w:p>
        </w:tc>
        <w:tc>
          <w:tcPr>
            <w:tcW w:type="dxa" w:w="36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khi thủ tục bảo hiểm xã hội yêu cầu và Anh/Chị đồng ý</w:t>
            </w:r>
          </w:p>
        </w:tc>
        <w:tc>
          <w:tcPr>
            <w:tcW w:type="dxa" w:w="35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Nhạy cảm</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Công ty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thu thập vân tay, khuôn mặt, vị trí định vị của Anh/Chị;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cài phần mềm theo dõi màn hình, bàn phím;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ghi âm tại nơi làm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Dữ liệu </w:t>
      </w:r>
      <w:r>
        <w:rPr>
          <w:rFonts w:ascii="Times New Roman" w:cs="Times New Roman" w:eastAsia="Times New Roman" w:hAnsi="Times New Roman"/>
          <w:b/>
          <w:bCs/>
          <w:i w:val="false"/>
          <w:iCs w:val="false"/>
          <w:sz w:val="26"/>
          <w:szCs w:val="26"/>
        </w:rPr>
        <w:t xml:space="preserve">nhạy cảm</w:t>
      </w:r>
      <w:r>
        <w:rPr>
          <w:rFonts w:ascii="Times New Roman" w:cs="Times New Roman" w:eastAsia="Times New Roman" w:hAnsi="Times New Roman"/>
          <w:b w:val="false"/>
          <w:bCs w:val="false"/>
          <w:i w:val="false"/>
          <w:iCs w:val="false"/>
          <w:sz w:val="26"/>
          <w:szCs w:val="26"/>
        </w:rPr>
        <w:t xml:space="preserve"> là dữ liệu gắn với quyền riêng tư, nếu bị lộ có thể ảnh hưởng trực tiếp đến Anh/Chị (khoản 3 Điều 2 Luật Bảo vệ dữ liệu cá nhân; Điều 4 Nghị định số 356/2025/NĐ-CP). Công ty giới hạn người được xem, lưu tách riêng và mã hóa các dữ liệu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Công ty dùng dữ liệu để làm gì</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88"/>
        <w:gridCol w:w="2511"/>
        <w:gridCol w:w="3126"/>
      </w:tblGrid>
      <w:tr>
        <w:trPr>
          <w:cantSplit/>
          <w:tblHeader/>
        </w:trPr>
        <w:tc>
          <w:tcPr>
            <w:tcW w:type="dxa" w:w="3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Mục đích</w:t>
            </w:r>
          </w:p>
        </w:tc>
        <w:tc>
          <w:tcPr>
            <w:tcW w:type="dxa" w:w="25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 dùng</w:t>
            </w:r>
          </w:p>
        </w:tc>
        <w:tc>
          <w:tcPr>
            <w:tcW w:type="dxa" w:w="31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Cơ sở xử lý</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thực hiện hợp đồng lao động; bố trí công việc; trả lương, thưởng; đánh giá</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thân, công việc, lương, chấm công</w:t>
            </w:r>
          </w:p>
        </w:tc>
        <w:tc>
          <w:tcPr>
            <w:tcW w:type="dxa" w:w="3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hợp đồng lao động — không cần xin đồng ý (điểm d khoản 1 Điều 19 Luật Bảo vệ dữ liệu cá nhân)</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Đóng bảo hiểm xã hội, bảo hiểm y tế, bảo hiểm thất nghiệp; khấu trừ thuế thu nhập cá nhân; khám sức khỏe, giải quyết chế độ ốm đau, thai sản, tai nạn lao động; báo cáo lao động</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thân, lương, thuế, bảo hiểm, sức khỏe</w:t>
            </w:r>
          </w:p>
        </w:tc>
        <w:tc>
          <w:tcPr>
            <w:tcW w:type="dxa" w:w="3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Nghĩa vụ theo pháp luật về lao động, bảo hiểm xã hội, thuế (điểm đ khoản 1 Điều 19 Luật Bảo vệ dữ liệu cá nhân)</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đảm an ninh, an toàn cho người và tài sản tại trụ sở</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camera, giờ ra vào</w:t>
            </w:r>
          </w:p>
        </w:tc>
        <w:tc>
          <w:tcPr>
            <w:tcW w:type="dxa" w:w="3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vệ quyền, lợi ích hợp pháp của Công ty và người lao động (điểm a khoản 1 Điều 32 Luật Bảo vệ dữ liệu cá nhân); Anh/Chị được thông báo tại mục 6</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đảm an ninh mạng: phát hiện truy cập trái phép, mã độc, thư lừa đảo; điều tra sự cố</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nhật ký hệ thống, thư điện tử (quét tự động)</w:t>
            </w:r>
          </w:p>
        </w:tc>
        <w:tc>
          <w:tcPr>
            <w:tcW w:type="dxa" w:w="3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Nghĩa vụ bảo vệ an ninh mạng theo pháp luật và Quy chế bảo đảm an ninh mạng của Công ty</w:t>
            </w:r>
          </w:p>
        </w:tc>
      </w:tr>
      <w:tr>
        <w:trPr>
          <w:cantSplit/>
          <w:tblHeader w:val="false"/>
        </w:trPr>
        <w:tc>
          <w:tcPr>
            <w:tcW w:type="dxa" w:w="3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Đăng ảnh, thông tin giới thiệu lên Intranet, website; lưu ảnh chụp thẻ căn cước; lưu bản giấy khám sức khỏe (ngoài phần pháp luật buộc lưu)</w:t>
            </w:r>
          </w:p>
        </w:tc>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chân dung, ảnh thẻ căn cước, giấy khám sức khỏe</w:t>
            </w:r>
          </w:p>
        </w:tc>
        <w:tc>
          <w:tcPr>
            <w:tcW w:type="dxa" w:w="3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Chỉ khi Anh/Chị đồng ý</w:t>
            </w:r>
            <w:r>
              <w:rPr>
                <w:rFonts w:ascii="Times New Roman" w:cs="Times New Roman" w:eastAsia="Times New Roman" w:hAnsi="Times New Roman"/>
                <w:b w:val="false"/>
                <w:bCs w:val="false"/>
                <w:i w:val="false"/>
                <w:iCs w:val="false"/>
                <w:sz w:val="24"/>
                <w:szCs w:val="24"/>
              </w:rPr>
              <w:t xml:space="preserve"> bằng Phiếu đồng ý riêng. Không đồng ý </w:t>
            </w:r>
            <w:r>
              <w:rPr>
                <w:rFonts w:ascii="Times New Roman" w:cs="Times New Roman" w:eastAsia="Times New Roman" w:hAnsi="Times New Roman"/>
                <w:b/>
                <w:bCs/>
                <w:i w:val="false"/>
                <w:iCs w:val="false"/>
                <w:sz w:val="24"/>
                <w:szCs w:val="24"/>
              </w:rPr>
              <w:t xml:space="preserve">không</w:t>
            </w:r>
            <w:r>
              <w:rPr>
                <w:rFonts w:ascii="Times New Roman" w:cs="Times New Roman" w:eastAsia="Times New Roman" w:hAnsi="Times New Roman"/>
                <w:b w:val="false"/>
                <w:bCs w:val="false"/>
                <w:i w:val="false"/>
                <w:iCs w:val="false"/>
                <w:sz w:val="24"/>
                <w:szCs w:val="24"/>
              </w:rPr>
              <w:t xml:space="preserve"> ảnh hưởng đến hợp đồng lao động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Công ty không dùng dữ liệu của Anh/Chị cho mục đích khác các mục đích nêu trên. Khi cần mục đích mới, Công ty thông báo trước và xin đồng ý nếu pháp luật yêu cầu.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Dữ liệu được lưu ở đâu, ai được xem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Hồ sơ nhân sự, lương: hệ thống ERP (</w:t>
      </w:r>
      <w:r>
        <w:rPr>
          <w:rFonts w:ascii="Times New Roman" w:cs="Times New Roman" w:eastAsia="Times New Roman" w:hAnsi="Times New Roman"/>
          <w:b w:val="false"/>
          <w:bCs w:val="false"/>
          <w:i w:val="false"/>
          <w:iCs w:val="false"/>
          <w:sz w:val="26"/>
          <w:szCs w:val="26"/>
          <w:highlight w:val="yellow"/>
        </w:rPr>
        <w:t xml:space="preserve">HT-03-ERP</w:t>
      </w:r>
      <w:r>
        <w:rPr>
          <w:rFonts w:ascii="Times New Roman" w:cs="Times New Roman" w:eastAsia="Times New Roman" w:hAnsi="Times New Roman"/>
          <w:b w:val="false"/>
          <w:bCs w:val="false"/>
          <w:i w:val="false"/>
          <w:iCs w:val="false"/>
          <w:sz w:val="26"/>
          <w:szCs w:val="26"/>
        </w:rPr>
        <w:t xml:space="preserve">) đặt tại phòng máy của Công ty; hồ sơ giấy trong tủ có khóa tại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Ảnh thẻ căn cước (nếu có) lưu thư mục riêng, mã hóa.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Thư điện tử, Intranet (</w:t>
      </w:r>
      <w:r>
        <w:rPr>
          <w:rFonts w:ascii="Times New Roman" w:cs="Times New Roman" w:eastAsia="Times New Roman" w:hAnsi="Times New Roman"/>
          <w:b w:val="false"/>
          <w:bCs w:val="false"/>
          <w:i w:val="false"/>
          <w:iCs w:val="false"/>
          <w:sz w:val="26"/>
          <w:szCs w:val="26"/>
          <w:highlight w:val="yellow"/>
        </w:rPr>
        <w:t xml:space="preserve">HT-02-INTRANET</w:t>
      </w:r>
      <w:r>
        <w:rPr>
          <w:rFonts w:ascii="Times New Roman" w:cs="Times New Roman" w:eastAsia="Times New Roman" w:hAnsi="Times New Roman"/>
          <w:b w:val="false"/>
          <w:bCs w:val="false"/>
          <w:i w:val="false"/>
          <w:iCs w:val="false"/>
          <w:sz w:val="26"/>
          <w:szCs w:val="26"/>
        </w:rPr>
        <w:t xml:space="preserve">): dịch vụ đám mây của </w:t>
      </w:r>
      <w:r>
        <w:rPr>
          <w:rFonts w:ascii="Times New Roman" w:cs="Times New Roman" w:eastAsia="Times New Roman" w:hAnsi="Times New Roman"/>
          <w:b w:val="false"/>
          <w:bCs w:val="false"/>
          <w:i w:val="false"/>
          <w:iCs w:val="false"/>
          <w:sz w:val="26"/>
          <w:szCs w:val="26"/>
          <w:highlight w:val="yellow"/>
        </w:rPr>
        <w:t xml:space="preserve">Công ty TNHH Dữ liệu Mẫu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máy chủ đặt tại TP. Hồ Chí Minh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Dữ liệu của Anh/Chị được lưu trữ tại Việt Nam, không chuyển ra nước ngoài. Nếu thay đổi, Công ty sẽ thông báo trước.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Người được xem: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(hồ sơ nhân sự);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(lương, thuế, bảo hiểm); quản lý trực tiếp (thông tin công việc của người mình quản lý);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(quản trị kỹ thuật, nhật ký hệ thống — không mở nội dung thư, tệp của Anh/Chị trừ trường hợp nêu tại điểm c mục 6). Mỗi người chỉ được xem phần dữ liệu cần cho công việc.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Công ty chuyển dữ liệu cho 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08"/>
        <w:gridCol w:w="2484"/>
        <w:gridCol w:w="4633"/>
      </w:tblGrid>
      <w:tr>
        <w:trPr>
          <w:cantSplit/>
          <w:tblHeader/>
        </w:trPr>
        <w:tc>
          <w:tcPr>
            <w:tcW w:type="dxa" w:w="19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Bên nhận</w:t>
            </w:r>
          </w:p>
        </w:tc>
        <w:tc>
          <w:tcPr>
            <w:tcW w:type="dxa" w:w="2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46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Lý do</w:t>
            </w:r>
          </w:p>
        </w:tc>
      </w:tr>
      <w:tr>
        <w:trPr>
          <w:cantSplit/>
          <w:tblHeader w:val="false"/>
        </w:trPr>
        <w:tc>
          <w:tcPr>
            <w:tcW w:type="dxa" w:w="1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quan bảo hiểm xã hội</w:t>
            </w:r>
          </w:p>
        </w:tc>
        <w:tc>
          <w:tcPr>
            <w:tcW w:type="dxa" w:w="2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thân, lương đóng bảo hiểm, sức khỏe (khi giải quyết chế độ)</w:t>
            </w:r>
          </w:p>
        </w:tc>
        <w:tc>
          <w:tcPr>
            <w:tcW w:type="dxa" w:w="46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Đóng bảo hiểm, giải quyết chế độ</w:t>
            </w:r>
          </w:p>
        </w:tc>
      </w:tr>
      <w:tr>
        <w:trPr>
          <w:cantSplit/>
          <w:tblHeader w:val="false"/>
        </w:trPr>
        <w:tc>
          <w:tcPr>
            <w:tcW w:type="dxa" w:w="1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quan thuế</w:t>
            </w:r>
          </w:p>
        </w:tc>
        <w:tc>
          <w:tcPr>
            <w:tcW w:type="dxa" w:w="2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thân, mã số thuế, thu nhập, người phụ thuộc</w:t>
            </w:r>
          </w:p>
        </w:tc>
        <w:tc>
          <w:tcPr>
            <w:tcW w:type="dxa" w:w="46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Khấu trừ, quyết toán thuế thu nhập cá nhân</w:t>
            </w:r>
          </w:p>
        </w:tc>
      </w:tr>
      <w:tr>
        <w:trPr>
          <w:cantSplit/>
          <w:tblHeader w:val="false"/>
        </w:trPr>
        <w:tc>
          <w:tcPr>
            <w:tcW w:type="dxa" w:w="1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Ngân hàng trả lương theo hợp đồng dịch vụ chi lương</w:t>
            </w:r>
          </w:p>
        </w:tc>
        <w:tc>
          <w:tcPr>
            <w:tcW w:type="dxa" w:w="2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tên, số tài khoản, số tiền lương</w:t>
            </w:r>
          </w:p>
        </w:tc>
        <w:tc>
          <w:tcPr>
            <w:tcW w:type="dxa" w:w="46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Chi trả lương</w:t>
            </w:r>
          </w:p>
        </w:tc>
      </w:tr>
      <w:tr>
        <w:trPr>
          <w:cantSplit/>
          <w:tblHeader w:val="false"/>
        </w:trPr>
        <w:tc>
          <w:tcPr>
            <w:tcW w:type="dxa" w:w="1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TNHH Dữ liệu Mẫu</w:t>
            </w:r>
          </w:p>
        </w:tc>
        <w:tc>
          <w:tcPr>
            <w:tcW w:type="dxa" w:w="2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trong thư điện tử, Intranet</w:t>
            </w:r>
          </w:p>
        </w:tc>
        <w:tc>
          <w:tcPr>
            <w:tcW w:type="dxa" w:w="46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Cung cấp dịch vụ đám mây, chỉ xử lý theo hợp đồng số </w:t>
            </w:r>
            <w:r>
              <w:rPr>
                <w:rFonts w:ascii="Times New Roman" w:cs="Times New Roman" w:eastAsia="Times New Roman" w:hAnsi="Times New Roman"/>
                <w:b w:val="false"/>
                <w:bCs w:val="false"/>
                <w:i w:val="false"/>
                <w:iCs w:val="false"/>
                <w:sz w:val="24"/>
                <w:szCs w:val="24"/>
                <w:highlight w:val="yellow"/>
              </w:rPr>
              <w:t xml:space="preserve">08/2026/HĐDV/TURBO-DLM</w:t>
            </w:r>
            <w:r>
              <w:rPr>
                <w:rFonts w:ascii="Times New Roman" w:cs="Times New Roman" w:eastAsia="Times New Roman" w:hAnsi="Times New Roman"/>
                <w:b w:val="false"/>
                <w:bCs w:val="false"/>
                <w:i w:val="false"/>
                <w:iCs w:val="false"/>
                <w:sz w:val="24"/>
                <w:szCs w:val="24"/>
              </w:rPr>
              <w:t xml:space="preserve"> và phụ lục bảo vệ dữ liệu cá nhân</w:t>
            </w:r>
          </w:p>
        </w:tc>
      </w:tr>
      <w:tr>
        <w:trPr>
          <w:cantSplit/>
          <w:tblHeader w:val="false"/>
        </w:trPr>
        <w:tc>
          <w:tcPr>
            <w:tcW w:type="dxa" w:w="1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TNHH Phần mềm Mẫu (nhà cung cấp phần mềm ERP)</w:t>
            </w:r>
          </w:p>
        </w:tc>
        <w:tc>
          <w:tcPr>
            <w:tcW w:type="dxa" w:w="2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trong ERP khi bảo trì, hỗ trợ kỹ thuật</w:t>
            </w:r>
          </w:p>
        </w:tc>
        <w:tc>
          <w:tcPr>
            <w:tcW w:type="dxa" w:w="46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trì phần mềm, có cam kết bảo mật</w:t>
            </w:r>
          </w:p>
        </w:tc>
      </w:tr>
      <w:tr>
        <w:trPr>
          <w:cantSplit/>
          <w:tblHeader w:val="false"/>
        </w:trPr>
        <w:tc>
          <w:tcPr>
            <w:tcW w:type="dxa" w:w="19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quan nhà nước có thẩm quyền</w:t>
            </w:r>
          </w:p>
        </w:tc>
        <w:tc>
          <w:tcPr>
            <w:tcW w:type="dxa" w:w="2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yêu cầu bằng văn bản</w:t>
            </w:r>
          </w:p>
        </w:tc>
        <w:tc>
          <w:tcPr>
            <w:tcW w:type="dxa" w:w="46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Thực hiện quy định của pháp luật</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Công ty </w:t>
      </w:r>
      <w:r>
        <w:rPr>
          <w:rFonts w:ascii="Times New Roman" w:cs="Times New Roman" w:eastAsia="Times New Roman" w:hAnsi="Times New Roman"/>
          <w:b/>
          <w:bCs/>
          <w:i w:val="false"/>
          <w:iCs w:val="false"/>
          <w:sz w:val="26"/>
          <w:szCs w:val="26"/>
        </w:rPr>
        <w:t xml:space="preserve">không bán</w:t>
      </w:r>
      <w:r>
        <w:rPr>
          <w:rFonts w:ascii="Times New Roman" w:cs="Times New Roman" w:eastAsia="Times New Roman" w:hAnsi="Times New Roman"/>
          <w:b w:val="false"/>
          <w:bCs w:val="false"/>
          <w:i w:val="false"/>
          <w:iCs w:val="false"/>
          <w:sz w:val="26"/>
          <w:szCs w:val="26"/>
        </w:rPr>
        <w:t xml:space="preserve"> dữ liệu cá nhân của Anh/Chị.</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Các biện pháp theo dõi tại nơi làm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Theo khoản 3 Điều 25 Luật Bảo vệ dữ liệu cá nhân, Công ty thông báo đầy đủ các biện pháp công nghệ, kỹ thuật đang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20"/>
        <w:gridCol w:w="3154"/>
        <w:gridCol w:w="2553"/>
        <w:gridCol w:w="1898"/>
      </w:tblGrid>
      <w:tr>
        <w:trPr>
          <w:cantSplit/>
          <w:tblHeader/>
        </w:trPr>
        <w:tc>
          <w:tcPr>
            <w:tcW w:type="dxa" w:w="14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w:t>
            </w:r>
          </w:p>
        </w:tc>
        <w:tc>
          <w:tcPr>
            <w:tcW w:type="dxa" w:w="31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Phạm vi</w:t>
            </w:r>
          </w:p>
        </w:tc>
        <w:tc>
          <w:tcPr>
            <w:tcW w:type="dxa" w:w="25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Dữ liệu ghi nhận</w:t>
            </w:r>
          </w:p>
        </w:tc>
        <w:tc>
          <w:tcPr>
            <w:tcW w:type="dxa" w:w="18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gian lưu</w:t>
            </w:r>
          </w:p>
        </w:tc>
      </w:tr>
      <w:tr>
        <w:trPr>
          <w:cantSplit/>
          <w:tblHeader w:val="false"/>
        </w:trPr>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sảnh lễ tân và cửa ra vào trụ sở</w:t>
            </w:r>
            <w:r>
              <w:rPr>
                <w:rFonts w:ascii="Times New Roman" w:cs="Times New Roman" w:eastAsia="Times New Roman" w:hAnsi="Times New Roman"/>
                <w:b w:val="false"/>
                <w:bCs w:val="false"/>
                <w:i w:val="false"/>
                <w:iCs w:val="false"/>
                <w:sz w:val="22"/>
                <w:szCs w:val="22"/>
              </w:rPr>
              <w:t xml:space="preserve">; có biển báo. Không lắp ở khu vực làm việc riêng, nhà vệ sinh, phòng thay đồ; không ghi âm; không nhận diện khuôn mặt</w:t>
            </w:r>
          </w:p>
        </w:tc>
        <w:tc>
          <w:tcPr>
            <w:tcW w:type="dxa" w:w="2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ảnh</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 ngày, sau đó tự động ghi đè</w:t>
            </w:r>
          </w:p>
        </w:tc>
      </w:tr>
      <w:tr>
        <w:trPr>
          <w:cantSplit/>
          <w:tblHeader w:val="false"/>
        </w:trPr>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chấm công thẻ từ</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Cửa ra vào trụ sở</w:t>
            </w:r>
          </w:p>
        </w:tc>
        <w:tc>
          <w:tcPr>
            <w:tcW w:type="dxa" w:w="2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thẻ, giờ vào, giờ ra</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thời hạn lưu chứng từ tiền lương (mục 7)</w:t>
            </w:r>
          </w:p>
        </w:tc>
      </w:tr>
      <w:tr>
        <w:trPr>
          <w:cantSplit/>
          <w:tblHeader w:val="false"/>
        </w:trPr>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hệ thống</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Thư điện tử, Intranet, ERP, mạng nội bộ, tường lửa</w:t>
            </w:r>
          </w:p>
        </w:tc>
        <w:tc>
          <w:tcPr>
            <w:tcW w:type="dxa" w:w="2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Đăng nhập, thao tác, địa chỉ IP, tên miền truy cập Internet</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w:t>
            </w:r>
          </w:p>
        </w:tc>
      </w:tr>
      <w:tr>
        <w:trPr>
          <w:cantSplit/>
          <w:tblHeader w:val="false"/>
        </w:trPr>
        <w:tc>
          <w:tcPr>
            <w:tcW w:type="dxa" w:w="1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Lọc thư điện tử</w:t>
            </w:r>
          </w:p>
        </w:tc>
        <w:tc>
          <w:tcPr>
            <w:tcW w:type="dxa" w:w="31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Thư đến và đi của hộp thư công việc</w:t>
            </w:r>
          </w:p>
        </w:tc>
        <w:tc>
          <w:tcPr>
            <w:tcW w:type="dxa" w:w="25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Phần mềm tự động quét tìm mã độc, thư rác, thư lừa đảo</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nhật ký hệ thống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Các biện pháp trên chỉ dùng cho mục đích an ninh, an toàn và an ninh mạng nêu tại mục 3; không dùng để theo dõi đời tư.</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Không ai được xem, trích xuất hình ảnh camera, nhật ký hệ thống ngoài người được giao nhiệm vụ; mọi lần trích xuất đều được ghi sổ.</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Nội dung thư điện tử, tệp công việc của Anh/Chị chỉ được mở khi điều tra sự cố an ninh mạng hoặc vi phạm nội quy, có phê duyệt bằng văn bản của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có mặt đầu mối bảo vệ dữ liệu cá nhân, và Anh/Chị được thông báo trừ khi việc thông báo làm cản trở điều tra.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Hộp thư, Intranet dùng cho công việc. Anh/Chị không nên lưu thông tin riêng tư trên các hệ thống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Lưu bao lâu, xóa khi nào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703"/>
        <w:gridCol w:w="5322"/>
      </w:tblGrid>
      <w:tr>
        <w:trPr>
          <w:cantSplit/>
          <w:tblHeader/>
        </w:trPr>
        <w:tc>
          <w:tcPr>
            <w:tcW w:type="dxa" w:w="37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53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Thời hạn lưu</w:t>
            </w:r>
          </w:p>
        </w:tc>
      </w:tr>
      <w:tr>
        <w:trPr>
          <w:cantSplit/>
          <w:tblHeader w:val="false"/>
        </w:trPr>
        <w:tc>
          <w:tcPr>
            <w:tcW w:type="dxa" w:w="3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nhân sự</w:t>
            </w:r>
          </w:p>
        </w:tc>
        <w:tc>
          <w:tcPr>
            <w:tcW w:type="dxa" w:w="5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Trong thời gian làm việc và </w:t>
            </w:r>
            <w:r>
              <w:rPr>
                <w:rFonts w:ascii="Times New Roman" w:cs="Times New Roman" w:eastAsia="Times New Roman" w:hAnsi="Times New Roman"/>
                <w:b w:val="false"/>
                <w:bCs w:val="false"/>
                <w:i w:val="false"/>
                <w:iCs w:val="false"/>
                <w:sz w:val="24"/>
                <w:szCs w:val="24"/>
                <w:highlight w:val="yellow"/>
              </w:rPr>
              <w:t xml:space="preserve">12 tháng</w:t>
            </w:r>
            <w:r>
              <w:rPr>
                <w:rFonts w:ascii="Times New Roman" w:cs="Times New Roman" w:eastAsia="Times New Roman" w:hAnsi="Times New Roman"/>
                <w:b w:val="false"/>
                <w:bCs w:val="false"/>
                <w:i w:val="false"/>
                <w:iCs w:val="false"/>
                <w:sz w:val="24"/>
                <w:szCs w:val="24"/>
              </w:rPr>
              <w:t xml:space="preserve"> sau khi chấm dứt hợp đồng lao động</w:t>
            </w:r>
          </w:p>
        </w:tc>
      </w:tr>
      <w:tr>
        <w:trPr>
          <w:cantSplit/>
          <w:tblHeader w:val="false"/>
        </w:trPr>
        <w:tc>
          <w:tcPr>
            <w:tcW w:type="dxa" w:w="3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Chứng từ tiền lương, bảo hiểm, thuế, chấm công</w:t>
            </w:r>
          </w:p>
        </w:tc>
        <w:tc>
          <w:tcPr>
            <w:tcW w:type="dxa" w:w="5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thời hạn pháp luật về kế toán, thuế, bảo hiểm quy định</w:t>
            </w:r>
          </w:p>
        </w:tc>
      </w:tr>
      <w:tr>
        <w:trPr>
          <w:cantSplit/>
          <w:tblHeader w:val="false"/>
        </w:trPr>
        <w:tc>
          <w:tcPr>
            <w:tcW w:type="dxa" w:w="3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Giấy khám sức khỏe, hồ sơ nghỉ ốm, thai sản</w:t>
            </w:r>
          </w:p>
        </w:tc>
        <w:tc>
          <w:tcPr>
            <w:tcW w:type="dxa" w:w="5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Trong thời gian làm việc; xóa, hủy khi chấm dứt hợp đồng lao động, trừ hồ sơ pháp luật buộc lưu</w:t>
            </w:r>
          </w:p>
        </w:tc>
      </w:tr>
      <w:tr>
        <w:trPr>
          <w:cantSplit/>
          <w:tblHeader w:val="false"/>
        </w:trPr>
        <w:tc>
          <w:tcPr>
            <w:tcW w:type="dxa" w:w="3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chụp thẻ căn cước</w:t>
            </w:r>
          </w:p>
        </w:tc>
        <w:tc>
          <w:tcPr>
            <w:tcW w:type="dxa" w:w="5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Xóa khi hoàn thành thủ tục bảo hiểm xã hội (chậm nhất khi Anh/Chị nghỉ việc), hoặc sớm hơn khi Anh/Chị rút lại đồng ý (thời hạn tại mục 8)</w:t>
            </w:r>
          </w:p>
        </w:tc>
      </w:tr>
      <w:tr>
        <w:trPr>
          <w:cantSplit/>
          <w:tblHeader w:val="false"/>
        </w:trPr>
        <w:tc>
          <w:tcPr>
            <w:tcW w:type="dxa" w:w="3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thư điện tử, Intranet</w:t>
            </w:r>
          </w:p>
        </w:tc>
        <w:tc>
          <w:tcPr>
            <w:tcW w:type="dxa" w:w="5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Khóa trong ngày nghỉ việc; hộp thư lưu </w:t>
            </w:r>
            <w:r>
              <w:rPr>
                <w:rFonts w:ascii="Times New Roman" w:cs="Times New Roman" w:eastAsia="Times New Roman" w:hAnsi="Times New Roman"/>
                <w:b w:val="false"/>
                <w:bCs w:val="false"/>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để bàn giao công việc, sau đó xóa</w:t>
            </w:r>
          </w:p>
        </w:tc>
      </w:tr>
      <w:tr>
        <w:trPr>
          <w:cantSplit/>
          <w:tblHeader w:val="false"/>
        </w:trPr>
        <w:tc>
          <w:tcPr>
            <w:tcW w:type="dxa" w:w="3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camera, nhật ký hệ thống</w:t>
            </w:r>
          </w:p>
        </w:tc>
        <w:tc>
          <w:tcPr>
            <w:tcW w:type="dxa" w:w="53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Như mục 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chấm dứt hợp đồng lao động, Công ty xóa, hủy dữ liệu cá nhân của Anh/Chị, trừ phần pháp luật buộc lưu hoặc hai bên có thỏa thuận khác (khoản 2 Điều 25 Luật Bảo vệ dữ liệu cá nhân). Việc xóa, hủy thực hiện bằng biện pháp an toàn, không khôi phục được.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Quyền của Anh/Chị và cách thực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Anh/Chị có quyền: được biết về việc xử lý dữ liệu; đồng ý, không đồng ý, rút lại sự đồng ý; xem, chỉnh sửa hoặc yêu cầu chỉnh sửa; yêu cầu cung cấp, xóa, hạn chế xử lý; phản đối xử lý; khiếu nại, tố cáo, khởi kiện, yêu cầu bồi thường; yêu cầu Công ty áp dụng biện pháp bảo vệ dữ liệu của mình (khoản 1 Điều 4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Cách gửi yêu cầu: gửi email tới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hoặc nộp Phiếu yêu cầu tại </w:t>
      </w:r>
      <w:r>
        <w:rPr>
          <w:rFonts w:ascii="Times New Roman" w:cs="Times New Roman" w:eastAsia="Times New Roman" w:hAnsi="Times New Roman"/>
          <w:b w:val="false"/>
          <w:bCs w:val="false"/>
          <w:i w:val="false"/>
          <w:iCs w:val="false"/>
          <w:sz w:val="26"/>
          <w:szCs w:val="26"/>
          <w:highlight w:val="yellow"/>
        </w:rPr>
        <w:t xml:space="preserve">Phòng Pháp chế (Tầng 4)</w:t>
      </w:r>
      <w:r>
        <w:rPr>
          <w:rFonts w:ascii="Times New Roman" w:cs="Times New Roman" w:eastAsia="Times New Roman" w:hAnsi="Times New Roman"/>
          <w:b w:val="false"/>
          <w:bCs w:val="false"/>
          <w:i w:val="false"/>
          <w:iCs w:val="false"/>
          <w:sz w:val="26"/>
          <w:szCs w:val="26"/>
        </w:rPr>
        <w:t xml:space="preserve">, theo Quy trình tiếp nhận yêu cầu của chủ thể dữ liệu ban hành kèm Quyết định số </w:t>
      </w:r>
      <w:r>
        <w:rPr>
          <w:rFonts w:ascii="Times New Roman" w:cs="Times New Roman" w:eastAsia="Times New Roman" w:hAnsi="Times New Roman"/>
          <w:b w:val="false"/>
          <w:bCs w:val="false"/>
          <w:i w:val="false"/>
          <w:iCs w:val="false"/>
          <w:sz w:val="26"/>
          <w:szCs w:val="26"/>
          <w:highlight w:val="yellow"/>
        </w:rPr>
        <w:t xml:space="preserve">54/2026/QĐ-TURBO ngày 02/11/2026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Thời hạn: Công ty </w:t>
      </w:r>
      <w:r>
        <w:rPr>
          <w:rFonts w:ascii="Times New Roman" w:cs="Times New Roman" w:eastAsia="Times New Roman" w:hAnsi="Times New Roman"/>
          <w:b/>
          <w:bCs/>
          <w:i w:val="false"/>
          <w:iCs w:val="false"/>
          <w:sz w:val="26"/>
          <w:szCs w:val="26"/>
        </w:rPr>
        <w:t xml:space="preserve">phản hồi trong 02 ngày làm việc</w:t>
      </w:r>
      <w:r>
        <w:rPr>
          <w:rFonts w:ascii="Times New Roman" w:cs="Times New Roman" w:eastAsia="Times New Roman" w:hAnsi="Times New Roman"/>
          <w:b w:val="false"/>
          <w:bCs w:val="false"/>
          <w:i w:val="false"/>
          <w:iCs w:val="false"/>
          <w:sz w:val="26"/>
          <w:szCs w:val="26"/>
        </w:rPr>
        <w:t xml:space="preserve">. Thời hạn thực hiện: xem, chỉnh sửa, cung cấp dữ liệu: 10 ngày; rút lại đồng ý, hạn chế, phản đối xử lý: 15 ngày; xóa dữ liệu: 20 ngày. Nếu phải yêu cầu nhà cung cấp dịch vụ cùng thực hiện, thời hạn dài hơn (15, 20, 30 ngày tương ứng). Yêu cầu phức tạp có thể gia hạn tối đa 01 lần; Công ty sẽ báo lý do (Điều 5 Nghị định số 356/2025/NĐ-CP).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Lưu ý: rút lại đồng ý không ảnh hưởng việc xử lý đã thực hiện trước đó (khoản 4 Điều 10 Luật Bảo vệ dữ liệu cá nhân). Công ty có thể không xóa, không ngừng xử lý dữ liệu mà pháp luật buộc phải lưu hoặc cần để thực hiện hợp đồng lao động (Điều 19, khoản 2 Điều 14 Luật Bảo vệ dữ liệu cá nhân); khi đó Công ty báo lý do cho Anh/Chị.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Nghĩa vụ của Anh/Chị: cung cấp thông tin đầy đủ, chính xác và báo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khi có thay đổi; tôn trọng, bảo vệ dữ liệu cá nhân của đồng nghiệp, khách hàng, đối tác mà Anh/Chị tiếp cận khi làm việc (khoản 2 Điều 4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9. Công ty bảo vệ dữ liệu như thế nào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Phân quyền theo nhu cầu công việc; xác thực nhiều lớp cho truy cập từ xa và tài khoản quản trị; mã hóa dữ liệu trên dịch vụ đám mây khi lưu và khi truyền; mã hóa, lưu tách riêng dữ liệu nhạy cảm; sao lưu định kỳ; ghi nhật ký truy cập; người được tiếp cận hồ sơ nhân sự ký cam kết bảo mật; nhà cung cấp chỉ xử lý dữ liệu theo hợp đồng có điều khoản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10. Khi dữ liệu bị lộ, mất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Nếu phát hiện dữ liệu cá nhân bị lộ, mất hoặc bị truy cập trái phép, Anh/Chị báo ngay qua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Công ty xử lý theo quy trình ứng phó sự cố; trường hợp vi phạm có thể gây tổn hại đến tính mạng, sức khỏe, danh dự, nhân phẩm, tài sản của người lao động, Công ty thông báo cho cơ quan chuyên trách bảo vệ dữ liệu cá nhân chậm nhất 72 giờ kể từ khi phát hiện (khoản 1 Điều 23 Luật Bảo vệ dữ liệu cá nhân) và thông báo cho người lao động bị ảnh hưởng cách tự bảo vệ.</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 Hiệu lực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Thông báo có hiệu lực từ ngày ký, thay thế các thông báo trước đây về cùng nội dung. Khi thay đổi nội dung, Công ty thông báo lại trước khi áp dụng.</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Người lao động (qua email, Intranet);</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 (để thu xác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DANH SÁCH XÁC NHẬN ĐÃ NHẬN THÔNG BÁO</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Thông báo số </w:t>
      </w:r>
      <w:r>
        <w:rPr>
          <w:rFonts w:ascii="Times New Roman" w:cs="Times New Roman" w:eastAsia="Times New Roman" w:hAnsi="Times New Roman"/>
          <w:b w:val="false"/>
          <w:bCs w:val="false"/>
          <w:i/>
          <w:iCs/>
          <w:sz w:val="26"/>
          <w:szCs w:val="26"/>
          <w:highlight w:val="yellow"/>
        </w:rPr>
        <w:t xml:space="preserve">53/2026/TB-TURBO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02</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iCs/>
          <w:sz w:val="26"/>
          <w:szCs w:val="26"/>
          <w:highlight w:val="yellow"/>
        </w:rPr>
        <w:t xml:space="preserve">11</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iCs/>
          <w:sz w:val="26"/>
          <w:szCs w:val="26"/>
          <w:highlight w:val="yellow"/>
        </w:rPr>
        <w:t xml:space="preserve">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Người ký dưới đây xác nhận đã nhận, đã đọc và hiểu nội dung Thông báo về việc xử lý dữ liệu cá nhân của người lao động. Việc ký xác nhận </w:t>
      </w:r>
      <w:r>
        <w:rPr>
          <w:rFonts w:ascii="Times New Roman" w:cs="Times New Roman" w:eastAsia="Times New Roman" w:hAnsi="Times New Roman"/>
          <w:b/>
          <w:bCs/>
          <w:i w:val="false"/>
          <w:iCs w:val="false"/>
          <w:sz w:val="26"/>
          <w:szCs w:val="26"/>
        </w:rPr>
        <w:t xml:space="preserve">không phải</w:t>
      </w:r>
      <w:r>
        <w:rPr>
          <w:rFonts w:ascii="Times New Roman" w:cs="Times New Roman" w:eastAsia="Times New Roman" w:hAnsi="Times New Roman"/>
          <w:b w:val="false"/>
          <w:bCs w:val="false"/>
          <w:i w:val="false"/>
          <w:iCs w:val="false"/>
          <w:sz w:val="26"/>
          <w:szCs w:val="26"/>
        </w:rPr>
        <w:t xml:space="preserve"> là sự đồng ý cho các mục đích tự nguyện; các mục đích đó được đồng ý riêng bằng Phiếu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Phòng/Bộ phận: </w:t>
      </w:r>
      <w:r>
        <w:rPr>
          <w:rFonts w:ascii="Times New Roman" w:cs="Times New Roman" w:eastAsia="Times New Roman" w:hAnsi="Times New Roman"/>
          <w:b w:val="false"/>
          <w:bCs w:val="false"/>
          <w:i w:val="false"/>
          <w:iCs w:val="false"/>
          <w:sz w:val="26"/>
          <w:szCs w:val="26"/>
          <w:highlight w:val="yellow"/>
        </w:rPr>
        <w:t xml:space="preserve">Phòng Vận hành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202"/>
        <w:gridCol w:w="1300"/>
        <w:gridCol w:w="3390"/>
        <w:gridCol w:w="1300"/>
        <w:gridCol w:w="1203"/>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2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Họ và tên</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Mã nhân viên</w:t>
            </w:r>
          </w:p>
        </w:tc>
        <w:tc>
          <w:tcPr>
            <w:tcW w:type="dxa" w:w="33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Hình thức nhận</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Ngày nhận</w:t>
            </w:r>
          </w:p>
        </w:tc>
        <w:tc>
          <w:tcPr>
            <w:tcW w:type="dxa" w:w="12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Ký tên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12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Bản giấy ☐ Email ☐ Intranet</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Người lao động xác nhận qua email hoặc Intranet: </w:t>
      </w:r>
      <w:r>
        <w:rPr>
          <w:rFonts w:ascii="Times New Roman" w:cs="Times New Roman" w:eastAsia="Times New Roman" w:hAnsi="Times New Roman"/>
          <w:b w:val="false"/>
          <w:bCs w:val="false"/>
          <w:i/>
          <w:iCs/>
          <w:sz w:val="26"/>
          <w:szCs w:val="26"/>
          <w:highlight w:val="yellow"/>
        </w:rPr>
        <w:t xml:space="preserve">Phòng Hành chính – Nhân sự</w:t>
      </w:r>
      <w:r>
        <w:rPr>
          <w:rFonts w:ascii="Times New Roman" w:cs="Times New Roman" w:eastAsia="Times New Roman" w:hAnsi="Times New Roman"/>
          <w:b w:val="false"/>
          <w:bCs w:val="false"/>
          <w:i/>
          <w:iCs/>
          <w:sz w:val="26"/>
          <w:szCs w:val="26"/>
        </w:rPr>
        <w:t xml:space="preserve"> lưu thư phản hồi hoặc bản ghi hệ thống (họ tên, thời điểm) kèm danh sách này.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95"/>
        <w:gridCol w:w="5430"/>
      </w:tblGrid>
      <w:tr>
        <w:trPr>
          <w:cantSplit/>
          <w:tblHeader/>
        </w:trPr>
        <w:tc>
          <w:tcPr>
            <w:tcW w:type="dxa" w:w="35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lập danh sách</w:t>
            </w:r>
          </w:p>
          <w:p>
            <w:pPr>
              <w:keepNext/>
              <w:spacing w:after="0" w:before="0" w:line="240" w:lineRule="auto"/>
              <w:jc w:val="center"/>
            </w:pPr>
            <w:r>
              <w:rPr>
                <w:rFonts w:ascii="Times New Roman" w:cs="Times New Roman" w:eastAsia="Times New Roman" w:hAnsi="Times New Roman"/>
                <w:b/>
                <w:bCs/>
                <w:i/>
                <w:iCs/>
                <w:sz w:val="24"/>
                <w:szCs w:val="24"/>
              </w:rPr>
              <w:t xml:space="preserve">(Ký, ghi rõ họ tên)</w:t>
            </w:r>
          </w:p>
        </w:tc>
        <w:tc>
          <w:tcPr>
            <w:tcW w:type="dxa" w:w="54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Trưởng </w:t>
            </w:r>
            <w:r>
              <w:rPr>
                <w:rFonts w:ascii="Times New Roman" w:cs="Times New Roman" w:eastAsia="Times New Roman" w:hAnsi="Times New Roman"/>
                <w:b/>
                <w:bCs/>
                <w:i w:val="false"/>
                <w:iCs w:val="false"/>
                <w:sz w:val="24"/>
                <w:szCs w:val="24"/>
                <w:highlight w:val="yellow"/>
              </w:rPr>
              <w:t xml:space="preserve">Phòng Hành chính – Nhân sự</w:t>
            </w:r>
          </w:p>
          <w:p>
            <w:pPr>
              <w:keepNext/>
              <w:spacing w:after="0" w:before="0" w:line="240" w:lineRule="auto"/>
              <w:jc w:val="center"/>
            </w:pPr>
            <w:r>
              <w:rPr>
                <w:rFonts w:ascii="Times New Roman" w:cs="Times New Roman" w:eastAsia="Times New Roman" w:hAnsi="Times New Roman"/>
                <w:b/>
                <w:bCs/>
                <w:i/>
                <w:iCs/>
                <w:sz w:val="24"/>
                <w:szCs w:val="24"/>
              </w:rPr>
              <w:t xml:space="preserve">(Ký, ghi rõ họ tên)</w:t>
            </w:r>
          </w:p>
        </w:tc>
      </w:tr>
      <w:tr>
        <w:trPr>
          <w:cantSplit/>
          <w:tblHeader w:val="false"/>
        </w:trPr>
        <w:tc>
          <w:tcPr>
            <w:tcW w:type="dxa" w:w="3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p>
        </w:tc>
        <w:tc>
          <w:tcPr>
            <w:tcW w:type="dxa" w:w="54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Thông báo xử lý dữ liệu cá nhân của người lao động</dc:title>
  <dc:creator>vn-cyber-compliance</dc:creator>
  <cp:lastModifiedBy>Un-named</cp:lastModifiedBy>
  <cp:revision>1</cp:revision>
  <dcterms:created xsi:type="dcterms:W3CDTF">2026-09-28T14:00:14.156Z</dcterms:created>
  <dcterms:modified xsi:type="dcterms:W3CDTF">2026-09-28T14:00:14.168Z</dcterms:modified>
</cp:coreProperties>
</file>

<file path=docProps/custom.xml><?xml version="1.0" encoding="utf-8"?>
<Properties xmlns="http://schemas.openxmlformats.org/officeDocument/2006/custom-properties" xmlns:vt="http://schemas.openxmlformats.org/officeDocument/2006/docPropsVTypes"/>
</file>