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791"/>
        <w:gridCol w:w="5234"/>
      </w:tblGrid>
      <w:tr>
        <w:tc>
          <w:tcPr>
            <w:tcW w:type="dxa" w:w="3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/>
                <w:sz w:val="24"/>
                <w:szCs w:val="24"/>
                <w:highlight w:val="yellow"/>
              </w:rPr>
              <w:t xml:space="preserve">Công ty cổ phần Giải pháp Công nghệ TURBO</w:t>
            </w:r>
          </w:p>
          <w:p>
            <w:pPr>
              <w:pBdr>
                <w:top w:val="single" w:color="000000" w:sz="6" w:space="1"/>
              </w:pBdr>
              <w:spacing w:after="60" w:before="0"/>
              <w:ind w:left="1327" w:right="1327"/>
            </w:pPr>
          </w:p>
        </w:tc>
        <w:tc>
          <w:tcPr>
            <w:tcW w:type="dxa" w:w="52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/>
                <w:sz w:val="24"/>
                <w:szCs w:val="24"/>
              </w:rPr>
              <w:t xml:space="preserve">CỘNG HÒA XÃ HỘI CHỦ NGHĨA VIỆT NAM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 w:val="false"/>
                <w:sz w:val="26"/>
                <w:szCs w:val="26"/>
              </w:rPr>
              <w:t xml:space="preserve">Độc lập - Tự do - Hạnh phúc</w:t>
            </w:r>
          </w:p>
          <w:p>
            <w:pPr>
              <w:pBdr>
                <w:top w:val="single" w:color="000000" w:sz="6" w:space="1"/>
              </w:pBdr>
              <w:spacing w:after="60" w:before="0"/>
              <w:ind w:left="1047" w:right="1047"/>
            </w:pPr>
          </w:p>
        </w:tc>
      </w:tr>
      <w:tr>
        <w:tc>
          <w:tcPr>
            <w:tcW w:type="dxa" w:w="3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Số: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31/2026/QĐ-TURBO</w:t>
            </w:r>
          </w:p>
        </w:tc>
        <w:tc>
          <w:tcPr>
            <w:tcW w:type="dxa" w:w="52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TP. Hồ Chí Minh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, ngày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27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 tháng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10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 năm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2026</w:t>
            </w:r>
          </w:p>
        </w:tc>
      </w:tr>
    </w:tbl>
    <w:p>
      <w:pPr>
        <w:spacing w:after="120" w:before="0" w:line="276" w:lineRule="auto"/>
        <w:jc w:val="both"/>
      </w:pPr>
    </w:p>
    <w:p>
      <w:pPr>
        <w:keepNext/>
        <w:spacing w:after="0" w:before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QUYẾT ĐỊNH</w:t>
      </w:r>
    </w:p>
    <w:p>
      <w:pPr>
        <w:keepNext/>
        <w:spacing w:after="180" w:before="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Về việc phê duyệt phương án bảo đảm an ninh mạng hệ thống thông tin</w:t>
      </w:r>
    </w:p>
    <w:p>
      <w:pPr>
        <w:keepNext/>
        <w:spacing w:after="180" w:before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  <w:highlight w:val="yellow"/>
        </w:rPr>
        <w:t xml:space="preserve">TỔNG GIÁM ĐỐC CÔNG TY CỔ PHẦN GIẢI PHÁP CÔNG NGHỆ TURBO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Căn cứ Luật An ninh mạng số 116/2025/QH15;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Căn cứ Nghị định số 331/2026/NĐ-CP ngày 19/8/2026 của Chính phủ về bảo vệ an ninh mạng đối với hệ thống thông tin; Căn cứ Điều lệ Công ty cổ phần Giải pháp Công nghệ TURBO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;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Xét đề nghị của cơ quan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.</w:t>
      </w:r>
    </w:p>
    <w:p>
      <w:pPr>
        <w:keepNext/>
        <w:spacing w:after="180" w:before="12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QUYẾT ĐỊNH: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Điều 1.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Phê duyệt phương án đảm bảo an ninh mạng đối với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Hệ thống quản lý khách hàng trực tuyến (CRM Online)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cụ thể như sau: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1. Thông tin chung</w:t>
      </w:r>
    </w:p>
    <w:p>
      <w:pPr>
        <w:spacing w:after="120" w:before="0" w:line="276" w:lineRule="auto"/>
        <w:ind w:firstLine="85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a) Tên hệ thống thông tin: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Hệ thống quản lý khách hàng trực tuyến (CRM Online)</w:t>
      </w:r>
    </w:p>
    <w:p>
      <w:pPr>
        <w:spacing w:after="120" w:before="0" w:line="276" w:lineRule="auto"/>
        <w:ind w:firstLine="85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b) Đơn vị vận hành hệ thống thông tin: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</w:t>
      </w:r>
    </w:p>
    <w:p>
      <w:pPr>
        <w:spacing w:after="120" w:before="0" w:line="276" w:lineRule="auto"/>
        <w:ind w:firstLine="85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c) Địa chỉ: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Số 123 Đường Mẫu, Phường Mẫu, TP. Hồ Chí Minh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2. Phương án bảo đảm an ninh mạng:</w:t>
      </w:r>
    </w:p>
    <w:p>
      <w:pPr>
        <w:spacing w:after="120" w:before="0" w:line="276" w:lineRule="auto"/>
        <w:ind w:firstLine="85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a) Phương án bảo đảm an ninh mạng trong thiết kế hệ thống thông tin tương ứng với cấp độ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3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là phù hợp với tiêu chuẩn quốc gia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TCVN 14423:2026 An ninh mạng – Hệ thống thông tin – Yêu cầu cơ bản (mục 5 – cấp độ 3)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, quy chuẩn kỹ thuật quốc gia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(chưa có quy chuẩn kỹ thuật quốc gia tương ứng)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về bảo đảm an ninh mạng theo cấp độ.</w:t>
      </w:r>
    </w:p>
    <w:p>
      <w:pPr>
        <w:spacing w:after="120" w:before="0" w:line="276" w:lineRule="auto"/>
        <w:ind w:firstLine="85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b) Phương án bảo đảm an ninh mạng trong quá trình vận hành hệ thống tương ứng với cấp độ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3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là phù hợp với tiêu chuẩn quốc gia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TCVN 14423:2026 An ninh mạng – Hệ thống thông tin – Yêu cầu cơ bản (mục 5 – cấp độ 3)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, quy chuẩn kỹ thuật quốc gia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(chưa có quy chuẩn kỹ thuật quốc gia tương ứng)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về bảo đảm an ninh mạng theo cấp độ.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Điều 2.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Tổ chức thực hiện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1. Cơ quan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chịu trách nhiệm:</w:t>
      </w:r>
    </w:p>
    <w:p>
      <w:pPr>
        <w:spacing w:after="120" w:before="0" w:line="276" w:lineRule="auto"/>
        <w:ind w:firstLine="85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a) Thực hiện trách nhiệm bảo đảm an ninh mạng hệ thống thông tin mình quản lý theo các quy định tại Điều 33 Nghị định này.</w:t>
      </w:r>
    </w:p>
    <w:p>
      <w:pPr>
        <w:spacing w:after="120" w:before="0" w:line="276" w:lineRule="auto"/>
        <w:ind w:firstLine="85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b) Các nội dung khác (nếu có).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Không có.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2. Trách nhiệm của các cơ quan liên quan khác (nếu có).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Không có.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Điều 3.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Điều khoản thi hành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1. Cơ quan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và các cơ quan liên quan khác chịu trách nhiệm thi hành Quyết định này.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2. Đơn vị chuyên trách về an ninh mạng chịu trách nhiệm kiểm tra, giám sát việc thực hiện Quyết định này báo cáo cơ quan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Công ty cổ phần Giải pháp Công nghệ TURBO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theo quy định của pháp luật.</w:t>
      </w:r>
    </w:p>
    <w:p>
      <w:pPr>
        <w:spacing w:after="0" w:before="0" w:line="276" w:lineRule="auto"/>
        <w:jc w:val="both"/>
      </w:pPr>
    </w:p>
    <w:tbl>
      <w:tblPr>
        <w:tblW w:type="dxa" w:w="902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61"/>
        <w:gridCol w:w="4964"/>
      </w:tblGrid>
      <w:tr>
        <w:tc>
          <w:tcPr>
            <w:tcW w:type="dxa" w:w="40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Nơi nhận: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 Như trên;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Lưu: VT, PVH.</w:t>
            </w:r>
          </w:p>
        </w:tc>
        <w:tc>
          <w:tcPr>
            <w:tcW w:type="dxa" w:w="49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ĐẠI DIỆN CỦA CƠ QUAN, TỔ CHỨC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6"/>
                <w:szCs w:val="26"/>
              </w:rPr>
              <w:t xml:space="preserve">(Ký, ghi rõ họ tên, chức danh và đóng dấu)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 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 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6"/>
                <w:szCs w:val="26"/>
                <w:highlight w:val="yellow"/>
              </w:rPr>
              <w:t xml:space="preserve">Nguyễn Văn An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  <w:highlight w:val="yellow"/>
              </w:rPr>
              <w:t xml:space="preserve">Tổng Giám đốc</w:t>
            </w:r>
          </w:p>
        </w:tc>
      </w:tr>
    </w:tbl>
    <w:sectPr>
      <w:pgSz w:w="11905" w:h="16837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số 07 — Quyết định về việc phê duyệt phương án bảo đảm an ninh mạng hệ thống thông tin</dc:title>
  <dc:creator>vn-cyber-compliance</dc:creator>
  <cp:lastModifiedBy>Un-named</cp:lastModifiedBy>
  <cp:revision>1</cp:revision>
  <dcterms:created xsi:type="dcterms:W3CDTF">2026-09-24T10:56:15.529Z</dcterms:created>
  <dcterms:modified xsi:type="dcterms:W3CDTF">2026-09-24T10:56:15.529Z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