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/ĐA-</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ĐỀ ÁN</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Đề nghị cấp Giấy chứng nhận đủ điều kiện kinh doanh dịch vụ xử lý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Dịch vụ: nền tảng </w:t>
      </w:r>
      <w:r>
        <w:rPr>
          <w:rFonts w:ascii="Times New Roman" w:cs="Times New Roman" w:eastAsia="Times New Roman" w:hAnsi="Times New Roman"/>
          <w:b w:val="false"/>
          <w:bCs w:val="false"/>
          <w:i/>
          <w:iCs/>
          <w:sz w:val="26"/>
          <w:szCs w:val="26"/>
          <w:highlight w:val="yellow"/>
        </w:rPr>
        <w:t xml:space="preserve">VX Cloud (mô phỏng)</w:t>
      </w:r>
      <w:r>
        <w:rPr>
          <w:rFonts w:ascii="Times New Roman" w:cs="Times New Roman" w:eastAsia="Times New Roman" w:hAnsi="Times New Roman"/>
          <w:b w:val="false"/>
          <w:bCs w:val="false"/>
          <w:i/>
          <w:iCs/>
          <w:sz w:val="26"/>
          <w:szCs w:val="26"/>
        </w:rPr>
        <w:t xml:space="preserve"> — quản lý video, nhận diện khuôn mặt, nhận diện biển số xe trên điện toán đám mây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 Điều 21, Điều 22, Điều 23 và khoản 2 Điều 25;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quyết số 22/2026/NQ-CP ngày 29 tháng 4 năm 2026 của Chính phủ cắt giảm, phân cấp, đơn giản hóa thủ tục hành chính và cắt giảm, đơn giản hóa điều kiện kinh doanh thuộc phạm vi quản lý của Bộ Công an, Phụ lục I.7.</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 Sự cần thiết, mục tiêu </w:t>
      </w:r>
      <w:r>
        <w:rPr>
          <w:rFonts w:ascii="Times New Roman" w:cs="Times New Roman" w:eastAsia="Times New Roman" w:hAnsi="Times New Roman"/>
          <w:b/>
          <w:bCs/>
          <w:i/>
          <w:iCs/>
          <w:caps w:val="false"/>
          <w:sz w:val="26"/>
          <w:szCs w:val="26"/>
        </w:rPr>
        <w:t xml:space="preserve">(điểm a khoản 2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Sự cần thiết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cung cấp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cho tổ chức, doanh nghiệp quản lý camera, kiểm soát ra vào, chấm công, điểm danh và quản lý bãi xe. Trên nền tảng,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thay mặt khách hàng lưu trữ video, trích xuất và so khớp đặc trưng khuôn mặt, đọc biển số xe và lưu kết quả nhận diện. Khách hàng là bên kiểm soát;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bên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Hoạt động này là dịch vụ cung cấp và vận hành hệ thống, phần mềm tự động để thay mặt bên kiểm soát xử lý dữ liệu cá nhân (khoản 1 Điều 21 Nghị định số 356/2025/NĐ-CP) và dịch vụ xử lý dữ liệu cá nhân tự động dựa trên trí tuệ nhân tạo (khoản 8 Điều 21). Dữ liệu xử lý có dữ liệu sinh trắc học là dữ liệu cá nhân nhạy cảm. Vì vậy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cấp Giấy chứng nhận trước khi cung cấp dịch vụ.</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Mục tiêu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Được cấp Giấy chứng nhận cho các dịch vụ tại mục II trước ngày </w:t>
      </w:r>
      <w:r>
        <w:rPr>
          <w:rFonts w:ascii="Times New Roman" w:cs="Times New Roman" w:eastAsia="Times New Roman" w:hAnsi="Times New Roman"/>
          <w:b w:val="false"/>
          <w:bCs w:val="false"/>
          <w:i w:val="false"/>
          <w:iCs w:val="false"/>
          <w:sz w:val="26"/>
          <w:szCs w:val="26"/>
          <w:highlight w:val="yellow"/>
        </w:rPr>
        <w:t xml:space="preserve">01/01/2027</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Bảo đảm khách hàng sử dụng dịch vụ đáp ứng được nghĩa vụ của bên kiểm soát: xin đồng ý hợp lệ, thực hiện quyền của chủ thể, xóa dữ liệu đúng hạn, thông báo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để xảy ra lộ, mất dữ liệu sinh trắc học; phát hiện và xử lý truy cập trái phép trong thời gian </w:t>
      </w:r>
      <w:r>
        <w:rPr>
          <w:rFonts w:ascii="Times New Roman" w:cs="Times New Roman" w:eastAsia="Times New Roman" w:hAnsi="Times New Roman"/>
          <w:b w:val="false"/>
          <w:bCs w:val="false"/>
          <w:i w:val="false"/>
          <w:iCs w:val="false"/>
          <w:sz w:val="26"/>
          <w:szCs w:val="26"/>
          <w:highlight w:val="yellow"/>
        </w:rPr>
        <w:t xml:space="preserve">24 giờ</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 Nội dung, lĩnh vực đề nghị phê duyệt </w:t>
      </w:r>
      <w:r>
        <w:rPr>
          <w:rFonts w:ascii="Times New Roman" w:cs="Times New Roman" w:eastAsia="Times New Roman" w:hAnsi="Times New Roman"/>
          <w:b/>
          <w:bCs/>
          <w:i/>
          <w:iCs/>
          <w:caps w:val="false"/>
          <w:sz w:val="26"/>
          <w:szCs w:val="26"/>
        </w:rPr>
        <w:t xml:space="preserve">(điểm b khoản 2 Điều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404"/>
        <w:gridCol w:w="830"/>
        <w:gridCol w:w="2375"/>
        <w:gridCol w:w="1744"/>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4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Dịch vụ (Điều 21 Nghị định số 356/2025/NĐ-CP)</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Đề nghị</w:t>
            </w:r>
          </w:p>
        </w:tc>
        <w:tc>
          <w:tcPr>
            <w:tcW w:type="dxa" w:w="23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Chức năng của nền tảng tương ứng</w:t>
            </w:r>
          </w:p>
        </w:tc>
        <w:tc>
          <w:tcPr>
            <w:tcW w:type="dxa" w:w="17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Phạm vi, lĩnh vực cung cấp</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4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1 — cung cấp và vận hành hệ thống, phần mềm tự động để thay mặt bên kiểm soát xử lý DLCN</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trữ video; quản lý danh sách người đăng ký; nhật ký ra vào, chấm công; cấu hình thời hạn lưu, phân quyền do khách hàng quyết định</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Doanh nghiệp, tòa nhà, khu công nghiệp, bãi xe</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4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8 — xử lý DLCN tự động dựa trên trí tuệ nhân tạo</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trích xuất đặc trưng, so khớp khuôn mặt; chống giả mạo (liveness); nhận diện biển số</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4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5 — ứng dụng, phần mềm giáo dục có yếu tố giám sát </w:t>
            </w:r>
            <w:r>
              <w:rPr>
                <w:rFonts w:ascii="Times New Roman" w:cs="Times New Roman" w:eastAsia="Times New Roman" w:hAnsi="Times New Roman"/>
                <w:b w:val="false"/>
                <w:bCs w:val="false"/>
                <w:i/>
                <w:iCs/>
                <w:sz w:val="22"/>
                <w:szCs w:val="22"/>
              </w:rPr>
              <w:t xml:space="preserve">(nếu có)</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danh học sinh, sinh viên bằng khuôn mặt; ghi hình lớp học</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sở giáo dục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4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6 — phân tích và khai thác DLCN </w:t>
            </w:r>
            <w:r>
              <w:rPr>
                <w:rFonts w:ascii="Times New Roman" w:cs="Times New Roman" w:eastAsia="Times New Roman" w:hAnsi="Times New Roman"/>
                <w:b w:val="false"/>
                <w:bCs w:val="false"/>
                <w:i/>
                <w:iCs/>
                <w:sz w:val="22"/>
                <w:szCs w:val="22"/>
              </w:rPr>
              <w:t xml:space="preserve">(nếu có)</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Đếm người, luồng khách, bản đồ nhiệt theo từng người; phát hiện hành vi</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Bán lẻ, tòa nhà</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4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Khoản 9 — nền tảng cung cấp dữ liệu vị trí cá nhân </w:t>
            </w:r>
            <w:r>
              <w:rPr>
                <w:rFonts w:ascii="Times New Roman" w:cs="Times New Roman" w:eastAsia="Times New Roman" w:hAnsi="Times New Roman"/>
                <w:b w:val="false"/>
                <w:bCs w:val="false"/>
                <w:i/>
                <w:iCs/>
                <w:sz w:val="22"/>
                <w:szCs w:val="22"/>
              </w:rPr>
              <w:t xml:space="preserve">(nếu có — cần đối chiếu)</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23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Dựng hành trình người hoặc xe qua nhiều camera</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Bãi xe, khu công nghiệp</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thuộc phạm vi đề nghị: bán thiết bị, phần mềm cài tại chỗ mà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không truy cập dữ liệu; hỗ trợ kỹ thuật theo yêu cầu.</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III. Ngành nghề, lĩnh vực kinh doanh, phương án kinh doanh </w:t>
      </w:r>
      <w:r>
        <w:rPr>
          <w:rFonts w:ascii="Times New Roman" w:cs="Times New Roman" w:eastAsia="Times New Roman" w:hAnsi="Times New Roman"/>
          <w:b/>
          <w:bCs/>
          <w:i/>
          <w:iCs/>
          <w:caps w:val="false"/>
          <w:sz w:val="26"/>
          <w:szCs w:val="26"/>
        </w:rPr>
        <w:t xml:space="preserve">(điểm c khoản 2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Ngành nghề đăng ký:</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6201 Lập trình máy vi tính; 6311 Xử lý dữ liệu, cho thuê và các hoạt động liên quan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Phương án kinh doanh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76"/>
        <w:gridCol w:w="6449"/>
      </w:tblGrid>
      <w:tr>
        <w:trPr>
          <w:cantSplit/>
          <w:tblHeader/>
        </w:trPr>
        <w:tc>
          <w:tcPr>
            <w:tcW w:type="dxa" w:w="25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Phương án</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thức</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Thuê bao theo số camera, số người đăng ký, thời hạn lưu video</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hàng mục tiêu</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nhà máy, khu công nghiệp, tòa nhà văn phòng</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Kênh bán</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{{Trực tiếp/Qua đại lý, nhà tích hợp}}; đại lý ký cam kết chuyển tiếp nghĩa vụ bảo vệ DLCN (C5)</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với khách hàng</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dịch vụ kèm Phụ lục xử lý dữ liệu cá nhân (C1) và điều khoản điện toán đám mây (C2), ký </w:t>
            </w:r>
            <w:r>
              <w:rPr>
                <w:rFonts w:ascii="Times New Roman" w:cs="Times New Roman" w:eastAsia="Times New Roman" w:hAnsi="Times New Roman"/>
                <w:b/>
                <w:bCs/>
                <w:i w:val="false"/>
                <w:iCs w:val="false"/>
                <w:sz w:val="24"/>
                <w:szCs w:val="24"/>
              </w:rPr>
              <w:t xml:space="preserve">trước</w:t>
            </w:r>
            <w:r>
              <w:rPr>
                <w:rFonts w:ascii="Times New Roman" w:cs="Times New Roman" w:eastAsia="Times New Roman" w:hAnsi="Times New Roman"/>
                <w:b w:val="false"/>
                <w:bCs w:val="false"/>
                <w:i w:val="false"/>
                <w:iCs w:val="false"/>
                <w:sz w:val="24"/>
                <w:szCs w:val="24"/>
              </w:rPr>
              <w:t xml:space="preserve"> khi tiếp nhận dữ liệu (điểm a khoản 2 Điều 37 Luật Bảo vệ dữ liệu cá nhân)</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công cụ cho khách hàng</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Biển báo, mẫu đồng ý sinh trắc học có nêu tên </w:t>
            </w: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quy trình tiếp nhận yêu cầu, DPIA điền sẵn phần kỹ thuật (K1–K10)</w:t>
            </w:r>
          </w:p>
        </w:tc>
      </w:tr>
      <w:tr>
        <w:trPr>
          <w:cantSplit/>
          <w:tblHeader w:val="false"/>
        </w:trPr>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thu dự kiến</w:t>
            </w:r>
          </w:p>
        </w:tc>
        <w:tc>
          <w:tcPr>
            <w:tcW w:type="dxa" w:w="6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Năm 1: </w:t>
            </w:r>
            <w:r>
              <w:rPr>
                <w:rFonts w:ascii="Times New Roman" w:cs="Times New Roman" w:eastAsia="Times New Roman" w:hAnsi="Times New Roman"/>
                <w:b w:val="false"/>
                <w:bCs w:val="false"/>
                <w:i w:val="false"/>
                <w:iCs w:val="false"/>
                <w:sz w:val="24"/>
                <w:szCs w:val="24"/>
                <w:highlight w:val="yellow"/>
              </w:rPr>
              <w:t xml:space="preserve">5 tỷ đồng</w:t>
            </w:r>
            <w:r>
              <w:rPr>
                <w:rFonts w:ascii="Times New Roman" w:cs="Times New Roman" w:eastAsia="Times New Roman" w:hAnsi="Times New Roman"/>
                <w:b w:val="false"/>
                <w:bCs w:val="false"/>
                <w:i w:val="false"/>
                <w:iCs w:val="false"/>
                <w:sz w:val="24"/>
                <w:szCs w:val="24"/>
              </w:rPr>
              <w:t xml:space="preserve">; năm 2: </w:t>
            </w:r>
            <w:r>
              <w:rPr>
                <w:rFonts w:ascii="Times New Roman" w:cs="Times New Roman" w:eastAsia="Times New Roman" w:hAnsi="Times New Roman"/>
                <w:b w:val="false"/>
                <w:bCs w:val="false"/>
                <w:i w:val="false"/>
                <w:iCs w:val="false"/>
                <w:sz w:val="24"/>
                <w:szCs w:val="24"/>
                <w:highlight w:val="yellow"/>
              </w:rPr>
              <w:t xml:space="preserve">12 tỷ đồng</w:t>
            </w:r>
            <w:r>
              <w:rPr>
                <w:rFonts w:ascii="Times New Roman" w:cs="Times New Roman" w:eastAsia="Times New Roman" w:hAnsi="Times New Roman"/>
                <w:b w:val="false"/>
                <w:bCs w:val="false"/>
                <w:i w:val="false"/>
                <w:iCs w:val="false"/>
                <w:sz w:val="24"/>
                <w:szCs w:val="24"/>
              </w:rPr>
              <w:t xml:space="preserve">; năm 3: </w:t>
            </w:r>
            <w:r>
              <w:rPr>
                <w:rFonts w:ascii="Times New Roman" w:cs="Times New Roman" w:eastAsia="Times New Roman" w:hAnsi="Times New Roman"/>
                <w:b w:val="false"/>
                <w:bCs w:val="false"/>
                <w:i w:val="false"/>
                <w:iCs w:val="false"/>
                <w:sz w:val="24"/>
                <w:szCs w:val="24"/>
                <w:highlight w:val="yellow"/>
              </w:rPr>
              <w:t xml:space="preserve">20 tỷ đồng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Hạ tầng, trang thiết bị, công nghệ</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(điều kiện khoản 3 Điều 22)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20"/>
        <w:gridCol w:w="6405"/>
      </w:tblGrid>
      <w:tr>
        <w:trPr>
          <w:cantSplit/>
          <w:tblHeader/>
        </w:trPr>
        <w:tc>
          <w:tcPr>
            <w:tcW w:type="dxa" w:w="26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Hạng mục</w:t>
            </w:r>
          </w:p>
        </w:tc>
        <w:tc>
          <w:tcPr>
            <w:tcW w:type="dxa" w:w="64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Mô tả</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Trung tâm dữ liệu, vị trí máy chủ</w:t>
            </w:r>
          </w:p>
        </w:tc>
        <w:tc>
          <w:tcPr>
            <w:tcW w:type="dxa" w:w="6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4"/>
                <w:szCs w:val="24"/>
              </w:rPr>
              <w:t xml:space="preserve">; nhà cung cấp hạ tầng </w:t>
            </w:r>
            <w:r>
              <w:rPr>
                <w:rFonts w:ascii="Times New Roman" w:cs="Times New Roman" w:eastAsia="Times New Roman" w:hAnsi="Times New Roman"/>
                <w:b w:val="false"/>
                <w:bCs w:val="false"/>
                <w:i w:val="false"/>
                <w:iCs w:val="false"/>
                <w:sz w:val="24"/>
                <w:szCs w:val="24"/>
                <w:highlight w:val="yellow"/>
              </w:rPr>
              <w:t xml:space="preserve">Công ty TNHH Dữ liệu Mẫu</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Kiến trúc</w:t>
            </w:r>
          </w:p>
        </w:tc>
        <w:tc>
          <w:tcPr>
            <w:tcW w:type="dxa" w:w="6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Camera, thiết bị biên → kết nối mã hóa → cụm xử lý nhận diện → cơ sở dữ liệu template (mã hóa, khóa tách biệt) → kho video; dữ liệu từng khách hàng tách lô-gic</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mật</w:t>
            </w:r>
          </w:p>
        </w:tc>
        <w:tc>
          <w:tcPr>
            <w:tcW w:type="dxa" w:w="6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 khi lưu và truyền, phân quyền nghiêm ngặt (khoản 4 Điều 12 Nghị định số 356/2025/NĐ-CP); xác thực đa yếu tố; quản lý khóa; giám sát, cảnh báo sớm; sao lưu</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độ hệ thống thông tin</w:t>
            </w:r>
          </w:p>
        </w:tc>
        <w:tc>
          <w:tcPr>
            <w:tcW w:type="dxa" w:w="6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độ </w:t>
            </w:r>
            <w:r>
              <w:rPr>
                <w:rFonts w:ascii="Times New Roman" w:cs="Times New Roman" w:eastAsia="Times New Roman" w:hAnsi="Times New Roman"/>
                <w:b w:val="false"/>
                <w:bCs w:val="false"/>
                <w:i w:val="false"/>
                <w:iCs w:val="false"/>
                <w:sz w:val="24"/>
                <w:szCs w:val="24"/>
                <w:highlight w:val="yellow"/>
              </w:rPr>
              <w:t xml:space="preserve">3</w:t>
            </w:r>
            <w:r>
              <w:rPr>
                <w:rFonts w:ascii="Times New Roman" w:cs="Times New Roman" w:eastAsia="Times New Roman" w:hAnsi="Times New Roman"/>
                <w:b w:val="false"/>
                <w:bCs w:val="false"/>
                <w:i w:val="false"/>
                <w:iCs w:val="false"/>
                <w:sz w:val="24"/>
                <w:szCs w:val="24"/>
              </w:rPr>
              <w:t xml:space="preserve"> theo Quyết định phê duyệt số </w:t>
            </w:r>
            <w:r>
              <w:rPr>
                <w:rFonts w:ascii="Times New Roman" w:cs="Times New Roman" w:eastAsia="Times New Roman" w:hAnsi="Times New Roman"/>
                <w:b w:val="false"/>
                <w:bCs w:val="false"/>
                <w:i w:val="false"/>
                <w:iCs w:val="false"/>
                <w:sz w:val="24"/>
                <w:szCs w:val="24"/>
                <w:highlight w:val="yellow"/>
              </w:rPr>
              <w:t xml:space="preserve">30/2026/QĐ-TURBO</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Sơ đồ</w:t>
            </w:r>
          </w:p>
        </w:tc>
        <w:tc>
          <w:tcPr>
            <w:tcW w:type="dxa" w:w="6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Kèm Phụ lục 2 (từ tài liệu luồng dữ liệu, kiến trúc — B1)</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IV. Quy mô hoạt động xử lý dữ liệu cá nhân dự kiến </w:t>
      </w:r>
      <w:r>
        <w:rPr>
          <w:rFonts w:ascii="Times New Roman" w:cs="Times New Roman" w:eastAsia="Times New Roman" w:hAnsi="Times New Roman"/>
          <w:b/>
          <w:bCs/>
          <w:i/>
          <w:iCs/>
          <w:caps w:val="false"/>
          <w:sz w:val="26"/>
          <w:szCs w:val="26"/>
        </w:rPr>
        <w:t xml:space="preserve">(điểm d khoản 2 Điều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29"/>
        <w:gridCol w:w="1652"/>
        <w:gridCol w:w="672"/>
        <w:gridCol w:w="672"/>
      </w:tblGrid>
      <w:tr>
        <w:trPr>
          <w:cantSplit/>
          <w:tblHeader/>
        </w:trPr>
        <w:tc>
          <w:tcPr>
            <w:tcW w:type="dxa" w:w="602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Chỉ tiêu</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Năm 1</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Năm 2</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Năm 3</w:t>
            </w: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khách hàng (bên kiểm soát)</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camera, thiết bị kết nối</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chủ thể có dữ liệu sinh trắc học (template)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chủ thể có DLCN cơ bản (video, biển số, nhật ký)</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lượt nhận diện trung bình mỗi ngày</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Dung lượng video lưu trữ</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Thời hạn lưu video mặc định / tối đa khách hàng được chọn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0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chuyển dữ liệu xuyên biên giới</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Không ☐ Có</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số chủ thể sinh trắc học vượt 10.000 hoặc số chủ thể DLCN cơ bản vượt 100.000, hồ sơ đánh giá tác động xử lý dữ liệu cá nhân có phần đánh giá tác động đến an ninh quốc gia, trật tự an toàn xã hội (Mẫu số 10 mục III.2.3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 Khung quản trị rủi ro về bảo vệ dữ liệu cá nhân </w:t>
      </w:r>
      <w:r>
        <w:rPr>
          <w:rFonts w:ascii="Times New Roman" w:cs="Times New Roman" w:eastAsia="Times New Roman" w:hAnsi="Times New Roman"/>
          <w:b/>
          <w:bCs/>
          <w:i/>
          <w:iCs/>
          <w:caps w:val="false"/>
          <w:sz w:val="26"/>
          <w:szCs w:val="26"/>
        </w:rPr>
        <w:t xml:space="preserve">(điểm đ khoản 2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Tổ chức: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phê duyệt khẩu vị rủi ro; </w:t>
      </w:r>
      <w:r>
        <w:rPr>
          <w:rFonts w:ascii="Times New Roman" w:cs="Times New Roman" w:eastAsia="Times New Roman" w:hAnsi="Times New Roman"/>
          <w:b w:val="false"/>
          <w:bCs w:val="false"/>
          <w:i w:val="false"/>
          <w:iCs w:val="false"/>
          <w:sz w:val="26"/>
          <w:szCs w:val="26"/>
          <w:highlight w:val="yellow"/>
        </w:rPr>
        <w:t xml:space="preserve">Tổ Bảo vệ dữ liệu cá nhân</w:t>
      </w:r>
      <w:r>
        <w:rPr>
          <w:rFonts w:ascii="Times New Roman" w:cs="Times New Roman" w:eastAsia="Times New Roman" w:hAnsi="Times New Roman"/>
          <w:b w:val="false"/>
          <w:bCs w:val="false"/>
          <w:i w:val="false"/>
          <w:iCs w:val="false"/>
          <w:sz w:val="26"/>
          <w:szCs w:val="26"/>
        </w:rPr>
        <w:t xml:space="preserve"> điều phối nhận diện, đánh giá, theo dõi rủi ro; trưởng bộ phận vận hành nền tảng, phát triển sản phẩm là chủ sở hữu rủi ro; bộ phận an ninh mạng phối hợp.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Quy trình:</w:t>
      </w:r>
      <w:r>
        <w:rPr>
          <w:rFonts w:ascii="Times New Roman" w:cs="Times New Roman" w:eastAsia="Times New Roman" w:hAnsi="Times New Roman"/>
          <w:b w:val="false"/>
          <w:bCs w:val="false"/>
          <w:i w:val="false"/>
          <w:iCs w:val="false"/>
          <w:sz w:val="26"/>
          <w:szCs w:val="26"/>
        </w:rPr>
        <w:t xml:space="preserve"> nhận diện rủi ro khi thiết kế tính năng, khi ký khách hàng loại mới, khi thay đổi hạ tầng; đánh giá theo khả năng xảy ra và mức tác động tới chủ thể; chọn biện pháp; theo dõi trong sổ đăng ký rủi ro; rà soát </w:t>
      </w:r>
      <w:r>
        <w:rPr>
          <w:rFonts w:ascii="Times New Roman" w:cs="Times New Roman" w:eastAsia="Times New Roman" w:hAnsi="Times New Roman"/>
          <w:b w:val="false"/>
          <w:bCs w:val="false"/>
          <w:i w:val="false"/>
          <w:iCs w:val="false"/>
          <w:sz w:val="26"/>
          <w:szCs w:val="26"/>
          <w:highlight w:val="yellow"/>
        </w:rPr>
        <w:t xml:space="preserve">06 tháng</w:t>
      </w:r>
      <w:r>
        <w:rPr>
          <w:rFonts w:ascii="Times New Roman" w:cs="Times New Roman" w:eastAsia="Times New Roman" w:hAnsi="Times New Roman"/>
          <w:b w:val="false"/>
          <w:bCs w:val="false"/>
          <w:i w:val="false"/>
          <w:iCs w:val="false"/>
          <w:sz w:val="26"/>
          <w:szCs w:val="26"/>
        </w:rPr>
        <w:t xml:space="preserve">/lần và sau mỗi sự cố. Phương pháp dùng chung với quy trình quản lý rủi ro an ninh mạng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Phân loại rủi ro hệ thống AI:</w:t>
      </w:r>
      <w:r>
        <w:rPr>
          <w:rFonts w:ascii="Times New Roman" w:cs="Times New Roman" w:eastAsia="Times New Roman" w:hAnsi="Times New Roman"/>
          <w:b w:val="false"/>
          <w:bCs w:val="false"/>
          <w:i w:val="false"/>
          <w:iCs w:val="false"/>
          <w:sz w:val="26"/>
          <w:szCs w:val="26"/>
        </w:rPr>
        <w:t xml:space="preserve"> các chức năng trí tuệ nhân tạo được phân loại theo mức độ rủi ro để áp dụng biện pháp tương ứng (khoản 4 Điều 30 Luật Bảo vệ dữ liệu cá nhân) — chi tiết tại tài liệu phân loại rủi ro (B2).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Rủi ro trọng yếu và biện pháp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146"/>
        <w:gridCol w:w="2599"/>
        <w:gridCol w:w="3280"/>
      </w:tblGrid>
      <w:tr>
        <w:trPr>
          <w:cantSplit/>
          <w:tblHeader/>
        </w:trPr>
        <w:tc>
          <w:tcPr>
            <w:tcW w:type="dxa" w:w="31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Rủi ro</w:t>
            </w:r>
          </w:p>
        </w:tc>
        <w:tc>
          <w:tcPr>
            <w:tcW w:type="dxa" w:w="25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Tác động đến chủ thể</w:t>
            </w:r>
          </w:p>
        </w:tc>
        <w:tc>
          <w:tcPr>
            <w:tcW w:type="dxa" w:w="32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Biện pháp chính</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Lộ cơ sở dữ liệu template khuôn mặt</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thể "đổi" khuôn mặt như đổi mật khẩu; bị giả mạo, theo dõi</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 khóa tách biệt theo khách hàng; không lưu ảnh gốc mặc định; giám sát truy xuất hàng loạt</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Truy cập trái phép VMS, xem, xuất video</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Xâm phạm đời sống riêng tư</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thực đa yếu tố; phân quyền; nhật ký xuất video; cảnh báo xuất bất thường</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Firmware camera, thiết bị biên bị chiếm quyền</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Nguồn dữ liệu bị nghe lén, làm giả</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số firmware; kênh cập nhật an toàn; quản lý lỗ hổng</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viên, kỹ thuật viên, đại lý sao chép dữ liệu</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Lộ lọt có chủ đích</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Truy cập theo phiếu, có thời hạn; cam kết bảo mật; chặn tải hàng loạt</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nhầm hàng loạt (lỗi mô hình, ngưỡng sai)</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Bị từ chối ra vào, bị ghi đi muộn, bị trừ lương</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dõi FAR, FRR; đánh dấu "cần xác minh"; con người xem xét lại kết quả bất lợi</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hàng dùng dịch vụ vượt mục đích (nhận diện người chưa đồng ý trên camera công cộng)</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Bị nhận diện, lập hồ sơ trái phép</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Tắt nhận diện mặc định với camera công cộng; bật phải xác nhận có cảnh báo pháp lý; điều khoản hợp đồng</w:t>
            </w:r>
          </w:p>
        </w:tc>
      </w:tr>
      <w:tr>
        <w:trPr>
          <w:cantSplit/>
          <w:tblHeader w:val="false"/>
        </w:trPr>
        <w:tc>
          <w:tcPr>
            <w:tcW w:type="dxa" w:w="3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khách hàng bị dùng cho huấn luyện</w:t>
            </w:r>
          </w:p>
        </w:tc>
        <w:tc>
          <w:tcPr>
            <w:tcW w:type="dxa" w:w="25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Dùng sinh trắc học vượt mục đích</w:t>
            </w:r>
          </w:p>
        </w:tc>
        <w:tc>
          <w:tcPr>
            <w:tcW w:type="dxa" w:w="3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Cấm mặc định trong hợp đồng; tách môi trường; kiểm soát truy cập nhóm phát triển mô hình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VI. Kế hoạch đánh giá hiện trạng tuân thủ và mức độ tín nhiệm định kỳ </w:t>
      </w:r>
      <w:r>
        <w:rPr>
          <w:rFonts w:ascii="Times New Roman" w:cs="Times New Roman" w:eastAsia="Times New Roman" w:hAnsi="Times New Roman"/>
          <w:b/>
          <w:bCs/>
          <w:i/>
          <w:iCs/>
          <w:caps w:val="false"/>
          <w:sz w:val="26"/>
          <w:szCs w:val="26"/>
        </w:rPr>
        <w:t xml:space="preserve">(điểm e khoản 2 Điều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23"/>
        <w:gridCol w:w="6402"/>
      </w:tblGrid>
      <w:tr>
        <w:trPr>
          <w:cantSplit/>
          <w:tblHeader/>
        </w:trPr>
        <w:tc>
          <w:tcPr>
            <w:tcW w:type="dxa" w:w="26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4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 hoạch</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Chu kỳ</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01 năm/lần (khoản 3 Điều 23 Nghị định số 356/2025/NĐ-CP), hoàn thành trước ngày </w:t>
            </w:r>
            <w:r>
              <w:rPr>
                <w:rFonts w:ascii="Times New Roman" w:cs="Times New Roman" w:eastAsia="Times New Roman" w:hAnsi="Times New Roman"/>
                <w:b w:val="false"/>
                <w:bCs w:val="false"/>
                <w:i w:val="false"/>
                <w:iCs w:val="false"/>
                <w:sz w:val="24"/>
                <w:szCs w:val="24"/>
                <w:highlight w:val="yellow"/>
              </w:rPr>
              <w:t xml:space="preserve">30/11</w:t>
            </w:r>
            <w:r>
              <w:rPr>
                <w:rFonts w:ascii="Times New Roman" w:cs="Times New Roman" w:eastAsia="Times New Roman" w:hAnsi="Times New Roman"/>
                <w:b w:val="false"/>
                <w:bCs w:val="false"/>
                <w:i w:val="false"/>
                <w:iCs w:val="false"/>
                <w:sz w:val="24"/>
                <w:szCs w:val="24"/>
              </w:rPr>
              <w:t xml:space="preserve"> hằng năm; đánh giá bổ sung sau sự cố nghiêm trọng hoặc thay đổi lớn</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Phạm vi</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Toàn bộ dịch vụ tại mục II; kết hợp đánh giá tuân thủ đối với hệ thống trí tuệ nhân tạo (điểm đ khoản 5 Điều 10) và dịch vụ điện toán đám mây (điểm d khoản 3 Điều 12) trong một báo cáo</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thực hiện</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BVDLCN độc lập với bộ phận vận hành/Đơn vị đánh giá bên ngoài}}</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pháp</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tiêu chí đánh giá (A8); phỏng vấn; kiểm tra cấu hình, nhật ký; kiểm thử mẫu yêu cầu của chủ thể, xóa dữ liệu</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số mức độ tín nhiệm đề xuất</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Tỷ lệ tiêu chí đạt; số sự cố DLCN và thời gian thông báo khách hàng; tỷ lệ yêu cầu chủ thể hỗ trợ đúng hạn; tỷ lệ hợp đồng có phụ lục xử lý dữ liệu; tỷ lệ nhân sự được đào tạo; kết quả kiểm thử xâm nhập</w:t>
            </w:r>
          </w:p>
        </w:tc>
      </w:tr>
      <w:tr>
        <w:trPr>
          <w:cantSplit/>
          <w:tblHeader w:val="false"/>
        </w:trPr>
        <w:tc>
          <w:tcPr>
            <w:tcW w:type="dxa" w:w="2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ra</w:t>
            </w:r>
          </w:p>
        </w:tc>
        <w:tc>
          <w:tcPr>
            <w:tcW w:type="dxa" w:w="6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đánh giá, kế hoạch khắc phục có hạn; báo cáo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cung cấp cho cơ quan chuyên trách khi kiểm tra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VII. Việc áp dụng tiêu chuẩn, quy chuẩn liên quan đến an ninh dữ liệu, bảo vệ dữ liệu cá nhân </w:t>
      </w:r>
      <w:r>
        <w:rPr>
          <w:rFonts w:ascii="Times New Roman" w:cs="Times New Roman" w:eastAsia="Times New Roman" w:hAnsi="Times New Roman"/>
          <w:b/>
          <w:bCs/>
          <w:i/>
          <w:iCs/>
          <w:caps w:val="false"/>
          <w:sz w:val="26"/>
          <w:szCs w:val="26"/>
        </w:rPr>
        <w:t xml:space="preserve">(điểm g khoản 2 Điều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36"/>
        <w:gridCol w:w="1988"/>
        <w:gridCol w:w="3001"/>
      </w:tblGrid>
      <w:tr>
        <w:trPr>
          <w:cantSplit/>
          <w:tblHeader/>
        </w:trPr>
        <w:tc>
          <w:tcPr>
            <w:tcW w:type="dxa" w:w="40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Tiêu chuẩn, quy chuẩn, yêu cầu</w:t>
            </w:r>
          </w:p>
        </w:tc>
        <w:tc>
          <w:tcPr>
            <w:tcW w:type="dxa" w:w="19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Phạm vi áp dụng</w:t>
            </w:r>
          </w:p>
        </w:tc>
        <w:tc>
          <w:tcPr>
            <w:tcW w:type="dxa" w:w="30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Tình trạng</w:t>
            </w:r>
          </w:p>
        </w:tc>
      </w:tr>
      <w:tr>
        <w:trPr>
          <w:cantSplit/>
          <w:tblHeader w:val="false"/>
        </w:trPr>
        <w:tc>
          <w:tcPr>
            <w:tcW w:type="dxa" w:w="40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bảo đảm an ninh mạng theo cấp độ hệ thống thông tin</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Nền tảng </w:t>
            </w:r>
            <w:r>
              <w:rPr>
                <w:rFonts w:ascii="Times New Roman" w:cs="Times New Roman" w:eastAsia="Times New Roman" w:hAnsi="Times New Roman"/>
                <w:b w:val="false"/>
                <w:bCs w:val="false"/>
                <w:i w:val="false"/>
                <w:iCs w:val="false"/>
                <w:sz w:val="24"/>
                <w:szCs w:val="24"/>
                <w:highlight w:val="yellow"/>
              </w:rPr>
              <w:t xml:space="preserve">VX Cloud (mô phỏng)</w:t>
            </w:r>
          </w:p>
        </w:tc>
        <w:tc>
          <w:tcPr>
            <w:tcW w:type="dxa" w:w="30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phê duyệt phương án/Đang lập hồ sơ}}</w:t>
            </w:r>
          </w:p>
        </w:tc>
      </w:tr>
      <w:tr>
        <w:trPr>
          <w:cantSplit/>
          <w:tblHeader w:val="false"/>
        </w:trPr>
        <w:tc>
          <w:tcPr>
            <w:tcW w:type="dxa" w:w="40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ISO/IEC 27001</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30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Đã chứng nhận ☐ Đang áp dụng ☐ Kế hoạch</w:t>
            </w:r>
          </w:p>
        </w:tc>
      </w:tr>
      <w:tr>
        <w:trPr>
          <w:cantSplit/>
          <w:tblHeader w:val="false"/>
        </w:trPr>
        <w:tc>
          <w:tcPr>
            <w:tcW w:type="dxa" w:w="40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ISO/IEC 27701</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30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Đã chứng nhận ☐ Đang áp dụng ☐ Kế hoạch</w:t>
            </w:r>
          </w:p>
        </w:tc>
      </w:tr>
      <w:tr>
        <w:trPr>
          <w:cantSplit/>
          <w:tblHeader w:val="false"/>
        </w:trPr>
        <w:tc>
          <w:tcPr>
            <w:tcW w:type="dxa" w:w="40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đánh giá tác động xử lý dữ liệu cá nhân</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Toàn bộ hoạt động</w:t>
            </w:r>
          </w:p>
        </w:tc>
        <w:tc>
          <w:tcPr>
            <w:tcW w:type="dxa" w:w="30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đạt yêu cầu theo văn bản số </w:t>
            </w:r>
            <w:r>
              <w:rPr>
                <w:rFonts w:ascii="Times New Roman" w:cs="Times New Roman" w:eastAsia="Times New Roman" w:hAnsi="Times New Roman"/>
                <w:b w:val="false"/>
                <w:bCs w:val="false"/>
                <w:i w:val="false"/>
                <w:iCs w:val="false"/>
                <w:sz w:val="24"/>
                <w:szCs w:val="24"/>
                <w:highlight w:val="yellow"/>
              </w:rPr>
              <w:t xml:space="preserve">Chưa có (mô phỏng)</w:t>
            </w:r>
          </w:p>
        </w:tc>
      </w:tr>
      <w:tr>
        <w:trPr>
          <w:cantSplit/>
          <w:tblHeader w:val="false"/>
        </w:trPr>
        <w:tc>
          <w:tcPr>
            <w:tcW w:type="dxa" w:w="40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đánh giá tác động chuyển dữ liệu cá nhân xuyên biên giới </w:t>
            </w:r>
            <w:r>
              <w:rPr>
                <w:rFonts w:ascii="Times New Roman" w:cs="Times New Roman" w:eastAsia="Times New Roman" w:hAnsi="Times New Roman"/>
                <w:b w:val="false"/>
                <w:bCs w:val="false"/>
                <w:i/>
                <w:iCs/>
                <w:sz w:val="24"/>
                <w:szCs w:val="24"/>
              </w:rPr>
              <w:t xml:space="preserve">(nếu có)</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0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đạt yêu cầu theo văn bản số </w:t>
            </w:r>
            <w:r>
              <w:rPr>
                <w:rFonts w:ascii="Times New Roman" w:cs="Times New Roman" w:eastAsia="Times New Roman" w:hAnsi="Times New Roman"/>
                <w:b w:val="false"/>
                <w:bCs w:val="false"/>
                <w:i w:val="false"/>
                <w:iCs w:val="false"/>
                <w:sz w:val="24"/>
                <w:szCs w:val="24"/>
                <w:highlight w:val="yellow"/>
              </w:rPr>
              <w:t xml:space="preserve">Không áp dụng</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VIII. Phương án sử dụng dịch vụ về định danh và xác thực điện tử </w:t>
      </w:r>
      <w:r>
        <w:rPr>
          <w:rFonts w:ascii="Times New Roman" w:cs="Times New Roman" w:eastAsia="Times New Roman" w:hAnsi="Times New Roman"/>
          <w:b/>
          <w:bCs/>
          <w:i/>
          <w:iCs/>
          <w:caps w:val="false"/>
          <w:sz w:val="26"/>
          <w:szCs w:val="26"/>
        </w:rPr>
        <w:t xml:space="preserve">(điểm h khoản 2 Điều 25)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sử dụng tài khoản định danh điện tử của tổ chức để thực hiện thủ tục với cơ quan nhà nước và xác thực danh tính tổ chức theo pháp luật về định danh và xác thực điện tử (khoản 8 Điều 23 Nghị định số 356/2025/NĐ-CP). Tài khoản: </w:t>
      </w:r>
      <w:r>
        <w:rPr>
          <w:rFonts w:ascii="Times New Roman" w:cs="Times New Roman" w:eastAsia="Times New Roman" w:hAnsi="Times New Roman"/>
          <w:b w:val="false"/>
          <w:bCs w:val="false"/>
          <w:i w:val="false"/>
          <w:iCs w:val="false"/>
          <w:sz w:val="26"/>
          <w:szCs w:val="26"/>
          <w:highlight w:val="yellow"/>
        </w:rPr>
        <w:t xml:space="preserve">tài khoản định danh điện tử của tổ chức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Khách hàng tổ chức đăng ký dịch vụ được xác thực danh tính trước khi kích hoạt: </w:t>
      </w:r>
      <w:r>
        <w:rPr>
          <w:rFonts w:ascii="Times New Roman" w:cs="Times New Roman" w:eastAsia="Times New Roman" w:hAnsi="Times New Roman"/>
          <w:b w:val="false"/>
          <w:bCs w:val="false"/>
          <w:i w:val="false"/>
          <w:iCs w:val="false"/>
          <w:sz w:val="26"/>
          <w:szCs w:val="26"/>
          <w:highlight w:val="yellow"/>
        </w:rPr>
        <w:t xml:space="preserve">đối chiếu mã số thuế và văn bản ủy quyền của người đại diện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dùng nền tảng đăng nhập bằng xác thực đa yếu tố; tài khoản quản trị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dùng </w:t>
      </w:r>
      <w:r>
        <w:rPr>
          <w:rFonts w:ascii="Times New Roman" w:cs="Times New Roman" w:eastAsia="Times New Roman" w:hAnsi="Times New Roman"/>
          <w:b w:val="false"/>
          <w:bCs w:val="false"/>
          <w:i w:val="false"/>
          <w:iCs w:val="false"/>
          <w:sz w:val="26"/>
          <w:szCs w:val="26"/>
          <w:highlight w:val="yellow"/>
        </w:rPr>
        <w:t xml:space="preserve">khóa bảo mật phần cứng</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IX. Trách nhiệm và quyền hạn của tổ chức trong xử lý dữ liệu cá nhân </w:t>
      </w:r>
      <w:r>
        <w:rPr>
          <w:rFonts w:ascii="Times New Roman" w:cs="Times New Roman" w:eastAsia="Times New Roman" w:hAnsi="Times New Roman"/>
          <w:b/>
          <w:bCs/>
          <w:i/>
          <w:iCs/>
          <w:caps w:val="false"/>
          <w:sz w:val="26"/>
          <w:szCs w:val="26"/>
        </w:rPr>
        <w:t xml:space="preserve">(điểm i khoản 2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Với khách hàng (khi là bên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Chỉ tiếp nhận dữ liệu sau khi ký hợp đồng, phụ lục xử lý dữ liệu cá nhân; chỉ xử lý theo chỉ dẫn bằng văn bản của khách hàng (điểm a, b khoản 2 Điều 37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Yêu cầu khách hàng xin sự đồng ý của chủ thể trước khi sử dụng dịch vụ và bảo đảm chủ thể biết loại dữ liệu, mục đích xử lý và tên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tổ chức cung cấp dịch vụ xử lý dữ liệu cá nhân (khoản 7 Điều 23 Nghị định số 356/2025/NĐ-CP). Nền tảng không cho bật nhận diện khuôn mặt khi khách hàng chưa xác nhận đã có cơ sở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sử dụng dữ liệu của khách hàng cho mục đích riêng, kể cả huấn luyện mô hình, nếu không có thỏa thuận riêng và cơ sở pháp lý hợp lệ;</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Hỗ trợ khách hàng thực hiện yêu cầu của chủ thể trong thời hạn khách hàng xác định; thông báo kịp thời cho khách hàng khi phát hiện vi phạm (khoản 1 Điều 23 Luật Bảo vệ dữ liệu cá nhân), cam kết trong </w:t>
      </w:r>
      <w:r>
        <w:rPr>
          <w:rFonts w:ascii="Times New Roman" w:cs="Times New Roman" w:eastAsia="Times New Roman" w:hAnsi="Times New Roman"/>
          <w:b w:val="false"/>
          <w:bCs w:val="false"/>
          <w:i w:val="false"/>
          <w:iCs w:val="false"/>
          <w:sz w:val="26"/>
          <w:szCs w:val="26"/>
          <w:highlight w:val="yellow"/>
        </w:rPr>
        <w:t xml:space="preserve">12</w:t>
      </w:r>
      <w:r>
        <w:rPr>
          <w:rFonts w:ascii="Times New Roman" w:cs="Times New Roman" w:eastAsia="Times New Roman" w:hAnsi="Times New Roman"/>
          <w:b w:val="false"/>
          <w:bCs w:val="false"/>
          <w:i w:val="false"/>
          <w:iCs w:val="false"/>
          <w:sz w:val="26"/>
          <w:szCs w:val="26"/>
        </w:rPr>
        <w:t xml:space="preserve"> giờ;</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Ràng buộc nhà thầu phụ, bên xử lý phụ thực hiện nghĩa vụ bảo vệ dữ liệu cá nhân (điểm b khoản 3 Điều 12 Nghị định số 356/2025/NĐ-CP); thông báo ngay cho khách hàng thay đổi có thể ảnh hưởng tới dữ liệu (điểm d khoản 2 Điều 12);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 Trả lại hoặc xóa dữ liệu khi kết thúc hợp đồng và xác nhận bằng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Nội bộ:</w:t>
      </w:r>
      <w:r>
        <w:rPr>
          <w:rFonts w:ascii="Times New Roman" w:cs="Times New Roman" w:eastAsia="Times New Roman" w:hAnsi="Times New Roman"/>
          <w:b w:val="false"/>
          <w:bCs w:val="false"/>
          <w:i w:val="false"/>
          <w:iCs w:val="false"/>
          <w:sz w:val="26"/>
          <w:szCs w:val="26"/>
        </w:rPr>
        <w:t xml:space="preserve"> Quy định về trách nhiệm, quyền hạn trong xử lý dữ liệu cá nhân (khoản 5 Điều 23) ban hành theo Quyết định số </w:t>
      </w:r>
      <w:r>
        <w:rPr>
          <w:rFonts w:ascii="Times New Roman" w:cs="Times New Roman" w:eastAsia="Times New Roman" w:hAnsi="Times New Roman"/>
          <w:b w:val="false"/>
          <w:bCs w:val="false"/>
          <w:i w:val="false"/>
          <w:iCs w:val="false"/>
          <w:sz w:val="26"/>
          <w:szCs w:val="26"/>
          <w:highlight w:val="yellow"/>
        </w:rPr>
        <w:t xml:space="preserve">25/2026/QĐ-TURBO</w:t>
      </w:r>
      <w:r>
        <w:rPr>
          <w:rFonts w:ascii="Times New Roman" w:cs="Times New Roman" w:eastAsia="Times New Roman" w:hAnsi="Times New Roman"/>
          <w:b w:val="false"/>
          <w:bCs w:val="false"/>
          <w:i w:val="false"/>
          <w:iCs w:val="false"/>
          <w:sz w:val="26"/>
          <w:szCs w:val="26"/>
        </w:rPr>
        <w:t xml:space="preserve">, gồm: phân công bộ phận vận hành, hỗ trợ khách hàng, phát triển sản phẩm, bảo vệ dữ liệu cá nhân; quyền truy cập dữ liệu khách hàng theo vai trò; quy trình phê duyệt truy cập; xử lý kỷ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Quyền hạn:</w:t>
      </w:r>
      <w:r>
        <w:rPr>
          <w:rFonts w:ascii="Times New Roman" w:cs="Times New Roman" w:eastAsia="Times New Roman" w:hAnsi="Times New Roman"/>
          <w:b w:val="false"/>
          <w:bCs w:val="false"/>
          <w:i w:val="false"/>
          <w:iCs w:val="false"/>
          <w:sz w:val="26"/>
          <w:szCs w:val="26"/>
        </w:rPr>
        <w:t xml:space="preserve"> từ chối chỉ dẫn của khách hàng trái pháp luật; tạm ngừng dịch vụ đối với tài khoản có dấu hiệu dùng vào mục đích trái pháp luật theo điều khoản hợp đồng; yêu cầu khách hàng cung cấp bằng chứng về cơ sở xử lý dữ liệu sinh trắc học.</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X. Nhân sự đủ điều kiện theo quy định </w:t>
      </w:r>
      <w:r>
        <w:rPr>
          <w:rFonts w:ascii="Times New Roman" w:cs="Times New Roman" w:eastAsia="Times New Roman" w:hAnsi="Times New Roman"/>
          <w:b/>
          <w:bCs/>
          <w:i/>
          <w:iCs/>
          <w:caps w:val="false"/>
          <w:sz w:val="26"/>
          <w:szCs w:val="26"/>
        </w:rPr>
        <w:t xml:space="preserve">(điểm k khoản 2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Người đứng đầu phụ trách chuyên môn về xử lý dữ liệu cá nhân</w:t>
      </w:r>
      <w:r>
        <w:rPr>
          <w:rFonts w:ascii="Times New Roman" w:cs="Times New Roman" w:eastAsia="Times New Roman" w:hAnsi="Times New Roman"/>
          <w:b w:val="false"/>
          <w:bCs w:val="false"/>
          <w:i w:val="false"/>
          <w:iCs w:val="false"/>
          <w:sz w:val="26"/>
          <w:szCs w:val="26"/>
        </w:rPr>
        <w:t xml:space="preserve"> (điểm a khoản 2 Điều 22): Ông/Bà </w:t>
      </w:r>
      <w:r>
        <w:rPr>
          <w:rFonts w:ascii="Times New Roman" w:cs="Times New Roman" w:eastAsia="Times New Roman" w:hAnsi="Times New Roman"/>
          <w:b w:val="false"/>
          <w:bCs w:val="false"/>
          <w:i w:val="false"/>
          <w:iCs w:val="false"/>
          <w:sz w:val="26"/>
          <w:szCs w:val="26"/>
          <w:highlight w:val="yellow"/>
        </w:rPr>
        <w:t xml:space="preserve">Lê Quang Huy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Giám đốc Kỹ thuật nền tảng</w:t>
      </w:r>
      <w:r>
        <w:rPr>
          <w:rFonts w:ascii="Times New Roman" w:cs="Times New Roman" w:eastAsia="Times New Roman" w:hAnsi="Times New Roman"/>
          <w:b w:val="false"/>
          <w:bCs w:val="false"/>
          <w:i w:val="false"/>
          <w:iCs w:val="false"/>
          <w:sz w:val="26"/>
          <w:szCs w:val="26"/>
        </w:rPr>
        <w:t xml:space="preserve">; quốc tịch Việt Nam; nơi thường trú </w:t>
      </w:r>
      <w:r>
        <w:rPr>
          <w:rFonts w:ascii="Times New Roman" w:cs="Times New Roman" w:eastAsia="Times New Roman" w:hAnsi="Times New Roman"/>
          <w:b w:val="false"/>
          <w:bCs w:val="false"/>
          <w:i w:val="false"/>
          <w:iCs w:val="false"/>
          <w:sz w:val="26"/>
          <w:szCs w:val="26"/>
          <w:highlight w:val="yellow"/>
        </w:rPr>
        <w:t xml:space="preserve">TP. Hồ Chí Minh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Đội ngũ quản lý, điều hành</w:t>
      </w:r>
      <w:r>
        <w:rPr>
          <w:rFonts w:ascii="Times New Roman" w:cs="Times New Roman" w:eastAsia="Times New Roman" w:hAnsi="Times New Roman"/>
          <w:b w:val="false"/>
          <w:bCs w:val="false"/>
          <w:i w:val="false"/>
          <w:iCs w:val="false"/>
          <w:sz w:val="26"/>
          <w:szCs w:val="26"/>
        </w:rPr>
        <w:t xml:space="preserve"> (điểm b khoản 2 Điều 22): </w:t>
      </w:r>
      <w:r>
        <w:rPr>
          <w:rFonts w:ascii="Times New Roman" w:cs="Times New Roman" w:eastAsia="Times New Roman" w:hAnsi="Times New Roman"/>
          <w:b w:val="false"/>
          <w:bCs w:val="false"/>
          <w:i w:val="false"/>
          <w:iCs w:val="false"/>
          <w:sz w:val="26"/>
          <w:szCs w:val="26"/>
          <w:highlight w:val="yellow"/>
        </w:rPr>
        <w:t xml:space="preserve">Tổng Giám đốc, Giám đốc Kỹ thuật nền tảng, Trưởng ban Pháp chế – Tuân thủ</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Nhân sự bảo vệ dữ liệu cá nhân</w:t>
      </w:r>
      <w:r>
        <w:rPr>
          <w:rFonts w:ascii="Times New Roman" w:cs="Times New Roman" w:eastAsia="Times New Roman" w:hAnsi="Times New Roman"/>
          <w:b w:val="false"/>
          <w:bCs w:val="false"/>
          <w:i w:val="false"/>
          <w:iCs w:val="false"/>
          <w:sz w:val="26"/>
          <w:szCs w:val="26"/>
        </w:rPr>
        <w:t xml:space="preserve"> (điểm c khoản 2 Điều 22; khoản 2 Điều 13): theo Quyết định số </w:t>
      </w:r>
      <w:r>
        <w:rPr>
          <w:rFonts w:ascii="Times New Roman" w:cs="Times New Roman" w:eastAsia="Times New Roman" w:hAnsi="Times New Roman"/>
          <w:b w:val="false"/>
          <w:bCs w:val="false"/>
          <w:i w:val="false"/>
          <w:iCs w:val="false"/>
          <w:sz w:val="26"/>
          <w:szCs w:val="26"/>
          <w:highlight w:val="yellow"/>
        </w:rPr>
        <w:t xml:space="preserve">18/2026/QĐ-TURBO</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544"/>
        <w:gridCol w:w="772"/>
        <w:gridCol w:w="915"/>
        <w:gridCol w:w="1190"/>
        <w:gridCol w:w="1059"/>
        <w:gridCol w:w="915"/>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5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Họ và tên</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Chức danh</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Trình độ</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Kinh nghiệm (năm, lĩnh vực)</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Đào tạo BVDLCN</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Tài liệu chứng minh</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Phạm Thu Dung, Chuyên viên bảo vệ DLCN</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3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35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6"/>
          <w:szCs w:val="26"/>
        </w:rPr>
        <w:t xml:space="preserve">Phụ lục kèm theo Đề 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chỉ định bộ phận bảo vệ dữ liệu cá nhân và hồ sơ năng lực nhân sự;</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Sơ đồ kiến trúc, luồng dữ liệu của nền tảng;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Văn bản trả kết quả hồ sơ đánh giá tác động xử lý dữ liệu cá nhân (và chuyển xuyên biên giới,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Mẫu hợp đồng, phụ lục xử lý dữ liệu cá nhân với khách hàng;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Quy định về trách nhiệm, quyền hạn trong xử lý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Chính sách bảo vệ dữ liệu cá nhân; quy trình xử lý sự cố, vi phạm dữ liệu cá nhân.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Cơ quan chuyên trách bảo vệ dữ liệu cá nhân, Bộ Công an;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Tổ Bảo vệ dữ liệu cá nhân</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Đề án đề nghị cấp Giấy chứng nhận đủ điều kiện kinh doanh dịch vụ xử lý dữ liệu cá nhân — nền tảng AI vision</dc:title>
  <dc:creator>vn-cyber-compliance</dc:creator>
  <cp:lastModifiedBy>Un-named</cp:lastModifiedBy>
  <cp:revision>1</cp:revision>
  <dcterms:created xsi:type="dcterms:W3CDTF">2026-09-28T14:39:39.892Z</dcterms:created>
  <dcterms:modified xsi:type="dcterms:W3CDTF">2026-09-28T14:39:39.892Z</dcterms:modified>
</cp:coreProperties>
</file>

<file path=docProps/custom.xml><?xml version="1.0" encoding="utf-8"?>
<Properties xmlns="http://schemas.openxmlformats.org/officeDocument/2006/custom-properties" xmlns:vt="http://schemas.openxmlformats.org/officeDocument/2006/docPropsVTypes"/>
</file>