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DỮ LIỆU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PL-01</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HỢP ĐỒNG</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Về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Hợp đồng số </w:t>
      </w:r>
      <w:r>
        <w:rPr>
          <w:rFonts w:ascii="Times New Roman" w:cs="Times New Roman" w:eastAsia="Times New Roman" w:hAnsi="Times New Roman"/>
          <w:b w:val="false"/>
          <w:bCs w:val="false"/>
          <w:i/>
          <w:iCs/>
          <w:sz w:val="26"/>
          <w:szCs w:val="26"/>
          <w:highlight w:val="yellow"/>
        </w:rPr>
        <w:t xml:space="preserve">08/2026/HĐDV/TURBO-DLM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16/02/2026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Bộ luật Dân sự ngày 24 tháng 11 năm 2015;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08/2026/HĐDV/TURBO-DLM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16/02/2026</w:t>
      </w:r>
      <w:r>
        <w:rPr>
          <w:rFonts w:ascii="Times New Roman" w:cs="Times New Roman" w:eastAsia="Times New Roman" w:hAnsi="Times New Roman"/>
          <w:b w:val="false"/>
          <w:bCs w:val="false"/>
          <w:i/>
          <w:iCs/>
          <w:sz w:val="26"/>
          <w:szCs w:val="26"/>
        </w:rPr>
        <w:t xml:space="preserve"> giữa hai bên (sau đây gọi là "Hợp đồng").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tại </w:t>
      </w:r>
      <w:r>
        <w:rPr>
          <w:rFonts w:ascii="Times New Roman" w:cs="Times New Roman" w:eastAsia="Times New Roman" w:hAnsi="Times New Roman"/>
          <w:b w:val="false"/>
          <w:bCs w:val="false"/>
          <w:i w:val="false"/>
          <w:iCs w:val="false"/>
          <w:sz w:val="26"/>
          <w:szCs w:val="26"/>
          <w:highlight w:val="yellow"/>
        </w:rPr>
        <w:t xml:space="preserve">trụ sở Công ty cổ phần Giải pháp Công nghệ TURBO</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(bên kiểm soát dữ liệu cá nhân):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doanh nghiệp: </w:t>
      </w:r>
      <w:r>
        <w:rPr>
          <w:rFonts w:ascii="Times New Roman" w:cs="Times New Roman" w:eastAsia="Times New Roman" w:hAnsi="Times New Roman"/>
          <w:b w:val="false"/>
          <w:bCs w:val="false"/>
          <w:i w:val="false"/>
          <w:iCs w:val="false"/>
          <w:sz w:val="26"/>
          <w:szCs w:val="26"/>
          <w:highlight w:val="yellow"/>
        </w:rPr>
        <w:t xml:space="preserve">0000000001 (giả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thư điện tử: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(bên xử lý dữ liệu cá nhân): </w:t>
      </w:r>
      <w:r>
        <w:rPr>
          <w:rFonts w:ascii="Times New Roman" w:cs="Times New Roman" w:eastAsia="Times New Roman" w:hAnsi="Times New Roman"/>
          <w:b/>
          <w:bCs/>
          <w:i w:val="false"/>
          <w:iCs w:val="false"/>
          <w:sz w:val="26"/>
          <w:szCs w:val="26"/>
          <w:highlight w:val="yellow"/>
        </w:rPr>
        <w:t xml:space="preserve">Công ty TNHH Dữ liệu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456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doanh nghiệp: </w:t>
      </w:r>
      <w:r>
        <w:rPr>
          <w:rFonts w:ascii="Times New Roman" w:cs="Times New Roman" w:eastAsia="Times New Roman" w:hAnsi="Times New Roman"/>
          <w:b w:val="false"/>
          <w:bCs w:val="false"/>
          <w:i w:val="false"/>
          <w:iCs w:val="false"/>
          <w:sz w:val="26"/>
          <w:szCs w:val="26"/>
          <w:highlight w:val="yellow"/>
        </w:rPr>
        <w:t xml:space="preserve">0000000002 (giả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Võ Thanh Hải</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Bộ phận Bảo vệ dữ liệu cá nhân (bà Ngô Thị Lan)</w:t>
      </w:r>
      <w:r>
        <w:rPr>
          <w:rFonts w:ascii="Times New Roman" w:cs="Times New Roman" w:eastAsia="Times New Roman" w:hAnsi="Times New Roman"/>
          <w:b w:val="false"/>
          <w:bCs w:val="false"/>
          <w:i w:val="false"/>
          <w:iCs w:val="false"/>
          <w:sz w:val="26"/>
          <w:szCs w:val="26"/>
        </w:rPr>
        <w:t xml:space="preserve">; thư điện tử: </w:t>
      </w:r>
      <w:r>
        <w:rPr>
          <w:rFonts w:ascii="Times New Roman" w:cs="Times New Roman" w:eastAsia="Times New Roman" w:hAnsi="Times New Roman"/>
          <w:b w:val="false"/>
          <w:bCs w:val="false"/>
          <w:i w:val="false"/>
          <w:iCs w:val="false"/>
          <w:sz w:val="26"/>
          <w:szCs w:val="26"/>
          <w:highlight w:val="yellow"/>
        </w:rPr>
        <w:t xml:space="preserve">baove-dlcn@dlm.example.vn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028 8765 4321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thống nhất ký Phụ lục này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Vai trò của các bên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là bên kiểm soát dữ liệu cá nhân: Bên A quyết định mục đích và phương tiện xử lý dữ liệu cá nhân. Bên B là bên xử lý dữ liệu cá nhân: Bên B chỉ xử lý dữ liệu cá nhân theo yêu cầu của Bên A thông qua Hợp đồng và Phụ lục này (khoản 7, khoản 8 Điều 2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Phụ lục này là thỏa thuận về xử lý dữ liệu cá nhân giữa hai bên theo điểm a khoản 2 Điều 37 Luật Bảo vệ dữ liệu cá nhân và là thỏa thuận chuyển giao dữ liệu cá nhân theo khoản 1 Điều 7 Nghị định số 356/2025/NĐ-CP. Đối với dịch vụ điện toán đám mây, Phụ lục này là nội dung hợp đồng theo khoản 2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được sử dụng dữ liệu cá nhân nhận từ Bên A cho mục đích riêng của Bên B hoặc của bất kỳ bên nào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Mỗi bên chấp hành pháp luật Việt Nam về bảo vệ dữ liệu cá nhân và các thủ tục hành chính về bảo vệ dữ liệu cá nhân thuộc trách nhiệm của mình.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Nếu Hợp đồng có nội dung khác với Phụ lục này về dữ liệu cá nhân thì áp dụng Phụ lục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Dịch vụ, dữ liệu và luồng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Dịch vụ có xử lý dữ liệu cá nhân: </w:t>
      </w:r>
      <w:r>
        <w:rPr>
          <w:rFonts w:ascii="Times New Roman" w:cs="Times New Roman" w:eastAsia="Times New Roman" w:hAnsi="Times New Roman"/>
          <w:b w:val="false"/>
          <w:bCs w:val="false"/>
          <w:i w:val="false"/>
          <w:iCs w:val="false"/>
          <w:sz w:val="26"/>
          <w:szCs w:val="26"/>
          <w:highlight w:val="yellow"/>
        </w:rPr>
        <w:t xml:space="preserve">dịch vụ thư điện tử trên nền tảng điện toán đám mây cho khoảng 120 hộp thư của Bên A (thuộc hệ thống HT-02-INTRANET), gồm lưu trữ thư, lịch, danh bạ, lọc thư rác và mã độc, sao lưu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Mục đích xử lý: </w:t>
      </w:r>
      <w:r>
        <w:rPr>
          <w:rFonts w:ascii="Times New Roman" w:cs="Times New Roman" w:eastAsia="Times New Roman" w:hAnsi="Times New Roman"/>
          <w:b w:val="false"/>
          <w:bCs w:val="false"/>
          <w:i w:val="false"/>
          <w:iCs w:val="false"/>
          <w:sz w:val="26"/>
          <w:szCs w:val="26"/>
          <w:highlight w:val="yellow"/>
        </w:rPr>
        <w:t xml:space="preserve">cung cấp, vận hành, bảo trì, hỗ trợ kỹ thuật dịch vụ thư điện tử cho hoạt động của Bên A</w:t>
      </w:r>
      <w:r>
        <w:rPr>
          <w:rFonts w:ascii="Times New Roman" w:cs="Times New Roman" w:eastAsia="Times New Roman" w:hAnsi="Times New Roman"/>
          <w:b w:val="false"/>
          <w:bCs w:val="false"/>
          <w:i w:val="false"/>
          <w:iCs w:val="false"/>
          <w:sz w:val="26"/>
          <w:szCs w:val="26"/>
        </w:rPr>
        <w:t xml:space="preserve">. Bên B không xử lý cho mục đích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Cơ sở pháp lý của việc chuyển giao: Bên A chuyển giao dữ liệu cá nhân cho bên xử lý dữ liệu cá nhân theo điểm d khoản 1 Điều 17 Luật Bảo vệ dữ liệu cá nhân. Bên A chịu trách nhiệm bảo đảm có căn cứ hợp pháp để xử lý dữ liệu cá nhân đối với chủ thể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Chủ thể và loại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45"/>
        <w:gridCol w:w="2399"/>
        <w:gridCol w:w="2439"/>
        <w:gridCol w:w="2442"/>
      </w:tblGrid>
      <w:tr>
        <w:trPr>
          <w:cantSplit/>
          <w:tblHeader/>
        </w:trPr>
        <w:tc>
          <w:tcPr>
            <w:tcW w:type="dxa" w:w="17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Nhóm chủ thể</w:t>
            </w:r>
          </w:p>
        </w:tc>
        <w:tc>
          <w:tcPr>
            <w:tcW w:type="dxa" w:w="2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dữ liệu cá nhân</w:t>
            </w:r>
          </w:p>
        </w:tc>
        <w:tc>
          <w:tcPr>
            <w:tcW w:type="dxa" w:w="24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Phân loại</w:t>
            </w:r>
          </w:p>
        </w:tc>
        <w:tc>
          <w:tcPr>
            <w:tcW w:type="dxa" w:w="24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Bên B được làm gì</w:t>
            </w:r>
          </w:p>
        </w:tc>
      </w:tr>
      <w:tr>
        <w:trPr>
          <w:cantSplit/>
          <w:tblHeader w:val="false"/>
        </w:trPr>
        <w:tc>
          <w:tcPr>
            <w:tcW w:type="dxa" w:w="1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 của Bên A</w:t>
            </w:r>
          </w:p>
        </w:tc>
        <w:tc>
          <w:tcPr>
            <w:tcW w:type="dxa" w:w="2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Họ tên, địa chỉ thư điện tử, chức danh, số điện thoại, danh bạ, lịch làm việc, nội dung thư và tệp đính kèm; nhật ký đăng nhập (thời gian, địa chỉ IP)</w:t>
            </w:r>
          </w:p>
        </w:tc>
        <w:tc>
          <w:tcPr>
            <w:tcW w:type="dxa" w:w="2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Cơ bản; có thể có dữ liệu nhạy cảm trong tệp đính kèm (ví dụ ảnh thẻ căn cước — NĐ 356 Đ4.1.i)</w:t>
            </w:r>
          </w:p>
        </w:tc>
        <w:tc>
          <w:tcPr>
            <w:tcW w:type="dxa" w:w="24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Lưu trữ, truyền, lọc thư rác và mã độc tự động, sao lưu, khôi phục, xóa theo yêu cầu</w:t>
            </w:r>
          </w:p>
        </w:tc>
      </w:tr>
      <w:tr>
        <w:trPr>
          <w:cantSplit/>
          <w:tblHeader w:val="false"/>
        </w:trPr>
        <w:tc>
          <w:tcPr>
            <w:tcW w:type="dxa" w:w="1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Khách hàng, đối tác, ứng viên trao đổi thư với Bên A</w:t>
            </w:r>
          </w:p>
        </w:tc>
        <w:tc>
          <w:tcPr>
            <w:tcW w:type="dxa" w:w="2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Họ tên, địa chỉ thư điện tử, số điện thoại, nội dung thư và tệp đính kèm (có thể chứa hồ sơ ứng tuyển, hợp đồng)</w:t>
            </w:r>
          </w:p>
        </w:tc>
        <w:tc>
          <w:tcPr>
            <w:tcW w:type="dxa" w:w="2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Cơ bản</w:t>
            </w:r>
          </w:p>
        </w:tc>
        <w:tc>
          <w:tcPr>
            <w:tcW w:type="dxa" w:w="24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Lưu trữ, truyền, lọc thư rác và mã độc tự động, sao lưu, khôi phục, xóa theo yêu cầu</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Luồng xử lý: </w:t>
      </w:r>
      <w:r>
        <w:rPr>
          <w:rFonts w:ascii="Times New Roman" w:cs="Times New Roman" w:eastAsia="Times New Roman" w:hAnsi="Times New Roman"/>
          <w:b w:val="false"/>
          <w:bCs w:val="false"/>
          <w:i w:val="false"/>
          <w:iCs w:val="false"/>
          <w:sz w:val="26"/>
          <w:szCs w:val="26"/>
          <w:highlight w:val="yellow"/>
        </w:rPr>
        <w:t xml:space="preserve">người dùng của Bên A gửi, nhận thư qua ứng dụng thư và trình duyệt (kết nối mã hóa) → máy chủ thư của Bên B tại trung tâm dữ liệu TP. Hồ Chí Minh → thư gửi ra ngoài đi qua cổng lọc thư của Bên B đặt cùng trung tâm dữ liệu; bản sao lưu lưu tại trung tâm dữ liệu dự phòng tại Hà Nội; nhân sự hỗ trợ kỹ thuật của Bên B chỉ truy cập hộp thư khi Bên A yêu cầu bằng phiếu hỗ trợ</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Bên A thông báo bằng văn bản cho Bên B trước khi đưa vào dịch vụ loại dữ liệu cá nhân mới, nhất là dữ liệu cá nhân nhạy cảm. Bên B không tự thu thập thêm dữ liệu cá nhân ngoài phạm vi trên.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Xử lý theo chỉ dẫn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chỉ tiếp nhận dữ liệu cá nhân khi Phụ lục này có hiệu lực và chỉ xử lý theo Hợp đồng, Phụ lục này và chỉ dẫn bằng văn bản của Bên A (kể cả thư điện tử của đầu mối Bên A nêu tại phần đầu Phụ lục).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Nếu thấy chỉ dẫn của Bên A trái pháp luật, Bên B thông báo ngay cho Bên A và chưa thực hiện chỉ dẫn đó.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mua, bán, cho thuê, công khai dữ liệu cá nhân; không chuyển giao cho bên khác ngoài nhà thầu phụ được chấp thuận tại Điều 5; không phân tích, khai thác dữ liệu cá nhân cho quảng cáo, huấn luyện mô hình hoặc mục đích khác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cơ quan nhà nước có thẩm quyền yêu cầu cung cấp dữ liệu cá nhân của Bên A, Bên B thông báo cho Bên A trước khi cung cấp, trừ trường hợp pháp luật không cho phép thông báo.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Biện pháp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mã hóa dữ liệu cá nhân khi lưu trữ và khi truyền, áp dụng xác thực, định danh phù hợp và phân quyền truy cập nghiêm ngặt (khoản 4 Điều 12 Nghị định số 356/2025/NĐ-CP). Với dữ liệu cá nhân nhạy cảm, Bên B áp dụng thêm biện pháp bảo mật vật lý đối với thiết bị lưu trữ và truyền tải (khoản 2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Phân công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93"/>
        <w:gridCol w:w="3998"/>
        <w:gridCol w:w="2834"/>
      </w:tblGrid>
      <w:tr>
        <w:trPr>
          <w:cantSplit/>
          <w:tblHeader/>
        </w:trPr>
        <w:tc>
          <w:tcPr>
            <w:tcW w:type="dxa" w:w="21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Biện pháp</w:t>
            </w:r>
          </w:p>
        </w:tc>
        <w:tc>
          <w:tcPr>
            <w:tcW w:type="dxa" w:w="39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Bên B</w:t>
            </w:r>
          </w:p>
        </w:tc>
        <w:tc>
          <w:tcPr>
            <w:tcW w:type="dxa" w:w="28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Bên A</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 khi lưu trữ, kể cả bản sao lưu</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Mã hóa ổ đĩa và cơ sở dữ liệu thư (AES-256), khóa do Bên B quản lý tách biệt</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lưu bằng chứng cấu hình</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 khi truyền</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TLS 1.2 trở lên cho webmail, IMAP, SMTP; từ chối kết nối không mã hóa</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dùng kết nối được mã hóa</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người dùng của Bên A</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Cung cấp tính năng xác thực đa yếu tố, phân quyền</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thu hồi tài khoản; bật xác thực đa yếu tố</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Truy cập của nhân sự Bên B vào dữ liệu</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khi cần cho dịch vụ; tài khoản riêng, xác thực đa yếu tố; thu hồi trong ngày khi nghỉ việc</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Được cung cấp danh sách, rà soát </w:t>
            </w:r>
            <w:r>
              <w:rPr>
                <w:rFonts w:ascii="Times New Roman" w:cs="Times New Roman" w:eastAsia="Times New Roman" w:hAnsi="Times New Roman"/>
                <w:b w:val="false"/>
                <w:bCs w:val="false"/>
                <w:i w:val="false"/>
                <w:iCs w:val="false"/>
                <w:sz w:val="24"/>
                <w:szCs w:val="24"/>
                <w:highlight w:val="yellow"/>
              </w:rPr>
              <w:t xml:space="preserve">06 tháng/lần</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truy cập dữ liệu</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Ghi và lưu tối thiểu </w:t>
            </w:r>
            <w:r>
              <w:rPr>
                <w:rFonts w:ascii="Times New Roman" w:cs="Times New Roman" w:eastAsia="Times New Roman" w:hAnsi="Times New Roman"/>
                <w:b w:val="false"/>
                <w:bCs w:val="false"/>
                <w:i w:val="false"/>
                <w:iCs w:val="false"/>
                <w:sz w:val="24"/>
                <w:szCs w:val="24"/>
                <w:highlight w:val="yellow"/>
              </w:rPr>
              <w:t xml:space="preserve">12 tháng</w:t>
            </w:r>
            <w:r>
              <w:rPr>
                <w:rFonts w:ascii="Times New Roman" w:cs="Times New Roman" w:eastAsia="Times New Roman" w:hAnsi="Times New Roman"/>
                <w:b w:val="false"/>
                <w:bCs w:val="false"/>
                <w:i w:val="false"/>
                <w:iCs w:val="false"/>
                <w:sz w:val="24"/>
                <w:szCs w:val="24"/>
              </w:rPr>
              <w:t xml:space="preserve">; cung cấp khi Bên A yêu cầu</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nhật ký khi có nghi ngờ, sự cố</w:t>
            </w:r>
          </w:p>
        </w:tc>
      </w:tr>
      <w:tr>
        <w:trPr>
          <w:cantSplit/>
          <w:tblHeader w:val="false"/>
        </w:trPr>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Sao lưu, khôi phục</w:t>
            </w:r>
          </w:p>
        </w:tc>
        <w:tc>
          <w:tcPr>
            <w:tcW w:type="dxa" w:w="3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Sao lưu hằng ngày, giữ 30 ngày, lưu tại trung tâm dữ liệu dự phòng; khôi phục thử hằng quý</w:t>
            </w:r>
          </w:p>
        </w:tc>
        <w:tc>
          <w:tcPr>
            <w:tcW w:type="dxa" w:w="2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khôi phục khi cần</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có biện pháp ngăn chặn việc thu thập dữ liệu cá nhân trái phép từ hệ thống, dịch vụ của mình (điểm đ khoản 2 Điều 37 Luật Bảo vệ dữ liệu cá nhân) và thường xuyên cập nhật, vá lỗi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Bên A lập hoặc cập nhật hồ sơ đánh giá tác động xử lý dữ liệu cá nhân, Bên B cung cấp mô tả biện pháp bảo vệ, sơ đồ luồng dữ liệu và thông tin cần thiết khác trong phạm vi dịch vụ.</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Nhân sự và nhà thầu phụ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Nhân sự của Bên B có quyền truy cập dữ liệu cá nhân phải ký cam kết bảo mật và được hướng dẫn về bảo vệ dữ liệu cá nhân. Bên B chịu trách nhiệm về hành vi của nhân sự mình.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chỉ sử dụng nhà thầu phụ có tham gia xử lý dữ liệu cá nhân nêu tại khoản 3 Điều này hoặc được Bên A chấp thuận bằng văn bản. Bên B ràng buộc nhà thầu phụ thực hiện nghĩa vụ bảo vệ dữ liệu cá nhân không thấp hơn Phụ lục này (điểm b khoản 3 Điều 12 Nghị định số 356/2025/NĐ-CP) và chịu trách nhiệm trước Bên A về nhà thầu phụ.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Nhà thầu phụ đã được chấp thuận: </w:t>
      </w:r>
      <w:r>
        <w:rPr>
          <w:rFonts w:ascii="Times New Roman" w:cs="Times New Roman" w:eastAsia="Times New Roman" w:hAnsi="Times New Roman"/>
          <w:b w:val="false"/>
          <w:bCs w:val="false"/>
          <w:i w:val="false"/>
          <w:iCs w:val="false"/>
          <w:sz w:val="26"/>
          <w:szCs w:val="26"/>
          <w:highlight w:val="yellow"/>
        </w:rPr>
        <w:t xml:space="preserve">Công ty cổ phần Hạ tầng Mẫu — cho thuê chỗ đặt máy chủ tại trung tâm dữ liệu Hà Nội; không có quyền truy cập dữ liệu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thông báo cho Bên A tối thiểu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trước khi thêm hoặc thay nhà thầu phụ. Bên A có quyền phản đối; nếu hai bên không thống nhất, Bên A có quyền chấm dứt phần dịch vụ liên quan mà không bị phạt.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Vị trí lưu trữ và chuyển dữ liệu cá nhân ra nước ngoài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Dữ liệu cá nhân, kể cả bản sao lưu, được lưu trữ và xử lý tại: </w:t>
      </w:r>
      <w:r>
        <w:rPr>
          <w:rFonts w:ascii="Times New Roman" w:cs="Times New Roman" w:eastAsia="Times New Roman" w:hAnsi="Times New Roman"/>
          <w:b w:val="false"/>
          <w:bCs w:val="false"/>
          <w:i w:val="false"/>
          <w:iCs w:val="false"/>
          <w:sz w:val="26"/>
          <w:szCs w:val="26"/>
          <w:highlight w:val="yellow"/>
        </w:rPr>
        <w:t xml:space="preserve">trung tâm dữ liệu của Bên B tại TP. Hồ Chí Minh (chính) và Hà Nội (dự phòng), lãnh thổ Việt Nam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không chuyển dữ liệu cá nhân ra ngoài lãnh thổ Việt Nam, không lưu trữ tại hệ thống đặt ở nước ngoài, không để nhân sự hoặc nhà thầu phụ ở nước ngoài truy cập, khi chưa có chấp thuận bằng văn bản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Nếu Bên A chấp thuận, Bên B cung cấp đủ thông tin để Bên A lập hồ sơ đánh giá tác động chuyển dữ liệu cá nhân xuyên biên giới (Điều 20 Luật Bảo vệ dữ liệu cá nhân), gồm: quốc gia, bên nhận, thông tin liên lạc của bộ phận, nhân sự bảo vệ dữ liệu cá nhân phía bên nhận, biện pháp bảo vệ sau khi chuyển; bên nhận không chuyển tiếp dữ liệu cho bên khác ngoài phạm vi đã thống nhất.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Thông báo sự cố,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thông báo cho Bên A trong thời hạn </w:t>
      </w:r>
      <w:r>
        <w:rPr>
          <w:rFonts w:ascii="Times New Roman" w:cs="Times New Roman" w:eastAsia="Times New Roman" w:hAnsi="Times New Roman"/>
          <w:b/>
          <w:bCs/>
          <w:i w:val="false"/>
          <w:iCs w:val="false"/>
          <w:sz w:val="26"/>
          <w:szCs w:val="26"/>
          <w:highlight w:val="yellow"/>
        </w:rPr>
        <w:t xml:space="preserve">12</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vi phạm quy định về bảo vệ dữ liệu cá nhân hoặc sự cố có thể làm lộ, mất, truy cập trái phép dữ liệu cá nhân của Bên A (khoản 1 Điều 23 Luật Bảo vệ dữ liệu cá nhân), qua </w:t>
      </w:r>
      <w:r>
        <w:rPr>
          <w:rFonts w:ascii="Times New Roman" w:cs="Times New Roman" w:eastAsia="Times New Roman" w:hAnsi="Times New Roman"/>
          <w:b w:val="false"/>
          <w:bCs w:val="false"/>
          <w:i w:val="false"/>
          <w:iCs w:val="false"/>
          <w:sz w:val="26"/>
          <w:szCs w:val="26"/>
          <w:highlight w:val="yellow"/>
        </w:rPr>
        <w:t xml:space="preserve">điện thoại 028 1234 5688 và thư điện tử dlcn@example.vn, đồng gửi suco@example.vn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Thông báo gồm: thời gian, địa điểm, hành vi; loại và số lượng dữ liệu cá nhân, số chủ thể bị ảnh hưởng (ước tính); hậu quả có thể xảy ra; biện pháp đã làm; người liên hệ. Bên B bổ sung ngay khi có thêm thông tin, để Bên A thông báo cơ quan chuyên trách bảo vệ dữ liệu cá nhân chậm nhất 72 giờ kể từ khi phát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phối hợp ngăn chặn, khắc phục hậu quả, bảo toàn chứng cứ; phối hợp với Bên A lập biên bản xác nhận vi phạm và làm việc với cơ quan chuyên trách bảo vệ dữ liệu cá nhân. Trường hợp Bên B cũng thông báo cho cơ quan chuyên trách, hai bên thống nhất nội dung trước khi gửi, trừ trường hợp khẩn cấp. Bên B không tự thông báo cho chủ thể dữ liệu hoặc công khai sự việc khi chưa thống nhất với Bên A, trừ trường hợp pháp luật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Hỗ trợ thực hiện quyền của chủ thể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bảo đảm để Bên A thực hiện được yêu cầu của chủ thể dữ liệu về xem, chỉnh sửa, cung cấp, xóa, hạn chế xử lý, phản đối xử lý dữ liệu cá nhân, rút lại sự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Bên A đề nghị, Bên B thực hiện trong thời hạn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bảo đảm Bên A đáp ứng thời hạn tại Điều 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Nếu chủ thể dữ liệu gửi yêu cầu trực tiếp cho Bên B, Bên B chuyển cho đầu mối Bên A trong 01 ngày làm việc và không tự trả lời nội dung, trừ việc hướng dẫn chủ thể liên hệ Bên 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Thông báo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thông báo ngay cho Bên A, chậm nhất </w:t>
      </w:r>
      <w:r>
        <w:rPr>
          <w:rFonts w:ascii="Times New Roman" w:cs="Times New Roman" w:eastAsia="Times New Roman" w:hAnsi="Times New Roman"/>
          <w:b w:val="false"/>
          <w:bCs w:val="false"/>
          <w:i w:val="false"/>
          <w:iCs w:val="false"/>
          <w:sz w:val="26"/>
          <w:szCs w:val="26"/>
          <w:highlight w:val="yellow"/>
        </w:rPr>
        <w:t xml:space="preserve">05 ngày làm việc trước khi thay đổi (thay đổi khẩn cấp: trong 24 giờ sau khi thực hiện)</w:t>
      </w:r>
      <w:r>
        <w:rPr>
          <w:rFonts w:ascii="Times New Roman" w:cs="Times New Roman" w:eastAsia="Times New Roman" w:hAnsi="Times New Roman"/>
          <w:b w:val="false"/>
          <w:bCs w:val="false"/>
          <w:i w:val="false"/>
          <w:iCs w:val="false"/>
          <w:sz w:val="26"/>
          <w:szCs w:val="26"/>
        </w:rPr>
        <w:t xml:space="preserve">, mọi thay đổi có thể ảnh hưởng tới dữ liệu cá nhân, gồm: vị trí lưu trữ; nhà thầu phụ; kiến trúc, hạ tầng, biện pháp bảo mật; tính năng mới có xử lý dữ liệu cá nhân; đầu mối bảo vệ dữ liệu cá nhân; tổ chức lại, chuyển nhượng, giải thể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A thông báo cho Bên B khi thay đổi mục đích, loại dữ liệu cá nhân hoặc đầu mối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Thời hạn xử lý, xóa và trả lại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xử lý dữ liệu cá nhân trong thời hạn Hợp đồng và theo chính sách lưu trữ do Bên A thiết lập trên dịch vụ. Dữ liệu người dùng đã xóa và bản sao lưu được giữ tối đa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sau đó bị xóa tự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Bên A yêu cầu xóa dữ liệu cá nhân cụ thể (ví dụ theo yêu cầu của chủ thể dữ liệu hoặc khi hết thời hạn lưu), Bên B xóa, kể cả trong bản sao lưu khi kỹ thuật cho phép, và xác nhận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Hợp đồng chấm dứt, Bên B:</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Trả lại toàn bộ dữ liệu cá nhân cho Bên A trong </w:t>
      </w:r>
      <w:r>
        <w:rPr>
          <w:rFonts w:ascii="Times New Roman" w:cs="Times New Roman" w:eastAsia="Times New Roman" w:hAnsi="Times New Roman"/>
          <w:b w:val="false"/>
          <w:bCs w:val="false"/>
          <w:i w:val="false"/>
          <w:iCs w:val="false"/>
          <w:sz w:val="26"/>
          <w:szCs w:val="26"/>
          <w:highlight w:val="yellow"/>
        </w:rPr>
        <w:t xml:space="preserve">30 ngày kể từ ngày chấm dứt</w:t>
      </w:r>
      <w:r>
        <w:rPr>
          <w:rFonts w:ascii="Times New Roman" w:cs="Times New Roman" w:eastAsia="Times New Roman" w:hAnsi="Times New Roman"/>
          <w:b w:val="false"/>
          <w:bCs w:val="false"/>
          <w:i w:val="false"/>
          <w:iCs w:val="false"/>
          <w:sz w:val="26"/>
          <w:szCs w:val="26"/>
        </w:rPr>
        <w:t xml:space="preserve">, định dạng </w:t>
      </w:r>
      <w:r>
        <w:rPr>
          <w:rFonts w:ascii="Times New Roman" w:cs="Times New Roman" w:eastAsia="Times New Roman" w:hAnsi="Times New Roman"/>
          <w:b w:val="false"/>
          <w:bCs w:val="false"/>
          <w:i w:val="false"/>
          <w:iCs w:val="false"/>
          <w:sz w:val="26"/>
          <w:szCs w:val="26"/>
          <w:highlight w:val="yellow"/>
        </w:rPr>
        <w:t xml:space="preserve">tệp thư chuẩn (MBOX hoặc PST) và tệp danh bạ, lịch chuẩn (vCard, iCalendar)</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Sau khi Bên A xác nhận đã nhận đủ, xóa, hủy toàn bộ dữ liệu cá nhân còn lưu, kể cả bản sao lưu và dữ liệu tại nhà thầu phụ, trong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bằng biện pháp an toàn, không khôi phục được (khoản 3 Điều 14 Luật Bảo vệ dữ liệu cá nhân);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Lập biên bản xác nhận đã xóa, gửi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Nếu pháp luật buộc Bên B tiếp tục lưu một phần dữ liệu, Bên B thông báo cho Bên A phần dữ liệu và căn cứ, chỉ lưu phần đó và tiếp tục bảo vệ theo Phụ lục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Đánh giá tác động và đánh giá tuân thủ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lập và lưu trữ hồ sơ đánh giá tác động xử lý dữ liệu cá nhân của mình đối với hoạt động xử lý cho Bên A (khoản 3 Điều 21 Luật Bảo vệ dữ liệu cá nhân) và gửi hồ sơ cho cơ quan chuyên trách khi pháp luật yêu cầu; cung cấp cho Bên A bản tóm tắt khi được đề nghị.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Đối với dịch vụ điện toán đám mây: Bên B thực hiện đánh giá tuân thủ các quy định về bảo vệ dữ liệu cá nhân định kỳ 01 năm/lần (điểm d khoản 3 Điều 12 Nghị định số 356/2025/NĐ-CP) và gửi kết quả tóm tắt cho Bên A trong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kể từ khi hoàn thành.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cam kết: </w:t>
      </w:r>
      <w:r>
        <w:rPr>
          <w:rFonts w:ascii="Times New Roman" w:cs="Times New Roman" w:eastAsia="Times New Roman" w:hAnsi="Times New Roman"/>
          <w:b w:val="false"/>
          <w:bCs w:val="false"/>
          <w:i w:val="false"/>
          <w:iCs w:val="false"/>
          <w:sz w:val="26"/>
          <w:szCs w:val="26"/>
          <w:highlight w:val="yellow"/>
        </w:rPr>
        <w:t xml:space="preserve">đã tự rà soát và đang làm thủ tục đề nghị cấp Giấy chứng nhận đủ điều kiện kinh doanh dịch vụ xử lý dữ liệu cá nhân; sẽ thông báo kết quả cho Bên A</w:t>
      </w:r>
      <w:r>
        <w:rPr>
          <w:rFonts w:ascii="Times New Roman" w:cs="Times New Roman" w:eastAsia="Times New Roman" w:hAnsi="Times New Roman"/>
          <w:b w:val="false"/>
          <w:bCs w:val="false"/>
          <w:i w:val="false"/>
          <w:iCs w:val="false"/>
          <w:sz w:val="26"/>
          <w:szCs w:val="26"/>
        </w:rPr>
        <w:t xml:space="preserve">. Nếu thuộc diện kinh doanh dịch vụ xử lý dữ liệu cá nhân (Điều 21 Nghị định số 356/2025/NĐ-CP), Bên B duy trì Giấy chứng nhận đủ điều kiện và thông báo ngay cho Bên A khi Giấy chứng nhận bị thu hồi.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A hoặc tổ chức do Bên A chỉ định (có cam kết bảo mật) được kiểm tra việc thực hiện Phụ lục này tối đa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khi xảy ra sự cố, báo trước </w:t>
      </w:r>
      <w:r>
        <w:rPr>
          <w:rFonts w:ascii="Times New Roman" w:cs="Times New Roman" w:eastAsia="Times New Roman" w:hAnsi="Times New Roman"/>
          <w:b w:val="false"/>
          <w:bCs w:val="false"/>
          <w:i w:val="false"/>
          <w:iCs w:val="false"/>
          <w:sz w:val="26"/>
          <w:szCs w:val="26"/>
          <w:highlight w:val="yellow"/>
        </w:rPr>
        <w:t xml:space="preserve">10 ngày làm việc</w:t>
      </w:r>
      <w:r>
        <w:rPr>
          <w:rFonts w:ascii="Times New Roman" w:cs="Times New Roman" w:eastAsia="Times New Roman" w:hAnsi="Times New Roman"/>
          <w:b w:val="false"/>
          <w:bCs w:val="false"/>
          <w:i w:val="false"/>
          <w:iCs w:val="false"/>
          <w:sz w:val="26"/>
          <w:szCs w:val="26"/>
        </w:rPr>
        <w:t xml:space="preserve">. Bên B có thể cung cấp báo cáo đánh giá độc lập còn hiệu lực thay cho kiểm tra tại chỗ, nếu Bên A đồng ý.</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Trách nhiệm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chịu trách nhiệm trước Bên A về thiệt hại do quá trình xử lý dữ liệu cá nhân của Bên B gây ra (điểm d khoản 2 Điều 37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 phạm Phụ lục này là vi phạm nghĩa vụ cơ bản của Hợp đồng. Bên A có quyền tạm ngừng chuyển dữ liệu, yêu cầu khắc phục, phạt vi phạm và yêu cầu bồi thường theo </w:t>
      </w:r>
      <w:r>
        <w:rPr>
          <w:rFonts w:ascii="Times New Roman" w:cs="Times New Roman" w:eastAsia="Times New Roman" w:hAnsi="Times New Roman"/>
          <w:b w:val="false"/>
          <w:bCs w:val="false"/>
          <w:i w:val="false"/>
          <w:iCs w:val="false"/>
          <w:sz w:val="26"/>
          <w:szCs w:val="26"/>
          <w:highlight w:val="yellow"/>
        </w:rPr>
        <w:t xml:space="preserve">Điều 9</w:t>
      </w:r>
      <w:r>
        <w:rPr>
          <w:rFonts w:ascii="Times New Roman" w:cs="Times New Roman" w:eastAsia="Times New Roman" w:hAnsi="Times New Roman"/>
          <w:b w:val="false"/>
          <w:bCs w:val="false"/>
          <w:i w:val="false"/>
          <w:iCs w:val="false"/>
          <w:sz w:val="26"/>
          <w:szCs w:val="26"/>
        </w:rPr>
        <w:t xml:space="preserve"> Hợp đồng, đơn phương chấm dứt Hợp đồng nếu Bên B không khắc phục trong thời hạn Bên A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Nghĩa vụ bảo mật và nghĩa vụ tại Điều 10 tiếp tục có hiệu lực sau khi Hợp đồng chấm dứt.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là bộ phận không tách rời của Hợp đồng, có hiệu lực từ ngày ký đến khi Bên B hoàn thành nghĩa vụ tại khoản 3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Phụ lục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có giá trị như nhau, mỗi bên giữ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745"/>
        <w:gridCol w:w="4280"/>
      </w:tblGrid>
      <w:tr>
        <w:trPr>
          <w:cantSplit/>
          <w:tblHeader/>
        </w:trPr>
        <w:tc>
          <w:tcPr>
            <w:tcW w:type="dxa" w:w="47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BÊN A</w:t>
            </w:r>
          </w:p>
        </w:tc>
        <w:tc>
          <w:tcPr>
            <w:tcW w:type="dxa" w:w="42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BÊN B</w:t>
            </w:r>
          </w:p>
        </w:tc>
      </w:tr>
      <w:tr>
        <w:trPr>
          <w:cantSplit/>
          <w:tblHeader w:val="false"/>
        </w:trPr>
        <w:tc>
          <w:tcPr>
            <w:tcW w:type="dxa" w:w="47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TỔNG GIÁM ĐỐC</w:t>
            </w:r>
          </w:p>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đóng dấu)</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Nguyễn Văn An</w:t>
            </w:r>
          </w:p>
        </w:tc>
        <w:tc>
          <w:tcPr>
            <w:tcW w:type="dxa" w:w="4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GIÁM ĐỐC</w:t>
            </w:r>
          </w:p>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đóng dấu)</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Võ Thanh Hải</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Phụ lục hợp đồng về bảo vệ dữ liệu cá nhân (bên xử lý, nhà cung cấp cloud, phần mềm)</dc:title>
  <dc:creator>vn-cyber-compliance</dc:creator>
  <cp:lastModifiedBy>Un-named</cp:lastModifiedBy>
  <cp:revision>1</cp:revision>
  <dcterms:created xsi:type="dcterms:W3CDTF">2026-09-28T13:27:11.762Z</dcterms:created>
  <dcterms:modified xsi:type="dcterms:W3CDTF">2026-09-28T13:27:11.762Z</dcterms:modified>
</cp:coreProperties>
</file>

<file path=docProps/custom.xml><?xml version="1.0" encoding="utf-8"?>
<Properties xmlns="http://schemas.openxmlformats.org/officeDocument/2006/custom-properties" xmlns:vt="http://schemas.openxmlformats.org/officeDocument/2006/docPropsVTypes"/>
</file>