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0" w:before="120" w:line="240" w:lineRule="auto"/>
        <w:jc w:val="center"/>
      </w:pPr>
      <w:r>
        <w:rPr>
          <w:rFonts w:ascii="Times New Roman" w:cs="Times New Roman" w:eastAsia="Times New Roman" w:hAnsi="Times New Roman"/>
          <w:b/>
          <w:bCs/>
          <w:i w:val="false"/>
          <w:iCs w:val="false"/>
          <w:sz w:val="28"/>
          <w:szCs w:val="28"/>
        </w:rPr>
        <w:t xml:space="preserve">PHÂN LOẠI HỆ THỐNG TRÍ TUỆ NHÂN TẠO THEO MỨC ĐỘ RỦI RO</w:t>
      </w:r>
    </w:p>
    <w:p>
      <w:pPr>
        <w:keepNext/>
        <w:spacing w:after="180" w:before="0" w:line="240" w:lineRule="auto"/>
        <w:jc w:val="center"/>
      </w:pPr>
      <w:r>
        <w:rPr>
          <w:rFonts w:ascii="Times New Roman" w:cs="Times New Roman" w:eastAsia="Times New Roman" w:hAnsi="Times New Roman"/>
          <w:b/>
          <w:bCs/>
          <w:i w:val="false"/>
          <w:iCs w:val="false"/>
          <w:sz w:val="26"/>
          <w:szCs w:val="26"/>
          <w:highlight w:val="yellow"/>
        </w:rPr>
        <w:t xml:space="preserve">Hệ thống AI Vision VX (mô phỏng)</w:t>
      </w:r>
      <w:r>
        <w:rPr>
          <w:rFonts w:ascii="Times New Roman" w:cs="Times New Roman" w:eastAsia="Times New Roman" w:hAnsi="Times New Roman"/>
          <w:b/>
          <w:bCs/>
          <w:i w:val="false"/>
          <w:iCs w:val="false"/>
          <w:sz w:val="26"/>
          <w:szCs w:val="26"/>
        </w:rPr>
        <w:t xml:space="preserve"> — phiên bản </w:t>
      </w:r>
      <w:r>
        <w:rPr>
          <w:rFonts w:ascii="Times New Roman" w:cs="Times New Roman" w:eastAsia="Times New Roman" w:hAnsi="Times New Roman"/>
          <w:b/>
          <w:bCs/>
          <w:i w:val="false"/>
          <w:iCs w:val="false"/>
          <w:sz w:val="26"/>
          <w:szCs w:val="26"/>
          <w:highlight w:val="yellow"/>
        </w:rPr>
        <w:t xml:space="preserve">3.2</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180"/>
        <w:gridCol w:w="6845"/>
      </w:tblGrid>
      <w:tr>
        <w:trPr>
          <w:cantSplit/>
          <w:tblHeader/>
        </w:trPr>
        <w:tc>
          <w:tcPr>
            <w:tcW w:type="dxa" w:w="218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Thông tin tài liệu</w:t>
            </w:r>
          </w:p>
        </w:tc>
        <w:tc>
          <w:tcPr>
            <w:tcW w:type="dxa" w:w="684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p>
        </w:tc>
      </w:tr>
      <w:tr>
        <w:trPr>
          <w:cantSplit/>
          <w:tblHeader w:val="false"/>
        </w:trPr>
        <w:tc>
          <w:tcPr>
            <w:tcW w:type="dxa" w:w="21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Mã tài liệu</w:t>
            </w:r>
          </w:p>
        </w:tc>
        <w:tc>
          <w:tcPr>
            <w:tcW w:type="dxa" w:w="68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TL-VX-2026-01</w:t>
            </w:r>
          </w:p>
        </w:tc>
      </w:tr>
      <w:tr>
        <w:trPr>
          <w:cantSplit/>
          <w:tblHeader w:val="false"/>
        </w:trPr>
        <w:tc>
          <w:tcPr>
            <w:tcW w:type="dxa" w:w="21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Nhà cung cấp</w:t>
            </w:r>
          </w:p>
        </w:tc>
        <w:tc>
          <w:tcPr>
            <w:tcW w:type="dxa" w:w="68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Công ty cổ phần Giải pháp Công nghệ TURBO</w:t>
            </w:r>
          </w:p>
        </w:tc>
      </w:tr>
      <w:tr>
        <w:trPr>
          <w:cantSplit/>
          <w:tblHeader w:val="false"/>
        </w:trPr>
        <w:tc>
          <w:tcPr>
            <w:tcW w:type="dxa" w:w="21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Ngày phân loại</w:t>
            </w:r>
          </w:p>
        </w:tc>
        <w:tc>
          <w:tcPr>
            <w:tcW w:type="dxa" w:w="68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15/10/2026</w:t>
            </w:r>
          </w:p>
        </w:tc>
      </w:tr>
      <w:tr>
        <w:trPr>
          <w:cantSplit/>
          <w:tblHeader w:val="false"/>
        </w:trPr>
        <w:tc>
          <w:tcPr>
            <w:tcW w:type="dxa" w:w="21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Nhóm xét duyệt</w:t>
            </w:r>
          </w:p>
        </w:tc>
        <w:tc>
          <w:tcPr>
            <w:tcW w:type="dxa" w:w="68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Giám đốc sản phẩm, nhân sự bảo vệ dữ liệu cá nhân, trưởng nhóm bảo mật</w:t>
            </w:r>
          </w:p>
        </w:tc>
      </w:tr>
      <w:tr>
        <w:trPr>
          <w:cantSplit/>
          <w:tblHeader w:val="false"/>
        </w:trPr>
        <w:tc>
          <w:tcPr>
            <w:tcW w:type="dxa" w:w="218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Người phê duyệt</w:t>
            </w:r>
          </w:p>
        </w:tc>
        <w:tc>
          <w:tcPr>
            <w:tcW w:type="dxa" w:w="68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Nguyễn Văn An</w:t>
            </w:r>
            <w:r>
              <w:rPr>
                <w:rFonts w:ascii="Times New Roman" w:cs="Times New Roman" w:eastAsia="Times New Roman" w:hAnsi="Times New Roman"/>
                <w:b w:val="false"/>
                <w:bCs w:val="false"/>
                <w:i w:val="false"/>
                <w:iCs w:val="false"/>
                <w:sz w:val="24"/>
                <w:szCs w:val="24"/>
              </w:rPr>
              <w:t xml:space="preserve"> — </w:t>
            </w:r>
            <w:r>
              <w:rPr>
                <w:rFonts w:ascii="Times New Roman" w:cs="Times New Roman" w:eastAsia="Times New Roman" w:hAnsi="Times New Roman"/>
                <w:b w:val="false"/>
                <w:bCs w:val="false"/>
                <w:i w:val="false"/>
                <w:iCs w:val="false"/>
                <w:sz w:val="24"/>
                <w:szCs w:val="24"/>
                <w:highlight w:val="yellow"/>
              </w:rPr>
              <w:t xml:space="preserve">Tổng Giám đốc Công ty</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1. Mục đích và phạm vi</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Tài liệu này phân loại từng tính năng xử lý dữ liệu cá nhân bằng trí tuệ nhân tạo của </w:t>
      </w:r>
      <w:r>
        <w:rPr>
          <w:rFonts w:ascii="Times New Roman" w:cs="Times New Roman" w:eastAsia="Times New Roman" w:hAnsi="Times New Roman"/>
          <w:b w:val="false"/>
          <w:bCs w:val="false"/>
          <w:i w:val="false"/>
          <w:iCs w:val="false"/>
          <w:sz w:val="26"/>
          <w:szCs w:val="26"/>
          <w:highlight w:val="yellow"/>
        </w:rPr>
        <w:t xml:space="preserve">Hệ thống AI Vision VX (mô phỏng)</w:t>
      </w:r>
      <w:r>
        <w:rPr>
          <w:rFonts w:ascii="Times New Roman" w:cs="Times New Roman" w:eastAsia="Times New Roman" w:hAnsi="Times New Roman"/>
          <w:b w:val="false"/>
          <w:bCs w:val="false"/>
          <w:i w:val="false"/>
          <w:iCs w:val="false"/>
          <w:sz w:val="26"/>
          <w:szCs w:val="26"/>
        </w:rPr>
        <w:t xml:space="preserve"> theo mức độ rủi ro đối với quyền, lợi ích của chủ thể dữ liệu, và xác định biện pháp bắt buộc cho từng mức, theo khoản 4 Điều 30 Luật Bảo vệ dữ liệu cá nhân số 91/2025/QH15.</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Đơn vị phân loại là </w:t>
      </w:r>
      <w:r>
        <w:rPr>
          <w:rFonts w:ascii="Times New Roman" w:cs="Times New Roman" w:eastAsia="Times New Roman" w:hAnsi="Times New Roman"/>
          <w:b/>
          <w:bCs/>
          <w:i w:val="false"/>
          <w:iCs w:val="false"/>
          <w:sz w:val="26"/>
          <w:szCs w:val="26"/>
        </w:rPr>
        <w:t xml:space="preserve">tính năng trong một bối cảnh sử dụng</w:t>
      </w:r>
      <w:r>
        <w:rPr>
          <w:rFonts w:ascii="Times New Roman" w:cs="Times New Roman" w:eastAsia="Times New Roman" w:hAnsi="Times New Roman"/>
          <w:b w:val="false"/>
          <w:bCs w:val="false"/>
          <w:i w:val="false"/>
          <w:iCs w:val="false"/>
          <w:sz w:val="26"/>
          <w:szCs w:val="26"/>
        </w:rPr>
        <w:t xml:space="preserve">. Cùng một thuật toán (ví dụ nhận diện khuôn mặt) có thể ở mức khác nhau tùy nơi lắp đặt, đối tượng bị nhận diện và hậu quả của kết quả.</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Thang phân loại tại mục 2 là thang nội bộ của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Pháp luật hiện hành chưa quy định các mức rủi ro cụ thể; thang này sẽ được điều chỉnh khi có quy định.</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2. Thang phân loại</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2.1. Các yếu tố đánh giá</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63"/>
        <w:gridCol w:w="1710"/>
        <w:gridCol w:w="4463"/>
        <w:gridCol w:w="2289"/>
      </w:tblGrid>
      <w:tr>
        <w:trPr>
          <w:cantSplit/>
          <w:tblHeader/>
        </w:trPr>
        <w:tc>
          <w:tcPr>
            <w:tcW w:type="dxa" w:w="56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Mã</w:t>
            </w:r>
          </w:p>
        </w:tc>
        <w:tc>
          <w:tcPr>
            <w:tcW w:type="dxa" w:w="171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Yếu tố</w:t>
            </w:r>
          </w:p>
        </w:tc>
        <w:tc>
          <w:tcPr>
            <w:tcW w:type="dxa" w:w="446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Câu hỏi</w:t>
            </w:r>
          </w:p>
        </w:tc>
        <w:tc>
          <w:tcPr>
            <w:tcW w:type="dxa" w:w="228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Căn cứ tham chiếu</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Y1</w:t>
            </w:r>
          </w:p>
        </w:tc>
        <w:tc>
          <w:tcPr>
            <w:tcW w:type="dxa" w:w="17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Nhận dạng</w:t>
            </w:r>
          </w:p>
        </w:tc>
        <w:tc>
          <w:tcPr>
            <w:tcW w:type="dxa" w:w="44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Tính năng có xác định danh tính một người cụ thể không?</w:t>
            </w:r>
          </w:p>
        </w:tc>
        <w:tc>
          <w:tcPr>
            <w:tcW w:type="dxa" w:w="228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Đ2.1; NĐ 356 Đ10.2</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Y2</w:t>
            </w:r>
          </w:p>
        </w:tc>
        <w:tc>
          <w:tcPr>
            <w:tcW w:type="dxa" w:w="17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Loại dữ liệu</w:t>
            </w:r>
          </w:p>
        </w:tc>
        <w:tc>
          <w:tcPr>
            <w:tcW w:type="dxa" w:w="44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Có xử lý dữ liệu sinh trắc học, dữ liệu vị trí, ảnh thẻ căn cước, hoặc suy luận dữ liệu nhạy cảm khác không?</w:t>
            </w:r>
          </w:p>
        </w:tc>
        <w:tc>
          <w:tcPr>
            <w:tcW w:type="dxa" w:w="228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Đ31; NĐ 356 Đ4.1</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Y3</w:t>
            </w:r>
          </w:p>
        </w:tc>
        <w:tc>
          <w:tcPr>
            <w:tcW w:type="dxa" w:w="17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Đối tượng</w:t>
            </w:r>
          </w:p>
        </w:tc>
        <w:tc>
          <w:tcPr>
            <w:tcW w:type="dxa" w:w="44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Chủ thể có phải trẻ em, người lao động (quan hệ phụ thuộc), hoặc người qua đường chưa biết mình bị nhận diện?</w:t>
            </w:r>
          </w:p>
        </w:tc>
        <w:tc>
          <w:tcPr>
            <w:tcW w:type="dxa" w:w="228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Đ24, Đ25.3, Đ32</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Y4</w:t>
            </w:r>
          </w:p>
        </w:tc>
        <w:tc>
          <w:tcPr>
            <w:tcW w:type="dxa" w:w="17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Quyết định tự động</w:t>
            </w:r>
          </w:p>
        </w:tc>
        <w:tc>
          <w:tcPr>
            <w:tcW w:type="dxa" w:w="44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Kết quả có tự động dẫn tới hệ quả cho cá nhân (từ chối ra vào, trừ công, kỷ luật, cảnh báo an ninh) không?</w:t>
            </w:r>
          </w:p>
        </w:tc>
        <w:tc>
          <w:tcPr>
            <w:tcW w:type="dxa" w:w="228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Đ10.3; NĐ 330 Đ67.3.b</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Y5</w:t>
            </w:r>
          </w:p>
        </w:tc>
        <w:tc>
          <w:tcPr>
            <w:tcW w:type="dxa" w:w="17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Bối cảnh</w:t>
            </w:r>
          </w:p>
        </w:tc>
        <w:tc>
          <w:tcPr>
            <w:tcW w:type="dxa" w:w="44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Nơi lắp đặt là khu vực công cộng, khu vực cung cấp dịch vụ cho khách, nơi làm việc hay trường học?</w:t>
            </w:r>
          </w:p>
        </w:tc>
        <w:tc>
          <w:tcPr>
            <w:tcW w:type="dxa" w:w="228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Đ32; NĐ 330 Đ71.2.a</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Y6</w:t>
            </w:r>
          </w:p>
        </w:tc>
        <w:tc>
          <w:tcPr>
            <w:tcW w:type="dxa" w:w="17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Tích lũy</w:t>
            </w:r>
          </w:p>
        </w:tc>
        <w:tc>
          <w:tcPr>
            <w:tcW w:type="dxa" w:w="44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Hệ thống có tổng hợp dữ liệu thành hồ sơ, hành trình, thói quen của một người không?</w:t>
            </w:r>
          </w:p>
        </w:tc>
        <w:tc>
          <w:tcPr>
            <w:tcW w:type="dxa" w:w="228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Đ4.1.c, Đ4.1.h</w:t>
            </w:r>
          </w:p>
        </w:tc>
      </w:tr>
      <w:tr>
        <w:trPr>
          <w:cantSplit/>
          <w:tblHeader w:val="false"/>
        </w:trPr>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Y7</w:t>
            </w:r>
          </w:p>
        </w:tc>
        <w:tc>
          <w:tcPr>
            <w:tcW w:type="dxa" w:w="171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Lựa chọn của chủ thể</w:t>
            </w:r>
          </w:p>
        </w:tc>
        <w:tc>
          <w:tcPr>
            <w:tcW w:type="dxa" w:w="44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Chủ thể có thể từ chối mà vẫn được phục vụ bằng cách khác không?</w:t>
            </w:r>
          </w:p>
        </w:tc>
        <w:tc>
          <w:tcPr>
            <w:tcW w:type="dxa" w:w="228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Đ9.2; NĐ 356 Đ10.3</w:t>
            </w: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2.2. Các mức rủi ro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415"/>
        <w:gridCol w:w="4367"/>
        <w:gridCol w:w="3243"/>
      </w:tblGrid>
      <w:tr>
        <w:trPr>
          <w:cantSplit/>
          <w:tblHeader/>
        </w:trPr>
        <w:tc>
          <w:tcPr>
            <w:tcW w:type="dxa" w:w="14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Mức</w:t>
            </w:r>
          </w:p>
        </w:tc>
        <w:tc>
          <w:tcPr>
            <w:tcW w:type="dxa" w:w="436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Tiêu chí (chỉ cần một tiêu chí là xếp vào mức đó)</w:t>
            </w:r>
          </w:p>
        </w:tc>
        <w:tc>
          <w:tcPr>
            <w:tcW w:type="dxa" w:w="324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Nguyên tắc cung cấp</w:t>
            </w:r>
          </w:p>
        </w:tc>
      </w:tr>
      <w:tr>
        <w:trPr>
          <w:cantSplit/>
          <w:tblHeader w:val="false"/>
        </w:trPr>
        <w:tc>
          <w:tcPr>
            <w:tcW w:type="dxa" w:w="14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T — Thấp</w:t>
            </w:r>
          </w:p>
        </w:tc>
        <w:tc>
          <w:tcPr>
            <w:tcW w:type="dxa" w:w="43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Không xác định danh tính (Y1 = không); xử lý ẩn danh tại thiết bị; không lưu ảnh có thể nhận ra người; chỉ xuất số liệu tổng hợp; không quyết định tự động về cá nhân</w:t>
            </w:r>
          </w:p>
        </w:tc>
        <w:tc>
          <w:tcPr>
            <w:tcW w:type="dxa" w:w="32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Được bật mặc định nếu đã cấu hình ẩn danh</w:t>
            </w:r>
          </w:p>
        </w:tc>
      </w:tr>
      <w:tr>
        <w:trPr>
          <w:cantSplit/>
          <w:tblHeader w:val="false"/>
        </w:trPr>
        <w:tc>
          <w:tcPr>
            <w:tcW w:type="dxa" w:w="14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TB — Trung bình</w:t>
            </w:r>
          </w:p>
        </w:tc>
        <w:tc>
          <w:tcPr>
            <w:tcW w:type="dxa" w:w="43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Xác định cá nhân qua dữ liệu cơ bản (biển số, hình ảnh) đối với người đã đăng ký hoặc đã được thông báo; không dùng sinh trắc học; quyết định tự động có hệ quả nhỏ và có người trực xử lý ngay</w:t>
            </w:r>
          </w:p>
        </w:tc>
        <w:tc>
          <w:tcPr>
            <w:tcW w:type="dxa" w:w="32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Được cung cấp; khách hàng bật có chủ đích</w:t>
            </w:r>
          </w:p>
        </w:tc>
      </w:tr>
      <w:tr>
        <w:trPr>
          <w:cantSplit/>
          <w:tblHeader w:val="false"/>
        </w:trPr>
        <w:tc>
          <w:tcPr>
            <w:tcW w:type="dxa" w:w="14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C — Cao</w:t>
            </w:r>
          </w:p>
        </w:tc>
        <w:tc>
          <w:tcPr>
            <w:tcW w:type="dxa" w:w="43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Có một trong các yếu tố: xử lý sinh trắc học để nhận dạng hoặc xác thực (Y2); chủ thể là trẻ em (Y3); quyết định tự động ảnh hưởng quyền, lợi ích như tiền lương, kỷ luật, từ chối tiếp cận (Y4); dựng hành trình, hồ sơ của một người (Y6); danh sách theo dõi (danh sách đen)</w:t>
            </w:r>
          </w:p>
        </w:tc>
        <w:tc>
          <w:tcPr>
            <w:tcW w:type="dxa" w:w="32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Tắt mặc định</w:t>
            </w:r>
            <w:r>
              <w:rPr>
                <w:rFonts w:ascii="Times New Roman" w:cs="Times New Roman" w:eastAsia="Times New Roman" w:hAnsi="Times New Roman"/>
                <w:b w:val="false"/>
                <w:bCs w:val="false"/>
                <w:i w:val="false"/>
                <w:iCs w:val="false"/>
                <w:sz w:val="24"/>
                <w:szCs w:val="24"/>
              </w:rPr>
              <w:t xml:space="preserve">; chỉ bật sau khi khách hàng xác nhận bằng văn bản đã đáp ứng các biện pháp mức C tại mục 4</w:t>
            </w:r>
          </w:p>
        </w:tc>
      </w:tr>
      <w:tr>
        <w:trPr>
          <w:cantSplit/>
          <w:tblHeader w:val="false"/>
        </w:trPr>
        <w:tc>
          <w:tcPr>
            <w:tcW w:type="dxa" w:w="14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4"/>
                <w:szCs w:val="24"/>
              </w:rPr>
              <w:t xml:space="preserve">KCN — Không chấp nhận</w:t>
            </w:r>
          </w:p>
        </w:tc>
        <w:tc>
          <w:tcPr>
            <w:tcW w:type="dxa" w:w="436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Nhận diện khuôn mặt tự động trên camera công cộng để lập hồ sơ, phân tích hành vi, mục đích thương mại với người </w:t>
            </w:r>
            <w:r>
              <w:rPr>
                <w:rFonts w:ascii="Times New Roman" w:cs="Times New Roman" w:eastAsia="Times New Roman" w:hAnsi="Times New Roman"/>
                <w:b/>
                <w:bCs/>
                <w:i w:val="false"/>
                <w:iCs w:val="false"/>
                <w:sz w:val="24"/>
                <w:szCs w:val="24"/>
              </w:rPr>
              <w:t xml:space="preserve">chưa đồng ý</w:t>
            </w:r>
            <w:r>
              <w:rPr>
                <w:rFonts w:ascii="Times New Roman" w:cs="Times New Roman" w:eastAsia="Times New Roman" w:hAnsi="Times New Roman"/>
                <w:b w:val="false"/>
                <w:bCs w:val="false"/>
                <w:i w:val="false"/>
                <w:iCs w:val="false"/>
                <w:sz w:val="24"/>
                <w:szCs w:val="24"/>
              </w:rPr>
              <w:t xml:space="preserve">; suy luận nguồn gốc chủng tộc, dân tộc, quan điểm chính trị, tôn giáo, sức khỏe, xu hướng tình dục từ hình ảnh; chấm điểm cảm xúc, thái độ của từng người lao động, học sinh để đánh giá; mọi mục đích thuộc khoản 5 Điều 30 Luật 91</w:t>
            </w:r>
          </w:p>
        </w:tc>
        <w:tc>
          <w:tcPr>
            <w:tcW w:type="dxa" w:w="324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4"/>
                <w:szCs w:val="24"/>
              </w:rPr>
              <w:t xml:space="preserve">Không phát triển, không cung cấp, không hỗ trợ cấu hình</w:t>
            </w:r>
            <w:r>
              <w:rPr>
                <w:rFonts w:ascii="Times New Roman" w:cs="Times New Roman" w:eastAsia="Times New Roman" w:hAnsi="Times New Roman"/>
                <w:b w:val="false"/>
                <w:bCs w:val="false"/>
                <w:i w:val="false"/>
                <w:iCs w:val="false"/>
                <w:sz w:val="24"/>
                <w:szCs w:val="24"/>
              </w:rPr>
              <w:t xml:space="preserve">, trừ khi có căn cứ pháp luật riêng được pháp chế xác nhận bằng văn bản</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Quy tắc áp dụng: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Mức của tính năng là </w:t>
      </w:r>
      <w:r>
        <w:rPr>
          <w:rFonts w:ascii="Times New Roman" w:cs="Times New Roman" w:eastAsia="Times New Roman" w:hAnsi="Times New Roman"/>
          <w:b/>
          <w:bCs/>
          <w:i w:val="false"/>
          <w:iCs w:val="false"/>
          <w:sz w:val="26"/>
          <w:szCs w:val="26"/>
        </w:rPr>
        <w:t xml:space="preserve">mức cao nhất</w:t>
      </w:r>
      <w:r>
        <w:rPr>
          <w:rFonts w:ascii="Times New Roman" w:cs="Times New Roman" w:eastAsia="Times New Roman" w:hAnsi="Times New Roman"/>
          <w:b w:val="false"/>
          <w:bCs w:val="false"/>
          <w:i w:val="false"/>
          <w:iCs w:val="false"/>
          <w:sz w:val="26"/>
          <w:szCs w:val="26"/>
        </w:rPr>
        <w:t xml:space="preserve"> mà bất kỳ yếu tố nào chạm tới.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Bối cảnh triển khai của khách hàng chỉ có thể </w:t>
      </w:r>
      <w:r>
        <w:rPr>
          <w:rFonts w:ascii="Times New Roman" w:cs="Times New Roman" w:eastAsia="Times New Roman" w:hAnsi="Times New Roman"/>
          <w:b/>
          <w:bCs/>
          <w:i w:val="false"/>
          <w:iCs w:val="false"/>
          <w:sz w:val="26"/>
          <w:szCs w:val="26"/>
        </w:rPr>
        <w:t xml:space="preserve">nâng</w:t>
      </w:r>
      <w:r>
        <w:rPr>
          <w:rFonts w:ascii="Times New Roman" w:cs="Times New Roman" w:eastAsia="Times New Roman" w:hAnsi="Times New Roman"/>
          <w:b w:val="false"/>
          <w:bCs w:val="false"/>
          <w:i w:val="false"/>
          <w:iCs w:val="false"/>
          <w:sz w:val="26"/>
          <w:szCs w:val="26"/>
        </w:rPr>
        <w:t xml:space="preserve"> mức, không hạ mức.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Tính năng xếp mức KCN được ghi vào danh sách tính năng cấm trong tài liệu bán hàng và tài liệu đối tác.</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3. Bảng phân loại tính năng</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530"/>
        <w:gridCol w:w="1302"/>
        <w:gridCol w:w="1494"/>
        <w:gridCol w:w="1297"/>
        <w:gridCol w:w="1197"/>
        <w:gridCol w:w="1527"/>
        <w:gridCol w:w="1678"/>
      </w:tblGrid>
      <w:tr>
        <w:trPr>
          <w:cantSplit/>
          <w:tblHeader/>
        </w:trPr>
        <w:tc>
          <w:tcPr>
            <w:tcW w:type="dxa" w:w="5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w:t>
            </w:r>
          </w:p>
        </w:tc>
        <w:tc>
          <w:tcPr>
            <w:tcW w:type="dxa" w:w="130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Tính năng</w:t>
            </w:r>
          </w:p>
        </w:tc>
        <w:tc>
          <w:tcPr>
            <w:tcW w:type="dxa" w:w="149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Dữ liệu xử lý</w:t>
            </w:r>
          </w:p>
        </w:tc>
        <w:tc>
          <w:tcPr>
            <w:tcW w:type="dxa" w:w="129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Quyết định tự động</w:t>
            </w:r>
          </w:p>
        </w:tc>
        <w:tc>
          <w:tcPr>
            <w:tcW w:type="dxa" w:w="119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Mức</w:t>
            </w:r>
          </w:p>
        </w:tc>
        <w:tc>
          <w:tcPr>
            <w:tcW w:type="dxa" w:w="152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Lý do chính</w:t>
            </w:r>
          </w:p>
        </w:tc>
        <w:tc>
          <w:tcPr>
            <w:tcW w:type="dxa" w:w="167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0"/>
                <w:szCs w:val="20"/>
              </w:rPr>
              <w:t xml:space="preserve">Cấu hình mặc định, điều kiện</w:t>
            </w:r>
          </w:p>
        </w:tc>
      </w:tr>
      <w:tr>
        <w:trPr>
          <w:cantSplit/>
          <w:tblHeader w:val="false"/>
        </w:trPr>
        <w:tc>
          <w:tcPr>
            <w:tcW w:type="dxa" w:w="5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F1</w:t>
            </w:r>
          </w:p>
        </w:tc>
        <w:tc>
          <w:tcPr>
            <w:tcW w:type="dxa" w:w="13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Đếm người, bản đồ nhiệt ẩn danh</w:t>
            </w:r>
          </w:p>
        </w:tc>
        <w:tc>
          <w:tcPr>
            <w:tcW w:type="dxa" w:w="14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Hình ảnh tạm thời tại thiết bị; đầu ra là số đếm</w:t>
            </w:r>
          </w:p>
        </w:tc>
        <w:tc>
          <w:tcPr>
            <w:tcW w:type="dxa" w:w="12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Không</w:t>
            </w:r>
          </w:p>
        </w:tc>
        <w:tc>
          <w:tcPr>
            <w:tcW w:type="dxa" w:w="11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0"/>
                <w:szCs w:val="20"/>
              </w:rPr>
              <w:t xml:space="preserve">T</w:t>
            </w:r>
          </w:p>
        </w:tc>
        <w:tc>
          <w:tcPr>
            <w:tcW w:type="dxa" w:w="15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Không nhận dạng; không lưu ảnh (Luật 91 Đ2.1)</w:t>
            </w:r>
          </w:p>
        </w:tc>
        <w:tc>
          <w:tcPr>
            <w:tcW w:type="dxa" w:w="16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Bật được mặc định nếu xử lý tại thiết bị, không lưu ảnh, không nhận diện lại người qua các camera. Nếu theo dấu từng người qua nhiều camera: xếp lại theo F9</w:t>
            </w:r>
          </w:p>
        </w:tc>
      </w:tr>
      <w:tr>
        <w:trPr>
          <w:cantSplit/>
          <w:tblHeader w:val="false"/>
        </w:trPr>
        <w:tc>
          <w:tcPr>
            <w:tcW w:type="dxa" w:w="5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F2</w:t>
            </w:r>
          </w:p>
        </w:tc>
        <w:tc>
          <w:tcPr>
            <w:tcW w:type="dxa" w:w="13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Nhận diện biển số bãi xe</w:t>
            </w:r>
          </w:p>
        </w:tc>
        <w:tc>
          <w:tcPr>
            <w:tcW w:type="dxa" w:w="14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Biển số, ảnh biển số (NĐ 356 Đ3.7)</w:t>
            </w:r>
          </w:p>
        </w:tc>
        <w:tc>
          <w:tcPr>
            <w:tcW w:type="dxa" w:w="12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Có — mở/không mở barie</w:t>
            </w:r>
          </w:p>
        </w:tc>
        <w:tc>
          <w:tcPr>
            <w:tcW w:type="dxa" w:w="11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0"/>
                <w:szCs w:val="20"/>
              </w:rPr>
              <w:t xml:space="preserve">TB</w:t>
            </w:r>
          </w:p>
        </w:tc>
        <w:tc>
          <w:tcPr>
            <w:tcW w:type="dxa" w:w="15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Dữ liệu cơ bản; hệ quả nhỏ, có nhân viên bãi xe xử lý</w:t>
            </w:r>
          </w:p>
        </w:tc>
        <w:tc>
          <w:tcPr>
            <w:tcW w:type="dxa" w:w="16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Thời hạn lưu xe vãng lai ngắn; không dựng hành trình. Tra biển số qua nhiều bãi, nhiều điểm: nâng lên </w:t>
            </w:r>
            <w:r>
              <w:rPr>
                <w:rFonts w:ascii="Times New Roman" w:cs="Times New Roman" w:eastAsia="Times New Roman" w:hAnsi="Times New Roman"/>
                <w:b/>
                <w:bCs/>
                <w:i w:val="false"/>
                <w:iCs w:val="false"/>
                <w:sz w:val="20"/>
                <w:szCs w:val="20"/>
              </w:rPr>
              <w:t xml:space="preserve">C</w:t>
            </w:r>
            <w:r>
              <w:rPr>
                <w:rFonts w:ascii="Times New Roman" w:cs="Times New Roman" w:eastAsia="Times New Roman" w:hAnsi="Times New Roman"/>
                <w:b w:val="false"/>
                <w:bCs w:val="false"/>
                <w:i w:val="false"/>
                <w:iCs w:val="false"/>
                <w:sz w:val="20"/>
                <w:szCs w:val="20"/>
              </w:rPr>
              <w:t xml:space="preserve"> (V4)</w:t>
            </w:r>
          </w:p>
        </w:tc>
      </w:tr>
      <w:tr>
        <w:trPr>
          <w:cantSplit/>
          <w:tblHeader w:val="false"/>
        </w:trPr>
        <w:tc>
          <w:tcPr>
            <w:tcW w:type="dxa" w:w="5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F3</w:t>
            </w:r>
          </w:p>
        </w:tc>
        <w:tc>
          <w:tcPr>
            <w:tcW w:type="dxa" w:w="13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Kiểm soát ra vào bằng khuôn mặt</w:t>
            </w:r>
          </w:p>
        </w:tc>
        <w:tc>
          <w:tcPr>
            <w:tcW w:type="dxa" w:w="14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Ảnh đăng ký, template (Luật 91 Đ31.2; NĐ 356 Đ4.1.đ)</w:t>
            </w:r>
          </w:p>
        </w:tc>
        <w:tc>
          <w:tcPr>
            <w:tcW w:type="dxa" w:w="12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Có — mở/không mở cửa</w:t>
            </w:r>
          </w:p>
        </w:tc>
        <w:tc>
          <w:tcPr>
            <w:tcW w:type="dxa" w:w="11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0"/>
                <w:szCs w:val="20"/>
              </w:rPr>
              <w:t xml:space="preserve">C</w:t>
            </w:r>
          </w:p>
        </w:tc>
        <w:tc>
          <w:tcPr>
            <w:tcW w:type="dxa" w:w="15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Sinh trắc học; người lao động là bên yếu thế (Luật 91 Đ25.3)</w:t>
            </w:r>
          </w:p>
        </w:tc>
        <w:tc>
          <w:tcPr>
            <w:tcW w:type="dxa" w:w="16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Tắt mặc định; phương thức thay thế (thẻ, PIN, QR) bắt buộc chạy song song; liveness bật</w:t>
            </w:r>
          </w:p>
        </w:tc>
      </w:tr>
      <w:tr>
        <w:trPr>
          <w:cantSplit/>
          <w:tblHeader w:val="false"/>
        </w:trPr>
        <w:tc>
          <w:tcPr>
            <w:tcW w:type="dxa" w:w="5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F4</w:t>
            </w:r>
          </w:p>
        </w:tc>
        <w:tc>
          <w:tcPr>
            <w:tcW w:type="dxa" w:w="13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Chấm công bằng khuôn mặt</w:t>
            </w:r>
          </w:p>
        </w:tc>
        <w:tc>
          <w:tcPr>
            <w:tcW w:type="dxa" w:w="14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Như F3; nhật ký chấm công</w:t>
            </w:r>
          </w:p>
        </w:tc>
        <w:tc>
          <w:tcPr>
            <w:tcW w:type="dxa" w:w="12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Có — ghi công, đi muộn, vắng</w:t>
            </w:r>
          </w:p>
        </w:tc>
        <w:tc>
          <w:tcPr>
            <w:tcW w:type="dxa" w:w="11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0"/>
                <w:szCs w:val="20"/>
              </w:rPr>
              <w:t xml:space="preserve">C</w:t>
            </w:r>
          </w:p>
        </w:tc>
        <w:tc>
          <w:tcPr>
            <w:tcW w:type="dxa" w:w="15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Sinh trắc học + quyết định ảnh hưởng tiền lương, kỷ luật (NĐ 330 Đ67.3.b)</w:t>
            </w:r>
          </w:p>
        </w:tc>
        <w:tc>
          <w:tcPr>
            <w:tcW w:type="dxa" w:w="16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Như F3; kết quả bất lợi phải qua người xem xét lại trước khi dùng để trừ lương, kỷ luật (V3)</w:t>
            </w:r>
          </w:p>
        </w:tc>
      </w:tr>
      <w:tr>
        <w:trPr>
          <w:cantSplit/>
          <w:tblHeader w:val="false"/>
        </w:trPr>
        <w:tc>
          <w:tcPr>
            <w:tcW w:type="dxa" w:w="5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F5</w:t>
            </w:r>
          </w:p>
        </w:tc>
        <w:tc>
          <w:tcPr>
            <w:tcW w:type="dxa" w:w="13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Danh sách đen (cảnh báo người trong danh sách theo dõi)</w:t>
            </w:r>
          </w:p>
        </w:tc>
        <w:tc>
          <w:tcPr>
            <w:tcW w:type="dxa" w:w="14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Template của người trong danh sách; ảnh mọi người đi qua camera để so khớp</w:t>
            </w:r>
          </w:p>
        </w:tc>
        <w:tc>
          <w:tcPr>
            <w:tcW w:type="dxa" w:w="12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Có — cảnh báo an ninh</w:t>
            </w:r>
          </w:p>
        </w:tc>
        <w:tc>
          <w:tcPr>
            <w:tcW w:type="dxa" w:w="11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0"/>
                <w:szCs w:val="20"/>
              </w:rPr>
              <w:t xml:space="preserve">C</w:t>
            </w:r>
            <w:r>
              <w:rPr>
                <w:rFonts w:ascii="Times New Roman" w:cs="Times New Roman" w:eastAsia="Times New Roman" w:hAnsi="Times New Roman"/>
                <w:b w:val="false"/>
                <w:bCs w:val="false"/>
                <w:i w:val="false"/>
                <w:iCs w:val="false"/>
                <w:sz w:val="20"/>
                <w:szCs w:val="20"/>
              </w:rPr>
              <w:t xml:space="preserve"> (có thể </w:t>
            </w:r>
            <w:r>
              <w:rPr>
                <w:rFonts w:ascii="Times New Roman" w:cs="Times New Roman" w:eastAsia="Times New Roman" w:hAnsi="Times New Roman"/>
                <w:b/>
                <w:bCs/>
                <w:i w:val="false"/>
                <w:iCs w:val="false"/>
                <w:sz w:val="20"/>
                <w:szCs w:val="20"/>
              </w:rPr>
              <w:t xml:space="preserve">KCN</w:t>
            </w:r>
            <w:r>
              <w:rPr>
                <w:rFonts w:ascii="Times New Roman" w:cs="Times New Roman" w:eastAsia="Times New Roman" w:hAnsi="Times New Roman"/>
                <w:b w:val="false"/>
                <w:bCs w:val="false"/>
                <w:i w:val="false"/>
                <w:iCs w:val="false"/>
                <w:sz w:val="20"/>
                <w:szCs w:val="20"/>
              </w:rPr>
              <w:t xml:space="preserve"> — xem lý do)</w:t>
            </w:r>
          </w:p>
        </w:tc>
        <w:tc>
          <w:tcPr>
            <w:tcW w:type="dxa" w:w="15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Nhận diện người chưa đồng ý; chỉ có thể dựa vào Luật 91 Đ19.1.a và bên xử lý phải tự chứng minh (V7)</w:t>
            </w:r>
          </w:p>
        </w:tc>
        <w:tc>
          <w:tcPr>
            <w:tcW w:type="dxa" w:w="16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Tắt mặc định; chỉ bật khi khách hàng có quy chế lập, gỡ danh sách, căn cứ cụ thể cho từng người (biên bản, trình báo), cơ chế giám sát theo Luật 91 Đ19.2. Không có các điều kiện này: </w:t>
            </w:r>
            <w:r>
              <w:rPr>
                <w:rFonts w:ascii="Times New Roman" w:cs="Times New Roman" w:eastAsia="Times New Roman" w:hAnsi="Times New Roman"/>
                <w:b/>
                <w:bCs/>
                <w:i w:val="false"/>
                <w:iCs w:val="false"/>
                <w:sz w:val="20"/>
                <w:szCs w:val="20"/>
              </w:rPr>
              <w:t xml:space="preserve">KCN</w:t>
            </w:r>
          </w:p>
        </w:tc>
      </w:tr>
      <w:tr>
        <w:trPr>
          <w:cantSplit/>
          <w:tblHeader w:val="false"/>
        </w:trPr>
        <w:tc>
          <w:tcPr>
            <w:tcW w:type="dxa" w:w="5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F6</w:t>
            </w:r>
          </w:p>
        </w:tc>
        <w:tc>
          <w:tcPr>
            <w:tcW w:type="dxa" w:w="13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Nhận diện khách VIP, khách quay lại trên camera tại cửa hàng, khu vực công cộng</w:t>
            </w:r>
          </w:p>
        </w:tc>
        <w:tc>
          <w:tcPr>
            <w:tcW w:type="dxa" w:w="14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Template khách hàng; ảnh mọi người đi qua</w:t>
            </w:r>
          </w:p>
        </w:tc>
        <w:tc>
          <w:tcPr>
            <w:tcW w:type="dxa" w:w="12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Có — thông báo cho nhân viên</w:t>
            </w:r>
          </w:p>
        </w:tc>
        <w:tc>
          <w:tcPr>
            <w:tcW w:type="dxa" w:w="11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0"/>
                <w:szCs w:val="20"/>
              </w:rPr>
              <w:t xml:space="preserve">C</w:t>
            </w:r>
            <w:r>
              <w:rPr>
                <w:rFonts w:ascii="Times New Roman" w:cs="Times New Roman" w:eastAsia="Times New Roman" w:hAnsi="Times New Roman"/>
                <w:b w:val="false"/>
                <w:bCs w:val="false"/>
                <w:i w:val="false"/>
                <w:iCs w:val="false"/>
                <w:sz w:val="20"/>
                <w:szCs w:val="20"/>
              </w:rPr>
              <w:t xml:space="preserve"> nếu chỉ nhận diện người </w:t>
            </w:r>
            <w:r>
              <w:rPr>
                <w:rFonts w:ascii="Times New Roman" w:cs="Times New Roman" w:eastAsia="Times New Roman" w:hAnsi="Times New Roman"/>
                <w:b/>
                <w:bCs/>
                <w:i w:val="false"/>
                <w:iCs w:val="false"/>
                <w:sz w:val="20"/>
                <w:szCs w:val="20"/>
              </w:rPr>
              <w:t xml:space="preserve">đã đăng ký và đồng ý</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i w:val="false"/>
                <w:iCs w:val="false"/>
                <w:sz w:val="20"/>
                <w:szCs w:val="20"/>
              </w:rPr>
              <w:t xml:space="preserve">KCN</w:t>
            </w:r>
            <w:r>
              <w:rPr>
                <w:rFonts w:ascii="Times New Roman" w:cs="Times New Roman" w:eastAsia="Times New Roman" w:hAnsi="Times New Roman"/>
                <w:b w:val="false"/>
                <w:bCs w:val="false"/>
                <w:i w:val="false"/>
                <w:iCs w:val="false"/>
                <w:sz w:val="20"/>
                <w:szCs w:val="20"/>
              </w:rPr>
              <w:t xml:space="preserve"> nếu nhận diện mọi người để lập hồ sơ</w:t>
            </w:r>
          </w:p>
        </w:tc>
        <w:tc>
          <w:tcPr>
            <w:tcW w:type="dxa" w:w="15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NĐ 330 Đ71.2.a phạt dùng camera công cộng nhận diện khuôn mặt tự động để lập hồ sơ, mục đích thương mại khi không có đồng ý</w:t>
            </w:r>
          </w:p>
        </w:tc>
        <w:tc>
          <w:tcPr>
            <w:tcW w:type="dxa" w:w="16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Chỉ hỗ trợ chế độ "danh sách người đã đồng ý"; ảnh người không có trong danh sách bị hủy ngay sau so khớp, không lưu template</w:t>
            </w:r>
          </w:p>
        </w:tc>
      </w:tr>
      <w:tr>
        <w:trPr>
          <w:cantSplit/>
          <w:tblHeader w:val="false"/>
        </w:trPr>
        <w:tc>
          <w:tcPr>
            <w:tcW w:type="dxa" w:w="5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F7</w:t>
            </w:r>
          </w:p>
        </w:tc>
        <w:tc>
          <w:tcPr>
            <w:tcW w:type="dxa" w:w="13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Nhận diện cảm xúc, thái độ</w:t>
            </w:r>
          </w:p>
        </w:tc>
        <w:tc>
          <w:tcPr>
            <w:tcW w:type="dxa" w:w="14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Hình ảnh khuôn mặt; kết quả suy luận</w:t>
            </w:r>
          </w:p>
        </w:tc>
        <w:tc>
          <w:tcPr>
            <w:tcW w:type="dxa" w:w="12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Tùy cách dùng</w:t>
            </w:r>
          </w:p>
        </w:tc>
        <w:tc>
          <w:tcPr>
            <w:tcW w:type="dxa" w:w="11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0"/>
                <w:szCs w:val="20"/>
              </w:rPr>
              <w:t xml:space="preserve">KCN</w:t>
            </w:r>
            <w:r>
              <w:rPr>
                <w:rFonts w:ascii="Times New Roman" w:cs="Times New Roman" w:eastAsia="Times New Roman" w:hAnsi="Times New Roman"/>
                <w:b w:val="false"/>
                <w:bCs w:val="false"/>
                <w:i w:val="false"/>
                <w:iCs w:val="false"/>
                <w:sz w:val="20"/>
                <w:szCs w:val="20"/>
              </w:rPr>
              <w:t xml:space="preserve"> khi gắn với từng người để đánh giá, chấm điểm; </w:t>
            </w:r>
            <w:r>
              <w:rPr>
                <w:rFonts w:ascii="Times New Roman" w:cs="Times New Roman" w:eastAsia="Times New Roman" w:hAnsi="Times New Roman"/>
                <w:b/>
                <w:bCs/>
                <w:i w:val="false"/>
                <w:iCs w:val="false"/>
                <w:sz w:val="20"/>
                <w:szCs w:val="20"/>
              </w:rPr>
              <w:t xml:space="preserve">C</w:t>
            </w:r>
            <w:r>
              <w:rPr>
                <w:rFonts w:ascii="Times New Roman" w:cs="Times New Roman" w:eastAsia="Times New Roman" w:hAnsi="Times New Roman"/>
                <w:b w:val="false"/>
                <w:bCs w:val="false"/>
                <w:i w:val="false"/>
                <w:iCs w:val="false"/>
                <w:sz w:val="20"/>
                <w:szCs w:val="20"/>
              </w:rPr>
              <w:t xml:space="preserve"> khi chỉ ra số liệu tổng hợp ẩn danh</w:t>
            </w:r>
          </w:p>
        </w:tc>
        <w:tc>
          <w:tcPr>
            <w:tcW w:type="dxa" w:w="15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Suy luận về đời sống riêng tư (NĐ 356 Đ4.1.c); dịch vụ nêu tại NĐ 356 Đ21.5 (giáo dục), Đ21.6 (phân tích hành vi)</w:t>
            </w:r>
          </w:p>
        </w:tc>
        <w:tc>
          <w:tcPr>
            <w:tcW w:type="dxa" w:w="16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Không cung cấp ở dạng gắn với cá nhân. Dạng tổng hợp: tắt mặc định, không lưu ảnh, cần hồ sơ đánh giá tác động riêng</w:t>
            </w:r>
          </w:p>
        </w:tc>
      </w:tr>
      <w:tr>
        <w:trPr>
          <w:cantSplit/>
          <w:tblHeader w:val="false"/>
        </w:trPr>
        <w:tc>
          <w:tcPr>
            <w:tcW w:type="dxa" w:w="5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F8</w:t>
            </w:r>
          </w:p>
        </w:tc>
        <w:tc>
          <w:tcPr>
            <w:tcW w:type="dxa" w:w="13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Điểm danh học sinh bằng khuôn mặt</w:t>
            </w:r>
          </w:p>
        </w:tc>
        <w:tc>
          <w:tcPr>
            <w:tcW w:type="dxa" w:w="14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Template của trẻ em; nhật ký điểm danh</w:t>
            </w:r>
          </w:p>
        </w:tc>
        <w:tc>
          <w:tcPr>
            <w:tcW w:type="dxa" w:w="12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Có — ghi vắng mặt, thông báo phụ huynh</w:t>
            </w:r>
          </w:p>
        </w:tc>
        <w:tc>
          <w:tcPr>
            <w:tcW w:type="dxa" w:w="11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0"/>
                <w:szCs w:val="20"/>
              </w:rPr>
              <w:t xml:space="preserve">C</w:t>
            </w:r>
          </w:p>
        </w:tc>
        <w:tc>
          <w:tcPr>
            <w:tcW w:type="dxa" w:w="15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Trẻ em (Luật 91 Đ24); dịch vụ giáo dục có yếu tố giám sát (NĐ 356 Đ21.5)</w:t>
            </w:r>
          </w:p>
        </w:tc>
        <w:tc>
          <w:tcPr>
            <w:tcW w:type="dxa" w:w="16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Đồng ý của người đại diện theo pháp luật; phương án thay thế; không kết hợp nhận diện cảm xúc, chấm điểm hành vi; vắng mặt do không nhận diện được phải được giáo viên xác nhận</w:t>
            </w:r>
          </w:p>
        </w:tc>
      </w:tr>
      <w:tr>
        <w:trPr>
          <w:cantSplit/>
          <w:tblHeader w:val="false"/>
        </w:trPr>
        <w:tc>
          <w:tcPr>
            <w:tcW w:type="dxa" w:w="5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F9</w:t>
            </w:r>
          </w:p>
        </w:tc>
        <w:tc>
          <w:tcPr>
            <w:tcW w:type="dxa" w:w="130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Dựng hành trình một người, một xe qua nhiều camera</w:t>
            </w:r>
          </w:p>
        </w:tc>
        <w:tc>
          <w:tcPr>
            <w:tcW w:type="dxa" w:w="14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Template hoặc đặc điểm nhận dạng lại; thời gian, vị trí camera</w:t>
            </w:r>
          </w:p>
        </w:tc>
        <w:tc>
          <w:tcPr>
            <w:tcW w:type="dxa" w:w="12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Không trực tiếp</w:t>
            </w:r>
          </w:p>
        </w:tc>
        <w:tc>
          <w:tcPr>
            <w:tcW w:type="dxa" w:w="119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0"/>
                <w:szCs w:val="20"/>
              </w:rPr>
              <w:t xml:space="preserve">C</w:t>
            </w: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i w:val="false"/>
                <w:iCs w:val="false"/>
                <w:sz w:val="20"/>
                <w:szCs w:val="20"/>
              </w:rPr>
              <w:t xml:space="preserve">KCN</w:t>
            </w:r>
            <w:r>
              <w:rPr>
                <w:rFonts w:ascii="Times New Roman" w:cs="Times New Roman" w:eastAsia="Times New Roman" w:hAnsi="Times New Roman"/>
                <w:b w:val="false"/>
                <w:bCs w:val="false"/>
                <w:i w:val="false"/>
                <w:iCs w:val="false"/>
                <w:sz w:val="20"/>
                <w:szCs w:val="20"/>
              </w:rPr>
              <w:t xml:space="preserve"> khi theo dõi hàng loạt không có căn cứ</w:t>
            </w:r>
          </w:p>
        </w:tc>
        <w:tc>
          <w:tcPr>
            <w:tcW w:type="dxa" w:w="152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Có thể là dữ liệu vị trí nhạy cảm (NĐ 356 Đ4.1.h — V4) và thông tin đời sống riêng tư (Đ4.1.c)</w:t>
            </w:r>
          </w:p>
        </w:tc>
        <w:tc>
          <w:tcPr>
            <w:tcW w:type="dxa" w:w="16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Tắt mặc định; chỉ dùng tra cứu theo vụ việc, có phê duyệt của người được khách hàng ủy quyền, ghi nhật ký từng lần tra cứu; không chạy liên tục</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Tính năng mới được thêm vào bảng theo quy trình tại mục 5.</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4. Biện pháp bắt buộc theo từng mức</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299"/>
        <w:gridCol w:w="563"/>
        <w:gridCol w:w="1778"/>
        <w:gridCol w:w="563"/>
        <w:gridCol w:w="2822"/>
      </w:tblGrid>
      <w:tr>
        <w:trPr>
          <w:cantSplit/>
          <w:tblHeader/>
        </w:trPr>
        <w:tc>
          <w:tcPr>
            <w:tcW w:type="dxa" w:w="329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Biện pháp</w:t>
            </w:r>
          </w:p>
        </w:tc>
        <w:tc>
          <w:tcPr>
            <w:tcW w:type="dxa" w:w="56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T</w:t>
            </w:r>
          </w:p>
        </w:tc>
        <w:tc>
          <w:tcPr>
            <w:tcW w:type="dxa" w:w="177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TB</w:t>
            </w:r>
          </w:p>
        </w:tc>
        <w:tc>
          <w:tcPr>
            <w:tcW w:type="dxa" w:w="56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C</w:t>
            </w:r>
          </w:p>
        </w:tc>
        <w:tc>
          <w:tcPr>
            <w:tcW w:type="dxa" w:w="282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2"/>
                <w:szCs w:val="22"/>
              </w:rPr>
              <w:t xml:space="preserve">Căn cứ</w:t>
            </w:r>
          </w:p>
        </w:tc>
      </w:tr>
      <w:tr>
        <w:trPr>
          <w:cantSplit/>
          <w:tblHeader w:val="false"/>
        </w:trPr>
        <w:tc>
          <w:tcPr>
            <w:tcW w:type="dxa" w:w="32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Ghi tính năng và mức rủi ro vào B1, hồ sơ đánh giá tác động</w:t>
            </w: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17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28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Đ30.4; NĐ 356 Đ19.3</w:t>
            </w:r>
          </w:p>
        </w:tc>
      </w:tr>
      <w:tr>
        <w:trPr>
          <w:cantSplit/>
          <w:tblHeader w:val="false"/>
        </w:trPr>
        <w:tc>
          <w:tcPr>
            <w:tcW w:type="dxa" w:w="32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Hướng dẫn khách hàng đặt biển báo, thông báo cho người bị ghi hình</w:t>
            </w: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17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28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Đ32.2; NĐ 330 Đ71.1.a</w:t>
            </w:r>
          </w:p>
        </w:tc>
      </w:tr>
      <w:tr>
        <w:trPr>
          <w:cantSplit/>
          <w:tblHeader w:val="false"/>
        </w:trPr>
        <w:tc>
          <w:tcPr>
            <w:tcW w:type="dxa" w:w="32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Cấu hình ẩn danh, không lưu ảnh được kiểm tra trước khi phát hành</w:t>
            </w: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17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28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Đ2.1</w:t>
            </w:r>
          </w:p>
        </w:tc>
      </w:tr>
      <w:tr>
        <w:trPr>
          <w:cantSplit/>
          <w:tblHeader w:val="false"/>
        </w:trPr>
        <w:tc>
          <w:tcPr>
            <w:tcW w:type="dxa" w:w="32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Thời hạn lưu cấu hình được, tự động xóa</w:t>
            </w: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7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28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Đ3.3, Đ32.4</w:t>
            </w:r>
          </w:p>
        </w:tc>
      </w:tr>
      <w:tr>
        <w:trPr>
          <w:cantSplit/>
          <w:tblHeader w:val="false"/>
        </w:trPr>
        <w:tc>
          <w:tcPr>
            <w:tcW w:type="dxa" w:w="32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Phân quyền theo vai trò; nhật ký truy cập, xuất dữ liệu</w:t>
            </w: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7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28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Đ30.3</w:t>
            </w:r>
          </w:p>
        </w:tc>
      </w:tr>
      <w:tr>
        <w:trPr>
          <w:cantSplit/>
          <w:tblHeader w:val="false"/>
        </w:trPr>
        <w:tc>
          <w:tcPr>
            <w:tcW w:type="dxa" w:w="32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Tắt mặc định; bật phải qua bước xác nhận có cảnh báo pháp lý</w:t>
            </w: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7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28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Đ6.3 (tinh thần thiết lập mặc định bảo vệ dữ liệu)</w:t>
            </w:r>
          </w:p>
        </w:tc>
      </w:tr>
      <w:tr>
        <w:trPr>
          <w:cantSplit/>
          <w:tblHeader w:val="false"/>
        </w:trPr>
        <w:tc>
          <w:tcPr>
            <w:tcW w:type="dxa" w:w="32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Khách hàng xác nhận bằng văn bản trước khi bật (mẫu tại mục 5.3)</w:t>
            </w: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7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28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Đ37.1.b</w:t>
            </w:r>
          </w:p>
        </w:tc>
      </w:tr>
      <w:tr>
        <w:trPr>
          <w:cantSplit/>
          <w:tblHeader w:val="false"/>
        </w:trPr>
        <w:tc>
          <w:tcPr>
            <w:tcW w:type="dxa" w:w="32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Mẫu thông báo, đồng ý nêu rõ dữ liệu nhạy cảm (K2)</w:t>
            </w: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7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28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Đ6.4</w:t>
            </w:r>
          </w:p>
        </w:tc>
      </w:tr>
      <w:tr>
        <w:trPr>
          <w:cantSplit/>
          <w:tblHeader w:val="false"/>
        </w:trPr>
        <w:tc>
          <w:tcPr>
            <w:tcW w:type="dxa" w:w="32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Phương thức thay thế chạy song song; cơ chế từ chối xử lý tự động</w:t>
            </w: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7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iCs/>
                <w:sz w:val="22"/>
                <w:szCs w:val="22"/>
              </w:rPr>
              <w:t xml:space="preserve">(nếu có quyết định tự động)</w:t>
            </w: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28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Đ10.3; NĐ 330 Đ67.2.b</w:t>
            </w:r>
          </w:p>
        </w:tc>
      </w:tr>
      <w:tr>
        <w:trPr>
          <w:cantSplit/>
          <w:tblHeader w:val="false"/>
        </w:trPr>
        <w:tc>
          <w:tcPr>
            <w:tcW w:type="dxa" w:w="32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Tài liệu giải thích thuật toán (B3)</w:t>
            </w: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7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28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Đ10.3; NĐ 330 Đ67.2.a</w:t>
            </w:r>
          </w:p>
        </w:tc>
      </w:tr>
      <w:tr>
        <w:trPr>
          <w:cantSplit/>
          <w:tblHeader w:val="false"/>
        </w:trPr>
        <w:tc>
          <w:tcPr>
            <w:tcW w:type="dxa" w:w="32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Người xem xét lại kết quả bất lợi; ngưỡng "cần xác minh"</w:t>
            </w: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7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28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330 Đ67.3.b</w:t>
            </w:r>
          </w:p>
        </w:tc>
      </w:tr>
      <w:tr>
        <w:trPr>
          <w:cantSplit/>
          <w:tblHeader w:val="false"/>
        </w:trPr>
        <w:tc>
          <w:tcPr>
            <w:tcW w:type="dxa" w:w="32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Công cụ chỉnh sửa, ẩn danh, xóa hồ sơ nhận dạng</w:t>
            </w: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7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28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Đ10.6; NĐ 330 Đ67.2.c</w:t>
            </w:r>
          </w:p>
        </w:tc>
      </w:tr>
      <w:tr>
        <w:trPr>
          <w:cantSplit/>
          <w:tblHeader w:val="false"/>
        </w:trPr>
        <w:tc>
          <w:tcPr>
            <w:tcW w:type="dxa" w:w="32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Mã hóa template và dữ liệu nhạy cảm khi lưu, truyền; bảo mật vật lý thiết bị; xác thực đa yếu tố cho quản trị</w:t>
            </w: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7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28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Đ31.4.a; NĐ 330 Đ70.1.c–d</w:t>
            </w:r>
          </w:p>
        </w:tc>
      </w:tr>
      <w:tr>
        <w:trPr>
          <w:cantSplit/>
          <w:tblHeader w:val="false"/>
        </w:trPr>
        <w:tc>
          <w:tcPr>
            <w:tcW w:type="dxa" w:w="32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Kiểm thử độ chính xác, sai lệch theo nhóm người, chống giả mạo trước mỗi phiên bản mô hình</w:t>
            </w: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7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28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Đ10.5.a (độ tin cậy của thuật toán)</w:t>
            </w:r>
          </w:p>
        </w:tc>
      </w:tr>
      <w:tr>
        <w:trPr>
          <w:cantSplit/>
          <w:tblHeader w:val="false"/>
        </w:trPr>
        <w:tc>
          <w:tcPr>
            <w:tcW w:type="dxa" w:w="32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Nhận diện 1:N: công bố quy mô danh sách tối đa cho mỗi điểm nhận diện theo ngưỡng; cảnh báo khi vượt; hỗ trợ chế độ 1:1 và chia danh sách theo cửa (B3 mục B.3)</w:t>
            </w: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7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28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Đ3.3; NĐ 330 Đ39.1.b</w:t>
            </w:r>
          </w:p>
        </w:tc>
      </w:tr>
      <w:tr>
        <w:trPr>
          <w:cantSplit/>
          <w:tblHeader w:val="false"/>
        </w:trPr>
        <w:tc>
          <w:tcPr>
            <w:tcW w:type="dxa" w:w="32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Giám sát sau triển khai: thống kê tỷ lệ từ chối nhầm, số khiếu nại, số lần xem xét lại</w:t>
            </w: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17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28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Đ10.5.b</w:t>
            </w:r>
          </w:p>
        </w:tc>
      </w:tr>
      <w:tr>
        <w:trPr>
          <w:cantSplit/>
          <w:tblHeader w:val="false"/>
        </w:trPr>
        <w:tc>
          <w:tcPr>
            <w:tcW w:type="dxa" w:w="329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Đánh giá tuân thủ bảo vệ dữ liệu cá nhân định kỳ 01 năm/lần</w:t>
            </w: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17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56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w:t>
            </w:r>
          </w:p>
        </w:tc>
        <w:tc>
          <w:tcPr>
            <w:tcW w:type="dxa" w:w="28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356 Đ10.5.đ; NĐ 330 Đ67.1</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Mức </w:t>
      </w:r>
      <w:r>
        <w:rPr>
          <w:rFonts w:ascii="Times New Roman" w:cs="Times New Roman" w:eastAsia="Times New Roman" w:hAnsi="Times New Roman"/>
          <w:b/>
          <w:bCs/>
          <w:i w:val="false"/>
          <w:iCs w:val="false"/>
          <w:sz w:val="26"/>
          <w:szCs w:val="26"/>
        </w:rPr>
        <w:t xml:space="preserve">KCN</w:t>
      </w:r>
      <w:r>
        <w:rPr>
          <w:rFonts w:ascii="Times New Roman" w:cs="Times New Roman" w:eastAsia="Times New Roman" w:hAnsi="Times New Roman"/>
          <w:b w:val="false"/>
          <w:bCs w:val="false"/>
          <w:i w:val="false"/>
          <w:iCs w:val="false"/>
          <w:sz w:val="26"/>
          <w:szCs w:val="26"/>
        </w:rPr>
        <w:t xml:space="preserve">: không có biện pháp nào làm tính năng trở nên chấp nhận được; tính năng không được phát triển, không được bán và đại lý không được cấu hình.</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5. Quy trình xét duyệt tính năng mới</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5.1. Khi nào phải xét duyệt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Tính năng mới có xử lý hình ảnh người, biển số hoặc dữ liệu gắn với người.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Thay đổi mô hình AI làm thay đổi dữ liệu đầu vào, đầu ra, hoặc thay đổi đáng kể độ chính xác; </w:t>
      </w:r>
      <w:r>
        <w:rPr>
          <w:rFonts w:ascii="Times New Roman" w:cs="Times New Roman" w:eastAsia="Times New Roman" w:hAnsi="Times New Roman"/>
          <w:b/>
          <w:bCs/>
          <w:i w:val="false"/>
          <w:iCs w:val="false"/>
          <w:sz w:val="26"/>
          <w:szCs w:val="26"/>
        </w:rPr>
        <w:t xml:space="preserve">thay mô hình tự phát triển bằng mô hình mua, nhập từ bên thứ ba</w:t>
      </w:r>
      <w:r>
        <w:rPr>
          <w:rFonts w:ascii="Times New Roman" w:cs="Times New Roman" w:eastAsia="Times New Roman" w:hAnsi="Times New Roman"/>
          <w:b w:val="false"/>
          <w:bCs w:val="false"/>
          <w:i w:val="false"/>
          <w:iCs w:val="false"/>
          <w:sz w:val="26"/>
          <w:szCs w:val="26"/>
        </w:rPr>
        <w:t xml:space="preserve"> (kể cả bên nước ngoài) hoặc ngược lại — thẩm định theo B7 mục 1.1.</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Cung cấp chức năng </w:t>
      </w:r>
      <w:r>
        <w:rPr>
          <w:rFonts w:ascii="Times New Roman" w:cs="Times New Roman" w:eastAsia="Times New Roman" w:hAnsi="Times New Roman"/>
          <w:b/>
          <w:bCs/>
          <w:i w:val="false"/>
          <w:iCs w:val="false"/>
          <w:sz w:val="26"/>
          <w:szCs w:val="26"/>
        </w:rPr>
        <w:t xml:space="preserve">tinh chỉnh mô hình tại chỗ</w:t>
      </w:r>
      <w:r>
        <w:rPr>
          <w:rFonts w:ascii="Times New Roman" w:cs="Times New Roman" w:eastAsia="Times New Roman" w:hAnsi="Times New Roman"/>
          <w:b w:val="false"/>
          <w:bCs w:val="false"/>
          <w:i w:val="false"/>
          <w:iCs w:val="false"/>
          <w:sz w:val="26"/>
          <w:szCs w:val="26"/>
        </w:rPr>
        <w:t xml:space="preserve"> trên dữ liệu của khách hàng (B7 phương án C).</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Mở rộng tính năng cũ sang bối cảnh mới (ví dụ từ văn phòng sang trường học, từ nội bộ sang khu vực công cộng).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Tính năng được yêu cầu riêng cho một khách hàng (dự án tùy biến).</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5.2. Các bước</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830"/>
        <w:gridCol w:w="2083"/>
        <w:gridCol w:w="2600"/>
        <w:gridCol w:w="1270"/>
        <w:gridCol w:w="2242"/>
      </w:tblGrid>
      <w:tr>
        <w:trPr>
          <w:cantSplit/>
          <w:tblHeader/>
        </w:trPr>
        <w:tc>
          <w:tcPr>
            <w:tcW w:type="dxa" w:w="8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Bước</w:t>
            </w:r>
          </w:p>
        </w:tc>
        <w:tc>
          <w:tcPr>
            <w:tcW w:type="dxa" w:w="208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Việc</w:t>
            </w:r>
          </w:p>
        </w:tc>
        <w:tc>
          <w:tcPr>
            <w:tcW w:type="dxa" w:w="260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Người thực hiện</w:t>
            </w:r>
          </w:p>
        </w:tc>
        <w:tc>
          <w:tcPr>
            <w:tcW w:type="dxa" w:w="127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Đầu ra</w:t>
            </w:r>
          </w:p>
        </w:tc>
        <w:tc>
          <w:tcPr>
            <w:tcW w:type="dxa" w:w="224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Thời hạn</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1</w:t>
            </w:r>
          </w:p>
        </w:tc>
        <w:tc>
          <w:tcPr>
            <w:tcW w:type="dxa" w:w="20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Lập phiếu mô tả tính năng (mục 5.4)</w:t>
            </w:r>
          </w:p>
        </w:tc>
        <w:tc>
          <w:tcPr>
            <w:tcW w:type="dxa" w:w="26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Trưởng nhóm sản phẩm</w:t>
            </w:r>
          </w:p>
        </w:tc>
        <w:tc>
          <w:tcPr>
            <w:tcW w:type="dxa" w:w="12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Phiếu</w:t>
            </w:r>
          </w:p>
        </w:tc>
        <w:tc>
          <w:tcPr>
            <w:tcW w:type="dxa" w:w="2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Trước khi lập kế hoạch phát triển</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2</w:t>
            </w:r>
          </w:p>
        </w:tc>
        <w:tc>
          <w:tcPr>
            <w:tcW w:type="dxa" w:w="20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Tự phân loại theo mục 2</w:t>
            </w:r>
          </w:p>
        </w:tc>
        <w:tc>
          <w:tcPr>
            <w:tcW w:type="dxa" w:w="26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Trưởng nhóm sản phẩm</w:t>
            </w:r>
          </w:p>
        </w:tc>
        <w:tc>
          <w:tcPr>
            <w:tcW w:type="dxa" w:w="12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Mức đề xuất</w:t>
            </w:r>
          </w:p>
        </w:tc>
        <w:tc>
          <w:tcPr>
            <w:tcW w:type="dxa" w:w="2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Cùng bước 1</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3</w:t>
            </w:r>
          </w:p>
        </w:tc>
        <w:tc>
          <w:tcPr>
            <w:tcW w:type="dxa" w:w="20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Thẩm tra dữ liệu, cơ sở pháp lý, biện pháp</w:t>
            </w:r>
          </w:p>
        </w:tc>
        <w:tc>
          <w:tcPr>
            <w:tcW w:type="dxa" w:w="26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Phạm Thu Dung, Chuyên viên bảo vệ DLCN</w:t>
            </w:r>
            <w:r>
              <w:rPr>
                <w:rFonts w:ascii="Times New Roman" w:cs="Times New Roman" w:eastAsia="Times New Roman" w:hAnsi="Times New Roman"/>
                <w:b w:val="false"/>
                <w:bCs w:val="false"/>
                <w:i w:val="false"/>
                <w:iCs w:val="false"/>
                <w:sz w:val="22"/>
                <w:szCs w:val="22"/>
              </w:rPr>
              <w:t xml:space="preserve">; trưởng nhóm bảo mật</w:t>
            </w:r>
          </w:p>
        </w:tc>
        <w:tc>
          <w:tcPr>
            <w:tcW w:type="dxa" w:w="12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Ý kiến bằng văn bản</w:t>
            </w:r>
          </w:p>
        </w:tc>
        <w:tc>
          <w:tcPr>
            <w:tcW w:type="dxa" w:w="2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05</w:t>
            </w:r>
            <w:r>
              <w:rPr>
                <w:rFonts w:ascii="Times New Roman" w:cs="Times New Roman" w:eastAsia="Times New Roman" w:hAnsi="Times New Roman"/>
                <w:b w:val="false"/>
                <w:bCs w:val="false"/>
                <w:i w:val="false"/>
                <w:iCs w:val="false"/>
                <w:sz w:val="22"/>
                <w:szCs w:val="22"/>
              </w:rPr>
              <w:t xml:space="preserve"> ngày làm việc</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4</w:t>
            </w:r>
          </w:p>
        </w:tc>
        <w:tc>
          <w:tcPr>
            <w:tcW w:type="dxa" w:w="20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Quyết định mức và điều kiện</w:t>
            </w:r>
          </w:p>
        </w:tc>
        <w:tc>
          <w:tcPr>
            <w:tcW w:type="dxa" w:w="26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Giám đốc sản phẩm, nhân sự bảo vệ dữ liệu cá nhân, trưởng nhóm bảo mật</w:t>
            </w:r>
          </w:p>
        </w:tc>
        <w:tc>
          <w:tcPr>
            <w:tcW w:type="dxa" w:w="12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Biên bản xét duyệt</w:t>
            </w:r>
          </w:p>
        </w:tc>
        <w:tc>
          <w:tcPr>
            <w:tcW w:type="dxa" w:w="2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Trước khi phát triển (mức C), trước khi phát hành (mức T, TB)</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5</w:t>
            </w:r>
          </w:p>
        </w:tc>
        <w:tc>
          <w:tcPr>
            <w:tcW w:type="dxa" w:w="20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Triển khai biện pháp theo mục 4; kiểm thử</w:t>
            </w:r>
          </w:p>
        </w:tc>
        <w:tc>
          <w:tcPr>
            <w:tcW w:type="dxa" w:w="26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Nhóm phát triển, kiểm thử</w:t>
            </w:r>
          </w:p>
        </w:tc>
        <w:tc>
          <w:tcPr>
            <w:tcW w:type="dxa" w:w="12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Kết quả kiểm thử</w:t>
            </w:r>
          </w:p>
        </w:tc>
        <w:tc>
          <w:tcPr>
            <w:tcW w:type="dxa" w:w="2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Trước khi phát hành</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6</w:t>
            </w:r>
          </w:p>
        </w:tc>
        <w:tc>
          <w:tcPr>
            <w:tcW w:type="dxa" w:w="20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Cập nhật B1, B3, B4, bảng tại mục 3, tài liệu bán hàng</w:t>
            </w:r>
          </w:p>
        </w:tc>
        <w:tc>
          <w:tcPr>
            <w:tcW w:type="dxa" w:w="26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Nhóm sản phẩm</w:t>
            </w:r>
          </w:p>
        </w:tc>
        <w:tc>
          <w:tcPr>
            <w:tcW w:type="dxa" w:w="12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Tài liệu cập nhật</w:t>
            </w:r>
          </w:p>
        </w:tc>
        <w:tc>
          <w:tcPr>
            <w:tcW w:type="dxa" w:w="2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Cùng ngày phát hành</w:t>
            </w:r>
          </w:p>
        </w:tc>
      </w:tr>
      <w:tr>
        <w:trPr>
          <w:cantSplit/>
          <w:tblHeader w:val="false"/>
        </w:trPr>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7</w:t>
            </w:r>
          </w:p>
        </w:tc>
        <w:tc>
          <w:tcPr>
            <w:tcW w:type="dxa" w:w="20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Giám sát sau phát hành; báo cáo</w:t>
            </w:r>
          </w:p>
        </w:tc>
        <w:tc>
          <w:tcPr>
            <w:tcW w:type="dxa" w:w="26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Nhóm hỗ trợ khách hàng</w:t>
            </w:r>
          </w:p>
        </w:tc>
        <w:tc>
          <w:tcPr>
            <w:tcW w:type="dxa" w:w="127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Báo cáo quý</w:t>
            </w:r>
          </w:p>
        </w:tc>
        <w:tc>
          <w:tcPr>
            <w:tcW w:type="dxa" w:w="224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Hằng quý với mức C</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Nhân sự BVDLCN có quyền </w:t>
      </w:r>
      <w:r>
        <w:rPr>
          <w:rFonts w:ascii="Times New Roman" w:cs="Times New Roman" w:eastAsia="Times New Roman" w:hAnsi="Times New Roman"/>
          <w:b/>
          <w:bCs/>
          <w:i w:val="false"/>
          <w:iCs w:val="false"/>
          <w:sz w:val="26"/>
          <w:szCs w:val="26"/>
        </w:rPr>
        <w:t xml:space="preserve">phủ quyết</w:t>
      </w:r>
      <w:r>
        <w:rPr>
          <w:rFonts w:ascii="Times New Roman" w:cs="Times New Roman" w:eastAsia="Times New Roman" w:hAnsi="Times New Roman"/>
          <w:b w:val="false"/>
          <w:bCs w:val="false"/>
          <w:i w:val="false"/>
          <w:iCs w:val="false"/>
          <w:sz w:val="26"/>
          <w:szCs w:val="26"/>
        </w:rPr>
        <w:t xml:space="preserve"> việc phát hành tính năng mức C khi biện pháp bắt buộc chưa hoàn thành. Tính năng xếp mức KCN dừng ở bước 4.</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5.3. Xác nhận của khách hàng trước khi bật tính năng mức C</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Trước khi bật tính năng mức C, khách hàng (hoặc đại lý thay mặt khách hàng) xác nhận trong phần mềm hoặc bằng văn bản các nội dung sau:</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 Đã xác định mục đích và cơ sở xử lý; đã có sự đồng ý của chủ thể hoặc căn cứ pháp luật khác, và đã nêu rõ đây là dữ liệu cá nhân nhạy cảm.</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 Đã cấu hình phương thức thay thế cho người không đồng ý.</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 Đã phân công người xem xét lại kết quả bất lợi.</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 Đã đặt thời hạn lưu và chính sách xóa.</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 Đã hoặc sẽ lập, cập nhật hồ sơ đánh giá tác động xử lý dữ liệu cá nhân trong 60 ngày kể từ khi bắt đầu xử lý.</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Người xác nhận: </w:t>
      </w:r>
      <w:r>
        <w:rPr>
          <w:rFonts w:ascii="Times New Roman" w:cs="Times New Roman" w:eastAsia="Times New Roman" w:hAnsi="Times New Roman"/>
          <w:b w:val="false"/>
          <w:bCs w:val="false"/>
          <w:i w:val="false"/>
          <w:iCs w:val="false"/>
          <w:sz w:val="26"/>
          <w:szCs w:val="26"/>
          <w:highlight w:val="yellow"/>
        </w:rPr>
        <w:t xml:space="preserve">Trần Quốc Huy, Trưởng phòng Pháp chế</w:t>
      </w:r>
      <w:r>
        <w:rPr>
          <w:rFonts w:ascii="Times New Roman" w:cs="Times New Roman" w:eastAsia="Times New Roman" w:hAnsi="Times New Roman"/>
          <w:b w:val="false"/>
          <w:bCs w:val="false"/>
          <w:i w:val="false"/>
          <w:iCs w:val="false"/>
          <w:sz w:val="26"/>
          <w:szCs w:val="26"/>
        </w:rPr>
        <w:t xml:space="preserve"> — </w:t>
      </w:r>
      <w:r>
        <w:rPr>
          <w:rFonts w:ascii="Times New Roman" w:cs="Times New Roman" w:eastAsia="Times New Roman" w:hAnsi="Times New Roman"/>
          <w:b w:val="false"/>
          <w:bCs w:val="false"/>
          <w:i w:val="false"/>
          <w:iCs w:val="false"/>
          <w:sz w:val="26"/>
          <w:szCs w:val="26"/>
          <w:highlight w:val="yellow"/>
        </w:rPr>
        <w:t xml:space="preserve">Công ty TNHH Sản xuất Mẫu</w:t>
      </w:r>
      <w:r>
        <w:rPr>
          <w:rFonts w:ascii="Times New Roman" w:cs="Times New Roman" w:eastAsia="Times New Roman" w:hAnsi="Times New Roman"/>
          <w:b w:val="false"/>
          <w:bCs w:val="false"/>
          <w:i w:val="false"/>
          <w:iCs w:val="false"/>
          <w:sz w:val="26"/>
          <w:szCs w:val="26"/>
        </w:rPr>
        <w:t xml:space="preserve"> — ngày ... tháng ... năm ...</w:t>
      </w:r>
    </w:p>
    <w:p>
      <w:pPr>
        <w:keepNext/>
        <w:spacing w:after="120" w:before="180" w:line="240" w:lineRule="auto"/>
        <w:jc w:val="left"/>
      </w:pPr>
      <w:r>
        <w:rPr>
          <w:rFonts w:ascii="Times New Roman" w:cs="Times New Roman" w:eastAsia="Times New Roman" w:hAnsi="Times New Roman"/>
          <w:b/>
          <w:bCs/>
          <w:i w:val="false"/>
          <w:iCs w:val="false"/>
          <w:caps w:val="false"/>
          <w:sz w:val="26"/>
          <w:szCs w:val="26"/>
        </w:rPr>
        <w:t xml:space="preserve">5.4. Phiếu phân loại rủi ro tính năng</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8138"/>
        <w:gridCol w:w="887"/>
      </w:tblGrid>
      <w:tr>
        <w:trPr>
          <w:cantSplit/>
          <w:tblHeader/>
        </w:trPr>
        <w:tc>
          <w:tcPr>
            <w:tcW w:type="dxa" w:w="813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Mục</w:t>
            </w:r>
          </w:p>
        </w:tc>
        <w:tc>
          <w:tcPr>
            <w:tcW w:type="dxa" w:w="8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Nội dung</w:t>
            </w:r>
          </w:p>
        </w:tc>
      </w:tr>
      <w:tr>
        <w:trPr>
          <w:cantSplit/>
          <w:tblHeader w:val="false"/>
        </w:trPr>
        <w:tc>
          <w:tcPr>
            <w:tcW w:type="dxa" w:w="81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Tên tính năng, mã</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81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Mô tả ngắn: tính năng làm gì, cho ai dùng</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81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Dữ liệu đầu vào; dữ liệu lưu lại; thời hạn lưu mặc định</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81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Kết quả đầu ra; có dẫn tới quyết định tự động không, hệ quả gì</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81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Đối tượng chủ thể (nhân viên, khách, trẻ em, người qua đường)</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81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Bối cảnh lắp đặt dự kiến</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81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Đánh giá Y1–Y7</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81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Mức đề xuất; lý do</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81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Biện pháp bắt buộc đã có / còn thiếu</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81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Ý kiến nhân sự BVDLCN</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r>
        <w:trPr>
          <w:cantSplit/>
          <w:tblHeader w:val="false"/>
        </w:trPr>
        <w:tc>
          <w:tcPr>
            <w:tcW w:type="dxa" w:w="813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Quyết định của nhóm xét duyệt; ngày</w:t>
            </w:r>
          </w:p>
        </w:tc>
        <w:tc>
          <w:tcPr>
            <w:tcW w:type="dxa" w:w="8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6. Rà soát định kỳ</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Bảng tại mục 3 được rà soát </w:t>
      </w:r>
      <w:r>
        <w:rPr>
          <w:rFonts w:ascii="Times New Roman" w:cs="Times New Roman" w:eastAsia="Times New Roman" w:hAnsi="Times New Roman"/>
          <w:b w:val="false"/>
          <w:bCs w:val="false"/>
          <w:i w:val="false"/>
          <w:iCs w:val="false"/>
          <w:sz w:val="26"/>
          <w:szCs w:val="26"/>
          <w:highlight w:val="yellow"/>
        </w:rPr>
        <w:t xml:space="preserve">12 tháng</w:t>
      </w:r>
      <w:r>
        <w:rPr>
          <w:rFonts w:ascii="Times New Roman" w:cs="Times New Roman" w:eastAsia="Times New Roman" w:hAnsi="Times New Roman"/>
          <w:b w:val="false"/>
          <w:bCs w:val="false"/>
          <w:i w:val="false"/>
          <w:iCs w:val="false"/>
          <w:sz w:val="26"/>
          <w:szCs w:val="26"/>
        </w:rPr>
        <w:t xml:space="preserve"> và khi có một trong các sự kiện: có văn bản pháp luật mới về trí tuệ nhân tạo hoặc bảo vệ dữ liệu cá nhân; có sự cố liên quan đến tính năng; cơ quan có thẩm quyền có yêu cầu; tỷ lệ khiếu nại của tính năng tăng bất thường. Kết quả rà soát là một phần của báo cáo đánh giá tuân thủ hằng năm theo điểm đ khoản 5 Điều 10 Nghị định số 356/2025/NĐ-CP.</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61"/>
        <w:gridCol w:w="4964"/>
      </w:tblGrid>
      <w:tr>
        <w:tc>
          <w:tcPr>
            <w:tcW w:type="dxa" w:w="4061"/>
            <w:tcBorders>
              <w:top w:val="none" w:color="FFFFFF" w:sz="0"/>
              <w:left w:val="none" w:color="FFFFFF" w:sz="0"/>
              <w:bottom w:val="none" w:color="FFFFFF" w:sz="0"/>
              <w:right w:val="none" w:color="FFFFFF" w:sz="0"/>
            </w:tcBorders>
          </w:tcPr>
          <w:p>
            <w:pPr>
              <w:spacing w:after="0" w:before="0" w:line="240" w:lineRule="auto"/>
              <w:jc w:val="left"/>
            </w:pPr>
            <w:r>
              <w:rPr>
                <w:rFonts w:ascii="Times New Roman" w:cs="Times New Roman" w:eastAsia="Times New Roman" w:hAnsi="Times New Roman"/>
                <w:b w:val="false"/>
                <w:bCs w:val="false"/>
                <w:i/>
                <w:iCs/>
                <w:sz w:val="24"/>
                <w:szCs w:val="24"/>
              </w:rPr>
              <w:t xml:space="preserve">Nơi nhận: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Nhóm sản phẩm, phát triển;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Bộ phận bán hàng, đối tác;</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Phạm Thu Dung, Chuyên viên bảo vệ DLCN</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Lưu: hồ sơ sản phẩm.</w:t>
            </w:r>
          </w:p>
        </w:tc>
        <w:tc>
          <w:tcPr>
            <w:tcW w:type="dxa" w:w="496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TỔNG GIÁM ĐỐC</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Nguyễn Văn An</w:t>
            </w:r>
          </w:p>
        </w:tc>
      </w:tr>
    </w:tbl>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Phân loại hệ thống AI theo mức độ rủi ro</dc:title>
  <dc:creator>vn-cyber-compliance</dc:creator>
  <cp:lastModifiedBy>Un-named</cp:lastModifiedBy>
  <cp:revision>1</cp:revision>
  <dcterms:created xsi:type="dcterms:W3CDTF">2026-09-29T04:14:48.687Z</dcterms:created>
  <dcterms:modified xsi:type="dcterms:W3CDTF">2026-09-29T04:14:48.698Z</dcterms:modified>
</cp:coreProperties>
</file>

<file path=docProps/custom.xml><?xml version="1.0" encoding="utf-8"?>
<Properties xmlns="http://schemas.openxmlformats.org/officeDocument/2006/custom-properties" xmlns:vt="http://schemas.openxmlformats.org/officeDocument/2006/docPropsVTypes"/>
</file>