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Двухнедельная отчётная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7"/>
        <w:gridCol w:w="1115"/>
        <w:gridCol w:w="5144"/>
        <w:gridCol w:w="1604"/>
        <w:gridCol w:w="982"/>
        <w:gridCol w:w="1026"/>
        <w:tblGridChange w:id="0">
          <w:tblGrid>
            <w:gridCol w:w="1117"/>
            <w:gridCol w:w="1115"/>
            <w:gridCol w:w="5144"/>
            <w:gridCol w:w="1604"/>
            <w:gridCol w:w="982"/>
            <w:gridCol w:w="10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Дата прошедшей лекции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Номер прошедшей лекции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Название статьи/главы книги/видеолекции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Дата публикации (не старше 2021 года)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Размер статьи (от 400 слов)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Дата сдачи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11.09.2024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Логические и арифметические операции в системе счисления фибоначчи и их применение в вычислительных системах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26.11.2022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~2002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25.09.2024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3969"/>
          <w:tab w:val="left" w:leader="none" w:pos="6460"/>
          <w:tab w:val="center" w:leader="none" w:pos="8222"/>
          <w:tab w:val="left" w:leader="none" w:pos="8789"/>
          <w:tab w:val="left" w:leader="none" w:pos="10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ab/>
      </w:r>
      <w:r w:rsidDel="00000000" w:rsidR="00000000" w:rsidRPr="00000000">
        <w:rPr>
          <w:highlight w:val="white"/>
          <w:u w:val="single"/>
          <w:rtl w:val="0"/>
        </w:rPr>
        <w:t xml:space="preserve">Мельник Ф.А.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</w:t>
      </w:r>
      <w:r w:rsidDel="00000000" w:rsidR="00000000" w:rsidRPr="00000000">
        <w:rPr>
          <w:i w:val="1"/>
          <w:highlight w:val="white"/>
          <w:u w:val="single"/>
          <w:rtl w:val="0"/>
        </w:rPr>
        <w:t xml:space="preserve">3106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80"/>
          <w:tab w:val="left" w:leader="none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ab/>
        <w:t xml:space="preserve">Фамилия И.О. студента</w:t>
        <w:tab/>
        <w:t xml:space="preserve">не заполнять</w:t>
      </w:r>
      <w:r w:rsidDel="00000000" w:rsidR="00000000" w:rsidRPr="00000000">
        <w:rPr>
          <w:rtl w:val="0"/>
        </w:rPr>
      </w:r>
    </w:p>
    <w:tbl>
      <w:tblPr>
        <w:tblStyle w:val="Table2"/>
        <w:tblW w:w="10730.0" w:type="dxa"/>
        <w:jc w:val="left"/>
        <w:tblInd w:w="-15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Прямая полная ссылка на источник или сокращённая ссылка (bit.ly,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highlight w:val="white"/>
                <w:rtl w:val="0"/>
              </w:rPr>
              <w:t xml:space="preserve">https://elibrary.ru/download/elibrary_49408980_56734139.pdf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Теги, ключевые слова или словосочетания (минимум три слова)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СИСТЕМА СЧИСЛЕНИЯ ФИБОНАЧЧИ, ЛОГИЧЕСКИЕ И АРИФМЕТИЧЕСКИЕ ОПЕРАЦИИ, ПРОГРАММНАЯ МОДЕЛЬ СУММАТОРА, АЛГОРИТМЫ АРИФМЕТИЧЕСКИХ ОПЕРАЦИЙ,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Перечень фактов, упомянутых в статье (минимум четыре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Система счисления Фибоначчи привлекла внимание из-за ограничений двоичной системы в обнаружении сбоев в компьютерной технике.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 системе Фибоначчи, как и в традиционной двоичной, можно выполнять логические операции, такие как конъюнкция и дизъюнкция.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системе счисления Фибоначчи также возможны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рифметические операции, например, сложение и вычитание, </w:t>
            </w:r>
            <w:r w:rsidDel="00000000" w:rsidR="00000000" w:rsidRPr="00000000">
              <w:rPr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использованием базовых микроопераций.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Арифметическая операция сложения в системе Фибоначчи осуществляется через перемещение и свёртку разрядов чисел.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Код Фибоначчи позволяет создавать системы, которые могут устойчиво работать в условиях внешних и внутренних помех.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Система Фибоначчи обеспечивает компактное представление натуральных чисел с использованием меньшего количества разрядов, что снижает нагрузку на память.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Логические операции, такие как конъюнкция и дизъюнкция, могут быть выполнены на уровне битов с минимальными изменениями структуры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Построение аппаратных решений на основе кодов Фибоначчи усложнено из-за необходимости поддержки специфических операций, таких как свёртка и развёртка.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Некоторые арифметические операции могут выполняться медленнее по сравнению с традиционными системами, что снижает общую производительность.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Современные вычислительные устройства спроектированы для работы с двоичной системой, что вызывает ограничения для поддержки системы Фибоначчи.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Ваши замечания, пожелания преподавателю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анекдот о программистах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Liberation San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Наличие этой графы не влияет на оценку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