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793ED" w14:textId="2740177B" w:rsidR="00554A5B" w:rsidRPr="006453D9" w:rsidRDefault="00554A5B" w:rsidP="00554A5B">
      <w:pPr>
        <w:pStyle w:val="MDPI11articletype"/>
      </w:pPr>
      <w:r w:rsidRPr="006453D9">
        <w:t>Articl</w:t>
      </w:r>
      <w:r w:rsidR="00637B91">
        <w:t>e</w:t>
      </w:r>
    </w:p>
    <w:p w14:paraId="3882C8D5" w14:textId="142C145F" w:rsidR="00554A5B" w:rsidRPr="003B1AF1" w:rsidRDefault="00637B91" w:rsidP="00554A5B">
      <w:pPr>
        <w:pStyle w:val="MDPI12title"/>
      </w:pPr>
      <w:r w:rsidRPr="00637B91">
        <w:t xml:space="preserve">Prevalence of cigarette smoking and influence of associated factors among students of the University of </w:t>
      </w:r>
      <w:proofErr w:type="spellStart"/>
      <w:r w:rsidRPr="00637B91">
        <w:t>Banja</w:t>
      </w:r>
      <w:proofErr w:type="spellEnd"/>
      <w:r w:rsidRPr="00637B91">
        <w:t xml:space="preserve"> Luka: a cross-sectional study</w:t>
      </w:r>
    </w:p>
    <w:p w14:paraId="0C5F7623" w14:textId="61AC3749" w:rsidR="00E90AE9" w:rsidRDefault="00637B91" w:rsidP="00554A5B">
      <w:pPr>
        <w:pStyle w:val="MDPI13authornames"/>
      </w:pPr>
      <w:r w:rsidRPr="00637B91">
        <w:t>Ivana Todorović</w:t>
      </w:r>
      <w:r w:rsidRPr="00637B91">
        <w:rPr>
          <w:vertAlign w:val="superscript"/>
        </w:rPr>
        <w:t>1,3</w:t>
      </w:r>
      <w:r w:rsidRPr="00637B91">
        <w:t>, Feng Cheng</w:t>
      </w:r>
      <w:r w:rsidRPr="00637B91">
        <w:rPr>
          <w:vertAlign w:val="superscript"/>
        </w:rPr>
        <w:t>1</w:t>
      </w:r>
      <w:r w:rsidRPr="00637B91">
        <w:t xml:space="preserve">, </w:t>
      </w:r>
      <w:proofErr w:type="spellStart"/>
      <w:r w:rsidRPr="00637B91">
        <w:t>Stela</w:t>
      </w:r>
      <w:proofErr w:type="spellEnd"/>
      <w:r w:rsidRPr="00637B91">
        <w:t xml:space="preserve"> Stojisavljević</w:t>
      </w:r>
      <w:r w:rsidRPr="00637B91">
        <w:rPr>
          <w:vertAlign w:val="superscript"/>
        </w:rPr>
        <w:t>2</w:t>
      </w:r>
      <w:r w:rsidRPr="00637B91">
        <w:t>, Sonja Marinković</w:t>
      </w:r>
      <w:r w:rsidRPr="00637B91">
        <w:rPr>
          <w:vertAlign w:val="superscript"/>
        </w:rPr>
        <w:t>3,4</w:t>
      </w:r>
      <w:r w:rsidRPr="00637B91">
        <w:t>, Stefan Kremenović</w:t>
      </w:r>
      <w:r w:rsidRPr="00637B91">
        <w:rPr>
          <w:vertAlign w:val="superscript"/>
        </w:rPr>
        <w:t>3</w:t>
      </w:r>
      <w:r w:rsidRPr="00637B91">
        <w:t>, Pane Savić</w:t>
      </w:r>
      <w:r w:rsidRPr="00637B91">
        <w:rPr>
          <w:vertAlign w:val="superscript"/>
        </w:rPr>
        <w:t>3</w:t>
      </w:r>
      <w:r w:rsidRPr="00637B91">
        <w:t>, Ana Golić-Jelić</w:t>
      </w:r>
      <w:r w:rsidRPr="00637B91">
        <w:rPr>
          <w:vertAlign w:val="superscript"/>
        </w:rPr>
        <w:t>5</w:t>
      </w:r>
      <w:r w:rsidRPr="00637B91">
        <w:t xml:space="preserve">, </w:t>
      </w:r>
      <w:proofErr w:type="spellStart"/>
      <w:r w:rsidRPr="00637B91">
        <w:t>Nataša</w:t>
      </w:r>
      <w:proofErr w:type="spellEnd"/>
      <w:r w:rsidRPr="00637B91">
        <w:t xml:space="preserve"> Stojaković</w:t>
      </w:r>
      <w:r w:rsidRPr="00637B91">
        <w:rPr>
          <w:vertAlign w:val="superscript"/>
        </w:rPr>
        <w:t>6</w:t>
      </w:r>
      <w:r w:rsidRPr="00637B91">
        <w:t xml:space="preserve">, </w:t>
      </w:r>
      <w:proofErr w:type="spellStart"/>
      <w:r w:rsidRPr="00637B91">
        <w:t>Svjetlana</w:t>
      </w:r>
      <w:proofErr w:type="spellEnd"/>
      <w:r w:rsidRPr="00637B91">
        <w:t xml:space="preserve"> Stoisavljević-Šatara</w:t>
      </w:r>
      <w:r w:rsidRPr="00637B91">
        <w:rPr>
          <w:vertAlign w:val="superscript"/>
        </w:rPr>
        <w:t>6</w:t>
      </w:r>
      <w:r w:rsidRPr="00637B91">
        <w:t xml:space="preserve">, </w:t>
      </w:r>
      <w:proofErr w:type="spellStart"/>
      <w:r w:rsidRPr="00637B91">
        <w:t>Rajko</w:t>
      </w:r>
      <w:proofErr w:type="spellEnd"/>
      <w:r w:rsidRPr="00637B91">
        <w:t xml:space="preserve"> Igić</w:t>
      </w:r>
      <w:r w:rsidRPr="00637B91">
        <w:rPr>
          <w:vertAlign w:val="superscript"/>
        </w:rPr>
        <w:t>7,8</w:t>
      </w:r>
      <w:r w:rsidRPr="00637B91">
        <w:t xml:space="preserve">, </w:t>
      </w:r>
      <w:proofErr w:type="spellStart"/>
      <w:r w:rsidRPr="00637B91">
        <w:t>Ranko</w:t>
      </w:r>
      <w:proofErr w:type="spellEnd"/>
      <w:r w:rsidRPr="00637B91">
        <w:t xml:space="preserve"> Škrbić</w:t>
      </w:r>
      <w:r w:rsidRPr="00637B91">
        <w:rPr>
          <w:vertAlign w:val="superscript"/>
        </w:rPr>
        <w:t>4,6</w:t>
      </w:r>
      <w:r w:rsidR="00C04A0A" w:rsidRPr="00C04A0A">
        <w:rPr>
          <w:vertAlign w:val="superscript"/>
        </w:rPr>
        <w:t>,</w:t>
      </w:r>
      <w:r w:rsidR="00C04A0A" w:rsidRPr="00C04A0A">
        <w:t>*</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90AE9" w:rsidRPr="001908FF" w14:paraId="21E1818D" w14:textId="77777777" w:rsidTr="00652489">
        <w:tc>
          <w:tcPr>
            <w:tcW w:w="2410" w:type="dxa"/>
            <w:shd w:val="clear" w:color="auto" w:fill="auto"/>
          </w:tcPr>
          <w:p w14:paraId="4543DFA0" w14:textId="77777777" w:rsidR="00E90AE9" w:rsidRPr="00523C6D" w:rsidRDefault="00E90AE9" w:rsidP="00652489">
            <w:pPr>
              <w:pStyle w:val="MDPI61Citation"/>
              <w:spacing w:line="240" w:lineRule="exact"/>
            </w:pPr>
            <w:r w:rsidRPr="00523C6D">
              <w:rPr>
                <w:b/>
              </w:rPr>
              <w:t>Citation:</w:t>
            </w:r>
            <w:r w:rsidRPr="001908FF">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proofErr w:type="spellStart"/>
            <w:r>
              <w:rPr>
                <w:i/>
              </w:rPr>
              <w:t>Medicina</w:t>
            </w:r>
            <w:proofErr w:type="spellEnd"/>
            <w:r>
              <w:rPr>
                <w:i/>
              </w:rPr>
              <w:t xml:space="preserve"> </w:t>
            </w:r>
            <w:r w:rsidRPr="0029240A">
              <w:rPr>
                <w:b/>
              </w:rPr>
              <w:t>2021</w:t>
            </w:r>
            <w:r>
              <w:t xml:space="preserve">, </w:t>
            </w:r>
            <w:r w:rsidRPr="0029240A">
              <w:rPr>
                <w:i/>
              </w:rPr>
              <w:t>57</w:t>
            </w:r>
            <w:r>
              <w:t>, x. https://doi.org/10.3390/xxxxx</w:t>
            </w:r>
          </w:p>
          <w:p w14:paraId="57E6DED5" w14:textId="77777777" w:rsidR="00E90AE9" w:rsidRDefault="00E90AE9" w:rsidP="00652489">
            <w:pPr>
              <w:pStyle w:val="MDPI15academiceditor"/>
              <w:spacing w:after="240"/>
            </w:pPr>
            <w:r>
              <w:t xml:space="preserve">Academic Editor: </w:t>
            </w:r>
            <w:proofErr w:type="spellStart"/>
            <w:r>
              <w:t>Firstname</w:t>
            </w:r>
            <w:proofErr w:type="spellEnd"/>
            <w:r>
              <w:t xml:space="preserve"> </w:t>
            </w:r>
            <w:proofErr w:type="spellStart"/>
            <w:r>
              <w:t>Lastname</w:t>
            </w:r>
            <w:proofErr w:type="spellEnd"/>
          </w:p>
          <w:p w14:paraId="4EFF65D3" w14:textId="77777777" w:rsidR="00E90AE9" w:rsidRPr="00F12C87" w:rsidRDefault="00E90AE9" w:rsidP="00652489">
            <w:pPr>
              <w:pStyle w:val="MDPI14history"/>
            </w:pPr>
            <w:r w:rsidRPr="00F12C87">
              <w:t>Received: date</w:t>
            </w:r>
          </w:p>
          <w:p w14:paraId="36F21E54" w14:textId="77777777" w:rsidR="00E90AE9" w:rsidRPr="00F12C87" w:rsidRDefault="00E90AE9" w:rsidP="00652489">
            <w:pPr>
              <w:pStyle w:val="MDPI14history"/>
            </w:pPr>
            <w:r w:rsidRPr="00F12C87">
              <w:t>Accepted: date</w:t>
            </w:r>
          </w:p>
          <w:p w14:paraId="01824BB8" w14:textId="77777777" w:rsidR="00E90AE9" w:rsidRPr="00F12C87" w:rsidRDefault="00E90AE9" w:rsidP="00652489">
            <w:pPr>
              <w:pStyle w:val="MDPI14history"/>
              <w:spacing w:after="240"/>
            </w:pPr>
            <w:r w:rsidRPr="00F12C87">
              <w:t>Published: date</w:t>
            </w:r>
          </w:p>
          <w:p w14:paraId="7E9F8517" w14:textId="77777777" w:rsidR="00E90AE9" w:rsidRPr="001908FF" w:rsidRDefault="00E90AE9" w:rsidP="00652489">
            <w:pPr>
              <w:pStyle w:val="MDPI63Notes"/>
              <w:jc w:val="both"/>
            </w:pPr>
            <w:r w:rsidRPr="001908FF">
              <w:rPr>
                <w:b/>
              </w:rPr>
              <w:t>Publisher’s Note:</w:t>
            </w:r>
            <w:r w:rsidRPr="001908FF">
              <w:t xml:space="preserve"> MDPI stays neutral with regard to jurisdictional claims in published maps and institutional affiliations.</w:t>
            </w:r>
          </w:p>
          <w:p w14:paraId="48C1CCDA" w14:textId="77777777" w:rsidR="00E90AE9" w:rsidRPr="001908FF" w:rsidRDefault="00182159" w:rsidP="00652489">
            <w:pPr>
              <w:adjustRightInd w:val="0"/>
              <w:snapToGrid w:val="0"/>
              <w:spacing w:before="240" w:line="240" w:lineRule="atLeast"/>
              <w:ind w:right="113"/>
              <w:jc w:val="left"/>
              <w:rPr>
                <w:rFonts w:eastAsia="DengXian"/>
                <w:bCs/>
                <w:sz w:val="14"/>
                <w:szCs w:val="14"/>
                <w:lang w:bidi="en-US"/>
              </w:rPr>
            </w:pPr>
            <w:r w:rsidRPr="001908FF">
              <w:rPr>
                <w:rFonts w:eastAsia="DengXian"/>
                <w:noProof/>
                <w:lang w:val="en-US" w:eastAsia="en-US"/>
              </w:rPr>
              <w:drawing>
                <wp:inline distT="0" distB="0" distL="0" distR="0" wp14:anchorId="57471A0B" wp14:editId="5DBF0D8F">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4DDC9233" w14:textId="77777777" w:rsidR="00E90AE9" w:rsidRPr="001908FF" w:rsidRDefault="00E90AE9" w:rsidP="00652489">
            <w:pPr>
              <w:adjustRightInd w:val="0"/>
              <w:snapToGrid w:val="0"/>
              <w:spacing w:before="60" w:line="240" w:lineRule="atLeast"/>
              <w:ind w:right="113"/>
              <w:rPr>
                <w:rFonts w:eastAsia="DengXian"/>
                <w:bCs/>
                <w:sz w:val="14"/>
                <w:szCs w:val="14"/>
                <w:lang w:bidi="en-US"/>
              </w:rPr>
            </w:pPr>
            <w:r w:rsidRPr="001908FF">
              <w:rPr>
                <w:rFonts w:eastAsia="DengXian"/>
                <w:b/>
                <w:bCs/>
                <w:sz w:val="14"/>
                <w:szCs w:val="14"/>
                <w:lang w:bidi="en-US"/>
              </w:rPr>
              <w:t>Copyright:</w:t>
            </w:r>
            <w:r w:rsidRPr="001908FF">
              <w:rPr>
                <w:rFonts w:eastAsia="DengXian"/>
                <w:bCs/>
                <w:sz w:val="14"/>
                <w:szCs w:val="14"/>
                <w:lang w:bidi="en-US"/>
              </w:rPr>
              <w:t xml:space="preserve"> </w:t>
            </w:r>
            <w:r>
              <w:rPr>
                <w:rFonts w:eastAsia="DengXian"/>
                <w:bCs/>
                <w:sz w:val="14"/>
                <w:szCs w:val="14"/>
                <w:lang w:bidi="en-US"/>
              </w:rPr>
              <w:t>© 2021</w:t>
            </w:r>
            <w:r w:rsidRPr="001908FF">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1908FF">
              <w:rPr>
                <w:rFonts w:eastAsia="DengXian"/>
                <w:bCs/>
                <w:sz w:val="14"/>
                <w:szCs w:val="14"/>
                <w:lang w:bidi="en-US"/>
              </w:rPr>
              <w:t>Attribution (CC BY) license (</w:t>
            </w:r>
            <w:r w:rsidR="00903177">
              <w:rPr>
                <w:rFonts w:eastAsia="DengXian"/>
                <w:bCs/>
                <w:sz w:val="14"/>
                <w:szCs w:val="14"/>
                <w:lang w:bidi="en-US"/>
              </w:rPr>
              <w:t>https://</w:t>
            </w:r>
            <w:r w:rsidRPr="001908FF">
              <w:rPr>
                <w:rFonts w:eastAsia="DengXian"/>
                <w:bCs/>
                <w:sz w:val="14"/>
                <w:szCs w:val="14"/>
                <w:lang w:bidi="en-US"/>
              </w:rPr>
              <w:t>creativecommons.org/licenses/by/4.0/).</w:t>
            </w:r>
          </w:p>
        </w:tc>
      </w:tr>
    </w:tbl>
    <w:p w14:paraId="6333BB96" w14:textId="3058720A" w:rsidR="00554A5B" w:rsidRPr="00D945EC" w:rsidRDefault="00E90AE9" w:rsidP="00D522A8">
      <w:pPr>
        <w:pStyle w:val="MDPI16affiliation"/>
      </w:pPr>
      <w:r w:rsidRPr="00D522A8">
        <w:rPr>
          <w:vertAlign w:val="superscript"/>
        </w:rPr>
        <w:t>1</w:t>
      </w:r>
      <w:r w:rsidR="00554A5B" w:rsidRPr="00D522A8">
        <w:tab/>
      </w:r>
      <w:proofErr w:type="spellStart"/>
      <w:r w:rsidR="00C04A0A" w:rsidRPr="00C04A0A">
        <w:t>Vanke</w:t>
      </w:r>
      <w:proofErr w:type="spellEnd"/>
      <w:r w:rsidR="00C04A0A" w:rsidRPr="00C04A0A">
        <w:t xml:space="preserve"> School of Public Health, Tsinghua University, Beijing, 100084, People's Republic of China </w:t>
      </w:r>
    </w:p>
    <w:p w14:paraId="52B060A1" w14:textId="731DEEA5" w:rsidR="00554A5B" w:rsidRDefault="00554A5B" w:rsidP="00D522A8">
      <w:pPr>
        <w:pStyle w:val="MDPI16affiliation"/>
      </w:pPr>
      <w:r w:rsidRPr="00D522A8">
        <w:rPr>
          <w:vertAlign w:val="superscript"/>
        </w:rPr>
        <w:t>2</w:t>
      </w:r>
      <w:r w:rsidRPr="00D522A8">
        <w:tab/>
      </w:r>
      <w:r w:rsidR="00C04A0A" w:rsidRPr="00C04A0A">
        <w:t xml:space="preserve">Public Health Institute of The Republic of </w:t>
      </w:r>
      <w:proofErr w:type="spellStart"/>
      <w:r w:rsidR="00C04A0A" w:rsidRPr="00C04A0A">
        <w:t>Srpska</w:t>
      </w:r>
      <w:proofErr w:type="spellEnd"/>
      <w:r w:rsidR="00C04A0A" w:rsidRPr="00C04A0A">
        <w:t xml:space="preserve">, </w:t>
      </w:r>
      <w:proofErr w:type="spellStart"/>
      <w:r w:rsidR="00C04A0A" w:rsidRPr="00C04A0A">
        <w:t>Banja</w:t>
      </w:r>
      <w:proofErr w:type="spellEnd"/>
      <w:r w:rsidR="00C04A0A" w:rsidRPr="00C04A0A">
        <w:t xml:space="preserve"> Luka, 78000, The Republic of </w:t>
      </w:r>
      <w:proofErr w:type="spellStart"/>
      <w:r w:rsidR="00C04A0A" w:rsidRPr="00C04A0A">
        <w:t>Srpska</w:t>
      </w:r>
      <w:proofErr w:type="spellEnd"/>
      <w:r w:rsidR="00C04A0A" w:rsidRPr="00C04A0A">
        <w:t xml:space="preserve">, Bosnia and Herzegovina </w:t>
      </w:r>
    </w:p>
    <w:p w14:paraId="4A7F8745" w14:textId="0C6E8CCC" w:rsidR="00C04A0A" w:rsidRDefault="00C04A0A" w:rsidP="00D522A8">
      <w:pPr>
        <w:pStyle w:val="MDPI16affiliation"/>
      </w:pPr>
      <w:r w:rsidRPr="00D522A8">
        <w:rPr>
          <w:vertAlign w:val="superscript"/>
        </w:rPr>
        <w:t>3</w:t>
      </w:r>
      <w:r w:rsidRPr="00D522A8">
        <w:tab/>
      </w:r>
      <w:r w:rsidRPr="00C04A0A">
        <w:t xml:space="preserve">Association of Medical Students, Faculty of Medicine, University of </w:t>
      </w:r>
      <w:proofErr w:type="spellStart"/>
      <w:r w:rsidRPr="00C04A0A">
        <w:t>Banja</w:t>
      </w:r>
      <w:proofErr w:type="spellEnd"/>
      <w:r w:rsidRPr="00C04A0A">
        <w:t xml:space="preserve"> Luka, </w:t>
      </w:r>
      <w:proofErr w:type="spellStart"/>
      <w:r w:rsidRPr="00C04A0A">
        <w:t>Banja</w:t>
      </w:r>
      <w:proofErr w:type="spellEnd"/>
      <w:r w:rsidRPr="00C04A0A">
        <w:t xml:space="preserve"> Luka, 78000, The Republic of </w:t>
      </w:r>
      <w:proofErr w:type="spellStart"/>
      <w:r w:rsidRPr="00C04A0A">
        <w:t>Srpska</w:t>
      </w:r>
      <w:proofErr w:type="spellEnd"/>
      <w:r w:rsidRPr="00C04A0A">
        <w:t>, Bosnia and Herzegovina</w:t>
      </w:r>
    </w:p>
    <w:p w14:paraId="7066E00B" w14:textId="1561B60E" w:rsidR="00C04A0A" w:rsidRDefault="00C04A0A" w:rsidP="00D522A8">
      <w:pPr>
        <w:pStyle w:val="MDPI16affiliation"/>
      </w:pPr>
      <w:r w:rsidRPr="00D522A8">
        <w:rPr>
          <w:vertAlign w:val="superscript"/>
        </w:rPr>
        <w:t>4</w:t>
      </w:r>
      <w:r w:rsidRPr="00D522A8">
        <w:tab/>
      </w:r>
      <w:r w:rsidRPr="00C04A0A">
        <w:t xml:space="preserve">Center for Biomedical Research, Faculty of Medicine, University of </w:t>
      </w:r>
      <w:proofErr w:type="spellStart"/>
      <w:r w:rsidRPr="00C04A0A">
        <w:t>Banja</w:t>
      </w:r>
      <w:proofErr w:type="spellEnd"/>
      <w:r w:rsidRPr="00C04A0A">
        <w:t xml:space="preserve"> Luka, </w:t>
      </w:r>
      <w:proofErr w:type="spellStart"/>
      <w:r w:rsidRPr="00C04A0A">
        <w:t>Banja</w:t>
      </w:r>
      <w:proofErr w:type="spellEnd"/>
      <w:r w:rsidRPr="00C04A0A">
        <w:t xml:space="preserve"> Luka, 78000, The Republic of </w:t>
      </w:r>
      <w:proofErr w:type="spellStart"/>
      <w:r w:rsidRPr="00C04A0A">
        <w:t>Srpska</w:t>
      </w:r>
      <w:proofErr w:type="spellEnd"/>
      <w:r w:rsidRPr="00C04A0A">
        <w:t xml:space="preserve">, Bosnia and Herzegovina </w:t>
      </w:r>
    </w:p>
    <w:p w14:paraId="43A47718" w14:textId="2CE78091" w:rsidR="00C04A0A" w:rsidRDefault="00C04A0A" w:rsidP="00D522A8">
      <w:pPr>
        <w:pStyle w:val="MDPI16affiliation"/>
      </w:pPr>
      <w:r w:rsidRPr="00D522A8">
        <w:rPr>
          <w:vertAlign w:val="superscript"/>
        </w:rPr>
        <w:t>5</w:t>
      </w:r>
      <w:r w:rsidRPr="00D522A8">
        <w:tab/>
      </w:r>
      <w:r w:rsidRPr="00C04A0A">
        <w:t xml:space="preserve">Department of Pharmacy, Faculty of Medicine, University of </w:t>
      </w:r>
      <w:proofErr w:type="spellStart"/>
      <w:r w:rsidRPr="00C04A0A">
        <w:t>Banja</w:t>
      </w:r>
      <w:proofErr w:type="spellEnd"/>
      <w:r w:rsidRPr="00C04A0A">
        <w:t xml:space="preserve"> Luka, </w:t>
      </w:r>
      <w:proofErr w:type="spellStart"/>
      <w:r w:rsidRPr="00C04A0A">
        <w:t>Banja</w:t>
      </w:r>
      <w:proofErr w:type="spellEnd"/>
      <w:r w:rsidRPr="00C04A0A">
        <w:t xml:space="preserve"> Luka, 78000, The Republic of </w:t>
      </w:r>
      <w:proofErr w:type="spellStart"/>
      <w:r w:rsidRPr="00C04A0A">
        <w:t>Srpska</w:t>
      </w:r>
      <w:proofErr w:type="spellEnd"/>
      <w:r w:rsidRPr="00C04A0A">
        <w:t>, Bosnia and Herzegovina</w:t>
      </w:r>
    </w:p>
    <w:p w14:paraId="74F13DF2" w14:textId="0C3119B6" w:rsidR="00C04A0A" w:rsidRDefault="00C04A0A" w:rsidP="00D522A8">
      <w:pPr>
        <w:pStyle w:val="MDPI16affiliation"/>
      </w:pPr>
      <w:r w:rsidRPr="00D522A8">
        <w:rPr>
          <w:vertAlign w:val="superscript"/>
        </w:rPr>
        <w:t>6</w:t>
      </w:r>
      <w:r w:rsidRPr="00D522A8">
        <w:tab/>
      </w:r>
      <w:r w:rsidRPr="00C04A0A">
        <w:t xml:space="preserve">Department of Pharmacology, Toxicology and Clinical Pharmacology, Faculty of Medicine, University of </w:t>
      </w:r>
      <w:proofErr w:type="spellStart"/>
      <w:r w:rsidRPr="00C04A0A">
        <w:t>Banja</w:t>
      </w:r>
      <w:proofErr w:type="spellEnd"/>
      <w:r w:rsidRPr="00C04A0A">
        <w:t xml:space="preserve"> Luka, </w:t>
      </w:r>
      <w:proofErr w:type="spellStart"/>
      <w:r w:rsidRPr="00C04A0A">
        <w:t>Banja</w:t>
      </w:r>
      <w:proofErr w:type="spellEnd"/>
      <w:r w:rsidRPr="00C04A0A">
        <w:t xml:space="preserve"> Luka, 78000, The Republic of </w:t>
      </w:r>
      <w:proofErr w:type="spellStart"/>
      <w:r w:rsidRPr="00C04A0A">
        <w:t>Srpska</w:t>
      </w:r>
      <w:proofErr w:type="spellEnd"/>
      <w:r w:rsidRPr="00C04A0A">
        <w:t xml:space="preserve">, Bosnia and Herzegovina </w:t>
      </w:r>
    </w:p>
    <w:p w14:paraId="626B2964" w14:textId="4285AEC0" w:rsidR="00C04A0A" w:rsidRDefault="00C04A0A" w:rsidP="00D522A8">
      <w:pPr>
        <w:pStyle w:val="MDPI16affiliation"/>
      </w:pPr>
      <w:r w:rsidRPr="00D522A8">
        <w:rPr>
          <w:vertAlign w:val="superscript"/>
        </w:rPr>
        <w:t>7</w:t>
      </w:r>
      <w:r w:rsidRPr="00D522A8">
        <w:tab/>
      </w:r>
      <w:r w:rsidRPr="00C04A0A">
        <w:t xml:space="preserve">The Academy of Sciences and Arts of The Republic of </w:t>
      </w:r>
      <w:proofErr w:type="spellStart"/>
      <w:r w:rsidRPr="00C04A0A">
        <w:t>Srpska</w:t>
      </w:r>
      <w:proofErr w:type="spellEnd"/>
      <w:r w:rsidRPr="00C04A0A">
        <w:t xml:space="preserve">, </w:t>
      </w:r>
      <w:proofErr w:type="spellStart"/>
      <w:r w:rsidRPr="00C04A0A">
        <w:t>Banja</w:t>
      </w:r>
      <w:proofErr w:type="spellEnd"/>
      <w:r w:rsidRPr="00C04A0A">
        <w:t xml:space="preserve"> Luka, 78000, The Republic of </w:t>
      </w:r>
      <w:proofErr w:type="spellStart"/>
      <w:r w:rsidRPr="00C04A0A">
        <w:t>Srpska</w:t>
      </w:r>
      <w:proofErr w:type="spellEnd"/>
      <w:r w:rsidRPr="00C04A0A">
        <w:t>, Bosnia and Herzegovina</w:t>
      </w:r>
    </w:p>
    <w:p w14:paraId="16C63E77" w14:textId="77777777" w:rsidR="00C04A0A" w:rsidRPr="00C04A0A" w:rsidRDefault="00C04A0A" w:rsidP="00D522A8">
      <w:pPr>
        <w:pStyle w:val="MDPI16affiliation"/>
      </w:pPr>
      <w:r w:rsidRPr="00D522A8">
        <w:rPr>
          <w:vertAlign w:val="superscript"/>
        </w:rPr>
        <w:t>8</w:t>
      </w:r>
      <w:r w:rsidRPr="00D522A8">
        <w:tab/>
      </w:r>
      <w:proofErr w:type="spellStart"/>
      <w:r w:rsidRPr="00C04A0A">
        <w:t>Stroger</w:t>
      </w:r>
      <w:proofErr w:type="spellEnd"/>
      <w:r w:rsidRPr="00C04A0A">
        <w:t xml:space="preserve"> Hospital of Cook County, Chicago, 60612, Illinois, USA</w:t>
      </w:r>
    </w:p>
    <w:p w14:paraId="5377D2FC" w14:textId="2021FE20" w:rsidR="00554A5B" w:rsidRPr="00550626" w:rsidRDefault="00D522A8" w:rsidP="00D522A8">
      <w:pPr>
        <w:pStyle w:val="MDPI16affiliation"/>
      </w:pPr>
      <w:r w:rsidRPr="00D522A8">
        <w:rPr>
          <w:b/>
        </w:rPr>
        <w:t>*</w:t>
      </w:r>
      <w:r w:rsidRPr="00D522A8">
        <w:tab/>
        <w:t>Correspondence: ranko.skrbic@med.unibl.org</w:t>
      </w:r>
      <w:r>
        <w:t xml:space="preserve">; </w:t>
      </w:r>
      <w:r w:rsidRPr="00D522A8">
        <w:t>Tel/fax: 00387 51 234 100</w:t>
      </w:r>
    </w:p>
    <w:p w14:paraId="36E5E6DD" w14:textId="6C62114D" w:rsidR="00554A5B" w:rsidRPr="00550626" w:rsidRDefault="00554A5B" w:rsidP="00834873">
      <w:pPr>
        <w:pStyle w:val="MDPI17abstract"/>
      </w:pPr>
      <w:r w:rsidRPr="00834873">
        <w:rPr>
          <w:b/>
        </w:rPr>
        <w:t xml:space="preserve">Abstract: </w:t>
      </w:r>
      <w:r w:rsidR="00D522A8" w:rsidRPr="00834873">
        <w:rPr>
          <w:i/>
          <w:iCs/>
        </w:rPr>
        <w:t>Background and Objectives</w:t>
      </w:r>
      <w:r w:rsidR="00D522A8" w:rsidRPr="00D522A8">
        <w:t xml:space="preserve">: Cigarette smoking among the youth population has increased significantly in developing countries, including Bosnia and Herzegovina. However, no extant literature assesses the prevalence of tobacco use, nor identifies factors associated with smoking. </w:t>
      </w:r>
      <w:r w:rsidR="00816C33">
        <w:t>This</w:t>
      </w:r>
      <w:bookmarkStart w:id="0" w:name="_GoBack"/>
      <w:bookmarkEnd w:id="0"/>
      <w:r w:rsidR="00D522A8" w:rsidRPr="00D522A8">
        <w:t xml:space="preserve"> study determined the prevalence of cigarette smoking among a specific cohort of students and assessed factors related to tobacco use in this population.</w:t>
      </w:r>
      <w:r w:rsidR="00D522A8">
        <w:t xml:space="preserve"> </w:t>
      </w:r>
      <w:r w:rsidR="00D522A8" w:rsidRPr="00834873">
        <w:rPr>
          <w:i/>
          <w:iCs/>
        </w:rPr>
        <w:t>Materials and Methods</w:t>
      </w:r>
      <w:r w:rsidR="00D522A8" w:rsidRPr="00D522A8">
        <w:t xml:space="preserve">: A cross-sectional study includes 1200 students at all faculties of </w:t>
      </w:r>
      <w:proofErr w:type="spellStart"/>
      <w:r w:rsidR="00D522A8" w:rsidRPr="00D522A8">
        <w:t>Banja</w:t>
      </w:r>
      <w:proofErr w:type="spellEnd"/>
      <w:r w:rsidR="00D522A8" w:rsidRPr="00D522A8">
        <w:t xml:space="preserve"> Luka University. Data were collected from adapted questionnaires based on the Global Youth Tobacco Survey (GYTS) and the Global Health Professional Student Survey (GHPSS) standardized questionnaires and were analyzed using descriptive statistics, Pearson’s χ2 test, and logistic regression.</w:t>
      </w:r>
      <w:r w:rsidR="00D522A8">
        <w:t xml:space="preserve"> </w:t>
      </w:r>
      <w:r w:rsidR="00D522A8" w:rsidRPr="00D522A8">
        <w:rPr>
          <w:i/>
          <w:iCs/>
        </w:rPr>
        <w:t>Results</w:t>
      </w:r>
      <w:r w:rsidR="00D522A8" w:rsidRPr="00D522A8">
        <w:t xml:space="preserve">: When the prevalence of cigarette smoking within the last thirty days was recorded, we found that 34.1% of students smoked within this period.  Nearly three-quarters (74.9%) of the student population had smoked or experimented with cigarette smoking. </w:t>
      </w:r>
      <w:r w:rsidR="00816C33">
        <w:t>H</w:t>
      </w:r>
      <w:r w:rsidR="00D522A8" w:rsidRPr="00D522A8">
        <w:t xml:space="preserve">owever, medical students were 27.2% less likely to smoke than their counterparts from other faculties. Overall, 87% of all students were aware of the harmful effects of cigarette smoking, 79% were aware of the harmful effects of secondhand smoke, and 65% reported that it was difficult to quit. Increased spending of personal money was associated with a higher probability of smoking, while exposure to secondhand smoke increased the odds of smoking by 62%. </w:t>
      </w:r>
      <w:r w:rsidR="00D522A8" w:rsidRPr="00D522A8">
        <w:rPr>
          <w:i/>
          <w:iCs/>
        </w:rPr>
        <w:t>Conclusion</w:t>
      </w:r>
      <w:r w:rsidR="00D522A8" w:rsidRPr="00D522A8">
        <w:t>: Policies, strategies, and action plans should be introduced in order to reduce the prevalence of smoking among university students and to create a smoke-free environment at the various universities involved</w:t>
      </w:r>
      <w:r w:rsidR="00153272" w:rsidRPr="00153272">
        <w:t>.</w:t>
      </w:r>
    </w:p>
    <w:p w14:paraId="2CD6738B" w14:textId="0AE3347C" w:rsidR="00554A5B" w:rsidRPr="00550626" w:rsidRDefault="00834873" w:rsidP="00834873">
      <w:pPr>
        <w:pStyle w:val="MDPI18keywords"/>
      </w:pPr>
      <w:r w:rsidRPr="00834873">
        <w:rPr>
          <w:b/>
        </w:rPr>
        <w:t>Keywords:</w:t>
      </w:r>
      <w:r w:rsidR="00554A5B" w:rsidRPr="00834873">
        <w:rPr>
          <w:b/>
        </w:rPr>
        <w:t xml:space="preserve"> </w:t>
      </w:r>
      <w:r w:rsidRPr="00834873">
        <w:t>Cigarette smoking; students; prevalence; risk factors; secondhand smoke</w:t>
      </w:r>
    </w:p>
    <w:p w14:paraId="3A1B6B5F" w14:textId="77777777" w:rsidR="00554A5B" w:rsidRPr="00550626" w:rsidRDefault="00554A5B" w:rsidP="00834873">
      <w:pPr>
        <w:pStyle w:val="MDPI19line"/>
        <w:pBdr>
          <w:bottom w:val="single" w:sz="4" w:space="1" w:color="000000"/>
        </w:pBdr>
      </w:pPr>
    </w:p>
    <w:p w14:paraId="1124CFD6" w14:textId="77777777" w:rsidR="00554A5B" w:rsidRDefault="00554A5B" w:rsidP="00554A5B">
      <w:pPr>
        <w:pStyle w:val="MDPI21heading1"/>
        <w:rPr>
          <w:lang w:eastAsia="zh-CN"/>
        </w:rPr>
      </w:pPr>
      <w:r w:rsidRPr="007F2582">
        <w:rPr>
          <w:lang w:eastAsia="zh-CN"/>
        </w:rPr>
        <w:t>1. Introduction</w:t>
      </w:r>
    </w:p>
    <w:p w14:paraId="57DF4208" w14:textId="77777777" w:rsidR="00834873" w:rsidRDefault="00834873" w:rsidP="00834873">
      <w:pPr>
        <w:pStyle w:val="MDPI31text"/>
      </w:pPr>
      <w:r>
        <w:t xml:space="preserve">Smoking is a major public health problem worldwide, resulting in many tobacco-associated deaths. It has been more than half a century since scientists first pointed out </w:t>
      </w:r>
      <w:r>
        <w:lastRenderedPageBreak/>
        <w:t>the dangers of tobacco use [1]. According to the World Health Organization (WHO), over one billion people are smokers globally, and 80% of them are from developing countries. It has been suggested that by 2030, tobacco smoking will kill more than eight million people each year [2]. Scientific data indicated the harmful effects of smoking and identified its contributions to the emergence of various types of cancers [3]. Smoking causes about 90% of all lung cancer deaths in the United States [4</w:t>
      </w:r>
      <w:proofErr w:type="gramStart"/>
      <w:r>
        <w:t>,5</w:t>
      </w:r>
      <w:proofErr w:type="gramEnd"/>
      <w:r>
        <w:t>], and more women die from lung cancer each year than from breast cancer [6].</w:t>
      </w:r>
    </w:p>
    <w:p w14:paraId="2AF51DE6" w14:textId="023FBFA5" w:rsidR="00834873" w:rsidRDefault="00834873" w:rsidP="00834873">
      <w:pPr>
        <w:pStyle w:val="MDPI31text"/>
      </w:pPr>
      <w:r>
        <w:t xml:space="preserve">Trends in developed countries indicate that tobacco use decreases in adult populations whereas in developing countries tobacco use increases as the population reaches adulthood [3].  According to the Republic of </w:t>
      </w:r>
      <w:proofErr w:type="spellStart"/>
      <w:r>
        <w:t>Srpska</w:t>
      </w:r>
      <w:proofErr w:type="spellEnd"/>
      <w:r>
        <w:t xml:space="preserve"> data, the smoking prevalence in a population aged 15 to 65 was 24.6%, and tobacco use among the young population continues to rise [7]. The Global Youth Tobacco Survey (GYTS) results from 2013 and 2018 showed a significant increase over this time period in the use of tobacco and other tobacco products among 13 to 15 years old students who consume cigarettes from 7.9% in 2013 to 9.1% in 2018. In all students who ever smoked, there was an increase from 36.5% in 2013 to 38.9% by 2018 [7</w:t>
      </w:r>
      <w:proofErr w:type="gramStart"/>
      <w:r>
        <w:t>,8</w:t>
      </w:r>
      <w:proofErr w:type="gramEnd"/>
      <w:r>
        <w:t>].</w:t>
      </w:r>
    </w:p>
    <w:p w14:paraId="1888D719" w14:textId="77777777" w:rsidR="00834873" w:rsidRDefault="00834873" w:rsidP="00834873">
      <w:pPr>
        <w:pStyle w:val="MDPI31text"/>
      </w:pPr>
      <w:r>
        <w:t xml:space="preserve">Worldwide, tobacco use prevention measures remain focused on adolescents and young people. Although various social and behavioral factors of smoking have been identified globally, there is a need to understand country-specific risk factors of smoking, especially among young people. The majority of adult smokers started smoking in their teenage or adolescent years, and it is essential to identify the factors associated with youth smoking behavior and take measures to reduce </w:t>
      </w:r>
      <w:proofErr w:type="gramStart"/>
      <w:r>
        <w:t>them</w:t>
      </w:r>
      <w:proofErr w:type="gramEnd"/>
      <w:r>
        <w:t xml:space="preserve"> [9]. In adolescence, cigarette smoking also contributes to other risk behaviors, such as risky sexual behavior, drug and alcohol consumption, as well as nutrition and dietary risks [9</w:t>
      </w:r>
      <w:proofErr w:type="gramStart"/>
      <w:r>
        <w:t>,10</w:t>
      </w:r>
      <w:proofErr w:type="gramEnd"/>
      <w:r>
        <w:t xml:space="preserve">]. </w:t>
      </w:r>
    </w:p>
    <w:p w14:paraId="4C45FB37" w14:textId="649A3FDE" w:rsidR="00554A5B" w:rsidRPr="009269C3" w:rsidRDefault="009269C3" w:rsidP="00834873">
      <w:pPr>
        <w:pStyle w:val="MDPI31text"/>
        <w:rPr>
          <w:color w:val="FF0000"/>
        </w:rPr>
      </w:pPr>
      <w:r w:rsidRPr="009269C3">
        <w:rPr>
          <w:color w:val="FF0000"/>
        </w:rPr>
        <w:t>The aim of this</w:t>
      </w:r>
      <w:r w:rsidR="00834873" w:rsidRPr="009269C3">
        <w:rPr>
          <w:color w:val="FF0000"/>
        </w:rPr>
        <w:t xml:space="preserve"> study was to assess the prevalence </w:t>
      </w:r>
      <w:r w:rsidRPr="009269C3">
        <w:rPr>
          <w:color w:val="FF0000"/>
        </w:rPr>
        <w:t xml:space="preserve">of cigarette smoking among students at the University of </w:t>
      </w:r>
      <w:proofErr w:type="spellStart"/>
      <w:r w:rsidRPr="009269C3">
        <w:rPr>
          <w:color w:val="FF0000"/>
        </w:rPr>
        <w:t>Banja</w:t>
      </w:r>
      <w:proofErr w:type="spellEnd"/>
      <w:r w:rsidRPr="009269C3">
        <w:rPr>
          <w:color w:val="FF0000"/>
        </w:rPr>
        <w:t xml:space="preserve"> Luka</w:t>
      </w:r>
      <w:r>
        <w:rPr>
          <w:color w:val="FF0000"/>
        </w:rPr>
        <w:t xml:space="preserve">, </w:t>
      </w:r>
      <w:r w:rsidRPr="009269C3">
        <w:rPr>
          <w:color w:val="FF0000"/>
        </w:rPr>
        <w:t xml:space="preserve">their attitudes concerning tobacco use </w:t>
      </w:r>
      <w:r w:rsidR="00834873" w:rsidRPr="009269C3">
        <w:rPr>
          <w:color w:val="FF0000"/>
        </w:rPr>
        <w:t>and contributing factors associated with cigarette smoking</w:t>
      </w:r>
      <w:r w:rsidR="00554A5B" w:rsidRPr="009269C3">
        <w:rPr>
          <w:color w:val="FF0000"/>
        </w:rPr>
        <w:t>.</w:t>
      </w:r>
    </w:p>
    <w:p w14:paraId="33C348D8" w14:textId="77777777" w:rsidR="00554A5B" w:rsidRPr="00FA04F1" w:rsidRDefault="00554A5B" w:rsidP="00554A5B">
      <w:pPr>
        <w:pStyle w:val="MDPI21heading1"/>
      </w:pPr>
      <w:r w:rsidRPr="00FA04F1">
        <w:rPr>
          <w:lang w:eastAsia="zh-CN"/>
        </w:rPr>
        <w:t xml:space="preserve">2. </w:t>
      </w:r>
      <w:r w:rsidRPr="00FA04F1">
        <w:t>Materials and Methods</w:t>
      </w:r>
    </w:p>
    <w:p w14:paraId="36C9239F" w14:textId="77777777" w:rsidR="00834873" w:rsidRDefault="00834873" w:rsidP="00834873">
      <w:pPr>
        <w:pStyle w:val="MDPI31text"/>
      </w:pPr>
      <w:r>
        <w:t xml:space="preserve">This research was conducted as a cross-sectional survey at the University of </w:t>
      </w:r>
      <w:proofErr w:type="spellStart"/>
      <w:r>
        <w:t>Banja</w:t>
      </w:r>
      <w:proofErr w:type="spellEnd"/>
      <w:r>
        <w:t xml:space="preserve"> Luka, in the Republic of </w:t>
      </w:r>
      <w:proofErr w:type="spellStart"/>
      <w:r>
        <w:t>Srpska</w:t>
      </w:r>
      <w:proofErr w:type="spellEnd"/>
      <w:r>
        <w:t>, Bosnia and Herzegovina, during April and May 2020. An adapted questionnaire, based on a standardized Global Health Professional Student Survey (GHPSS) and a Global Youth Tobacco Survey (GYTS), was used for data collection [11</w:t>
      </w:r>
      <w:proofErr w:type="gramStart"/>
      <w:r>
        <w:t>,12</w:t>
      </w:r>
      <w:proofErr w:type="gramEnd"/>
      <w:r>
        <w:t xml:space="preserve">]. </w:t>
      </w:r>
    </w:p>
    <w:p w14:paraId="06C61231" w14:textId="77777777" w:rsidR="00834873" w:rsidRPr="00834873" w:rsidRDefault="00834873" w:rsidP="00834873">
      <w:pPr>
        <w:pStyle w:val="MDPI22heading2"/>
        <w:spacing w:before="240"/>
      </w:pPr>
      <w:r w:rsidRPr="00834873">
        <w:t>Sample size</w:t>
      </w:r>
    </w:p>
    <w:p w14:paraId="77B4A48F" w14:textId="6FA547B9" w:rsidR="00834873" w:rsidRDefault="00834873" w:rsidP="00834873">
      <w:pPr>
        <w:pStyle w:val="MDPI31text"/>
      </w:pPr>
      <w:r>
        <w:t xml:space="preserve">The young adult population of this study was estimated (CI of 95%) to establish that the sample size was no more than 5% from the actual figure in the source population. Out of nearly 16000 students </w:t>
      </w:r>
      <w:r w:rsidR="00843B31" w:rsidRPr="00843B31">
        <w:rPr>
          <w:color w:val="FF0000"/>
        </w:rPr>
        <w:t xml:space="preserve">from 16 faculties </w:t>
      </w:r>
      <w:r>
        <w:t xml:space="preserve">of the University of </w:t>
      </w:r>
      <w:proofErr w:type="spellStart"/>
      <w:r>
        <w:t>Banja</w:t>
      </w:r>
      <w:proofErr w:type="spellEnd"/>
      <w:r>
        <w:t xml:space="preserve"> Luka, the sample of 1200 students were subjects in our study.</w:t>
      </w:r>
    </w:p>
    <w:p w14:paraId="47E88E77" w14:textId="77777777" w:rsidR="00834873" w:rsidRPr="00834873" w:rsidRDefault="00834873" w:rsidP="00834873">
      <w:pPr>
        <w:pStyle w:val="MDPI22heading2"/>
        <w:spacing w:before="240"/>
      </w:pPr>
      <w:r w:rsidRPr="00834873">
        <w:t xml:space="preserve">Data collection </w:t>
      </w:r>
    </w:p>
    <w:p w14:paraId="3FAE4718" w14:textId="77777777" w:rsidR="00834873" w:rsidRDefault="00834873" w:rsidP="00834873">
      <w:pPr>
        <w:pStyle w:val="MDPI31text"/>
      </w:pPr>
      <w:r>
        <w:t xml:space="preserve">Snowball sampling was used for data collection [13]. The first step of the survey was to identify and recruit the student representatives, one or more, from each faculty of the University of </w:t>
      </w:r>
      <w:proofErr w:type="spellStart"/>
      <w:r>
        <w:t>Banja</w:t>
      </w:r>
      <w:proofErr w:type="spellEnd"/>
      <w:r>
        <w:t xml:space="preserve"> Luka to whom the research team had previously submitted an electronic questionnaire. These students were the initiators of the survey and disseminated the electronic questionnaire to others, the new participants in the survey. The questionnaire used included the following: socio-demographic characteristics, use of tobacco products, exposure to secondhand smoke, smoking cessation, and attitudes regarding smoking. </w:t>
      </w:r>
    </w:p>
    <w:p w14:paraId="02823D0F" w14:textId="77777777" w:rsidR="00834873" w:rsidRPr="00834873" w:rsidRDefault="00834873" w:rsidP="00834873">
      <w:pPr>
        <w:pStyle w:val="MDPI22heading2"/>
        <w:spacing w:before="240"/>
      </w:pPr>
      <w:r w:rsidRPr="00834873">
        <w:t>Ethical Consideration and Confidentiality</w:t>
      </w:r>
    </w:p>
    <w:p w14:paraId="596D1A6D" w14:textId="77777777" w:rsidR="00834873" w:rsidRDefault="00834873" w:rsidP="00834873">
      <w:pPr>
        <w:pStyle w:val="MDPI31text"/>
      </w:pPr>
      <w:r>
        <w:lastRenderedPageBreak/>
        <w:t xml:space="preserve">This study was approved by the Ethics Committee of the University of </w:t>
      </w:r>
      <w:proofErr w:type="spellStart"/>
      <w:r>
        <w:t>Banja</w:t>
      </w:r>
      <w:proofErr w:type="spellEnd"/>
      <w:r>
        <w:t xml:space="preserve"> Luka (Decision No 18/4.17/19) and it was conducted in accordance with the principles of the Helsinki Declaration [14]. Prior to entering this study, all participants were fully informed about the reasons for conducting the study, how their data will be used, assured of anonymity, and the risk-free nature of the study.</w:t>
      </w:r>
    </w:p>
    <w:p w14:paraId="73704425" w14:textId="77777777" w:rsidR="00834873" w:rsidRPr="00834873" w:rsidRDefault="00834873" w:rsidP="00834873">
      <w:pPr>
        <w:pStyle w:val="MDPI22heading2"/>
        <w:spacing w:before="240"/>
      </w:pPr>
      <w:r w:rsidRPr="00834873">
        <w:t>Statistical Analysis</w:t>
      </w:r>
    </w:p>
    <w:p w14:paraId="7874232C" w14:textId="34F32379" w:rsidR="00554A5B" w:rsidRDefault="00834873" w:rsidP="00834873">
      <w:pPr>
        <w:pStyle w:val="MDPI31text"/>
      </w:pPr>
      <w:r>
        <w:t>The Statistical Package for the Social Sciences (SPSS), Windows version 25.0 was used to analyze the data obtained. Descriptive statistics analyzed demographic characteristics. The Pearson chi-square test was used for the frequencies, means, and the association of demographic variables with the prevalence of cigarette smoking. Multivariate logistic regression analysis was used to identify the relative importance of each predictor to the dependent variable by controlling the effects of other variables. The 95% confidence interval (CI) was estimated, and the P-value &lt;0.05 was considered significant</w:t>
      </w:r>
      <w:r w:rsidR="00BC548D">
        <w:t>.</w:t>
      </w:r>
    </w:p>
    <w:p w14:paraId="1A76551C" w14:textId="77777777" w:rsidR="00554A5B" w:rsidRPr="001F31D1" w:rsidRDefault="00554A5B" w:rsidP="005970D4">
      <w:pPr>
        <w:pStyle w:val="MDPI21heading1"/>
      </w:pPr>
      <w:r w:rsidRPr="001F31D1">
        <w:t>3. Results</w:t>
      </w:r>
    </w:p>
    <w:p w14:paraId="10A4C4A8" w14:textId="4A56EBC0" w:rsidR="00891611" w:rsidRDefault="00834873" w:rsidP="005970D4">
      <w:pPr>
        <w:pStyle w:val="MDPI31text"/>
      </w:pPr>
      <w:r w:rsidRPr="00834873">
        <w:t xml:space="preserve">The study involved 1200 students aged between 18 and 26 years, with most students in the age group 20–21 (35.4%). </w:t>
      </w:r>
      <w:r w:rsidR="004C690B" w:rsidRPr="004C690B">
        <w:rPr>
          <w:color w:val="FF0000"/>
        </w:rPr>
        <w:t xml:space="preserve">Majority of </w:t>
      </w:r>
      <w:r w:rsidR="004C690B" w:rsidRPr="004C690B">
        <w:rPr>
          <w:color w:val="FF0000"/>
          <w:lang w:val="en-GB"/>
        </w:rPr>
        <w:t>study participants were medical students (41.4%) and the rest were students from other faculties (58.6%).</w:t>
      </w:r>
      <w:r w:rsidR="004C690B">
        <w:rPr>
          <w:lang w:val="en-GB"/>
        </w:rPr>
        <w:t xml:space="preserve"> </w:t>
      </w:r>
      <w:r w:rsidRPr="00834873">
        <w:t xml:space="preserve">Most of the survey participants were females, almost twice the number of male students, which is in accordance with the gender distribution of students at the University of </w:t>
      </w:r>
      <w:proofErr w:type="spellStart"/>
      <w:r w:rsidRPr="00834873">
        <w:t>Banja</w:t>
      </w:r>
      <w:proofErr w:type="spellEnd"/>
      <w:r w:rsidRPr="00834873">
        <w:t xml:space="preserve"> Luka (Table 1)</w:t>
      </w:r>
      <w:r w:rsidR="00891611" w:rsidRPr="005E4148">
        <w:t>.</w:t>
      </w:r>
    </w:p>
    <w:p w14:paraId="30444B05" w14:textId="43A3F34F" w:rsidR="008F06B8" w:rsidRDefault="008F06B8" w:rsidP="008F06B8">
      <w:pPr>
        <w:pStyle w:val="MDPI41tablecaption"/>
      </w:pPr>
      <w:r w:rsidRPr="008F06B8">
        <w:rPr>
          <w:b/>
        </w:rPr>
        <w:t xml:space="preserve">Table 1. </w:t>
      </w:r>
      <w:r w:rsidRPr="008F06B8">
        <w:t>Students’ smoking status and socio-demographic characteristics</w:t>
      </w:r>
      <w:r>
        <w:t>.</w:t>
      </w:r>
    </w:p>
    <w:tbl>
      <w:tblPr>
        <w:tblW w:w="7857" w:type="dxa"/>
        <w:tblInd w:w="2608" w:type="dxa"/>
        <w:tblBorders>
          <w:top w:val="single" w:sz="8" w:space="0" w:color="auto"/>
          <w:bottom w:val="single" w:sz="8" w:space="0" w:color="auto"/>
          <w:insideH w:val="single" w:sz="4" w:space="0" w:color="7F7F7F"/>
        </w:tblBorders>
        <w:tblLayout w:type="fixed"/>
        <w:tblCellMar>
          <w:left w:w="0" w:type="dxa"/>
          <w:right w:w="0" w:type="dxa"/>
        </w:tblCellMar>
        <w:tblLook w:val="0400" w:firstRow="0" w:lastRow="0" w:firstColumn="0" w:lastColumn="0" w:noHBand="0" w:noVBand="1"/>
      </w:tblPr>
      <w:tblGrid>
        <w:gridCol w:w="2323"/>
        <w:gridCol w:w="1870"/>
        <w:gridCol w:w="1398"/>
        <w:gridCol w:w="914"/>
        <w:gridCol w:w="1352"/>
      </w:tblGrid>
      <w:tr w:rsidR="008F06B8" w:rsidRPr="008F06B8" w14:paraId="0C635950" w14:textId="77777777" w:rsidTr="00D83753">
        <w:tc>
          <w:tcPr>
            <w:tcW w:w="2675" w:type="dxa"/>
            <w:vMerge w:val="restart"/>
            <w:tcBorders>
              <w:top w:val="single" w:sz="8" w:space="0" w:color="auto"/>
              <w:bottom w:val="single" w:sz="4" w:space="0" w:color="7F7F7F"/>
            </w:tcBorders>
            <w:shd w:val="clear" w:color="auto" w:fill="DBE5F1"/>
            <w:tcMar>
              <w:top w:w="80" w:type="dxa"/>
              <w:left w:w="80" w:type="dxa"/>
              <w:bottom w:w="80" w:type="dxa"/>
              <w:right w:w="80" w:type="dxa"/>
            </w:tcMar>
            <w:vAlign w:val="center"/>
          </w:tcPr>
          <w:p w14:paraId="21C20ADE"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8F06B8">
              <w:rPr>
                <w:rFonts w:eastAsia="Times New Roman"/>
                <w:b/>
                <w:lang w:eastAsia="en-US"/>
              </w:rPr>
              <w:t>Variables</w:t>
            </w:r>
          </w:p>
        </w:tc>
        <w:tc>
          <w:tcPr>
            <w:tcW w:w="3726" w:type="dxa"/>
            <w:gridSpan w:val="2"/>
            <w:tcBorders>
              <w:top w:val="single" w:sz="8" w:space="0" w:color="auto"/>
              <w:bottom w:val="single" w:sz="4" w:space="0" w:color="7F7F7F"/>
            </w:tcBorders>
            <w:shd w:val="clear" w:color="auto" w:fill="DBE5F1"/>
            <w:tcMar>
              <w:top w:w="80" w:type="dxa"/>
              <w:left w:w="80" w:type="dxa"/>
              <w:bottom w:w="80" w:type="dxa"/>
              <w:right w:w="80" w:type="dxa"/>
            </w:tcMar>
            <w:vAlign w:val="center"/>
          </w:tcPr>
          <w:p w14:paraId="099DA947"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8F06B8">
              <w:rPr>
                <w:rFonts w:eastAsia="Times New Roman"/>
                <w:b/>
                <w:lang w:eastAsia="en-US"/>
              </w:rPr>
              <w:t>Smoking</w:t>
            </w:r>
          </w:p>
        </w:tc>
        <w:tc>
          <w:tcPr>
            <w:tcW w:w="1050" w:type="dxa"/>
            <w:tcBorders>
              <w:top w:val="single" w:sz="8" w:space="0" w:color="auto"/>
              <w:bottom w:val="single" w:sz="4" w:space="0" w:color="7F7F7F"/>
            </w:tcBorders>
            <w:shd w:val="clear" w:color="auto" w:fill="DBE5F1"/>
            <w:tcMar>
              <w:top w:w="80" w:type="dxa"/>
              <w:left w:w="80" w:type="dxa"/>
              <w:bottom w:w="80" w:type="dxa"/>
              <w:right w:w="80" w:type="dxa"/>
            </w:tcMar>
            <w:vAlign w:val="center"/>
          </w:tcPr>
          <w:p w14:paraId="0073CBD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8F06B8">
              <w:rPr>
                <w:rFonts w:eastAsia="Times New Roman"/>
                <w:b/>
                <w:lang w:eastAsia="en-US"/>
              </w:rPr>
              <w:t> </w:t>
            </w:r>
          </w:p>
        </w:tc>
        <w:tc>
          <w:tcPr>
            <w:tcW w:w="1569" w:type="dxa"/>
            <w:tcBorders>
              <w:top w:val="single" w:sz="8" w:space="0" w:color="auto"/>
              <w:bottom w:val="single" w:sz="4" w:space="0" w:color="7F7F7F"/>
            </w:tcBorders>
            <w:shd w:val="clear" w:color="auto" w:fill="DBE5F1"/>
            <w:tcMar>
              <w:top w:w="80" w:type="dxa"/>
              <w:left w:w="80" w:type="dxa"/>
              <w:bottom w:w="80" w:type="dxa"/>
              <w:right w:w="80" w:type="dxa"/>
            </w:tcMar>
            <w:vAlign w:val="center"/>
          </w:tcPr>
          <w:p w14:paraId="756059D6"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8F06B8">
              <w:rPr>
                <w:rFonts w:eastAsia="Times New Roman"/>
                <w:b/>
                <w:lang w:eastAsia="en-US"/>
              </w:rPr>
              <w:t> </w:t>
            </w:r>
          </w:p>
        </w:tc>
      </w:tr>
      <w:tr w:rsidR="008F06B8" w:rsidRPr="008F06B8" w14:paraId="4E109C44" w14:textId="77777777" w:rsidTr="00D83753">
        <w:tc>
          <w:tcPr>
            <w:tcW w:w="2675" w:type="dxa"/>
            <w:vMerge/>
            <w:tcBorders>
              <w:top w:val="single" w:sz="4" w:space="0" w:color="7F7F7F"/>
              <w:bottom w:val="single" w:sz="4" w:space="0" w:color="7F7F7F"/>
            </w:tcBorders>
            <w:shd w:val="clear" w:color="auto" w:fill="DBE5F1"/>
            <w:tcMar>
              <w:top w:w="80" w:type="dxa"/>
              <w:left w:w="80" w:type="dxa"/>
              <w:bottom w:w="80" w:type="dxa"/>
              <w:right w:w="80" w:type="dxa"/>
            </w:tcMar>
            <w:vAlign w:val="center"/>
          </w:tcPr>
          <w:p w14:paraId="5A6606B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p>
        </w:tc>
        <w:tc>
          <w:tcPr>
            <w:tcW w:w="2102" w:type="dxa"/>
            <w:tcBorders>
              <w:top w:val="single" w:sz="4" w:space="0" w:color="7F7F7F"/>
              <w:bottom w:val="single" w:sz="4" w:space="0" w:color="7F7F7F"/>
            </w:tcBorders>
            <w:shd w:val="clear" w:color="auto" w:fill="DBE5F1"/>
            <w:tcMar>
              <w:top w:w="80" w:type="dxa"/>
              <w:left w:w="519" w:type="dxa"/>
              <w:bottom w:w="80" w:type="dxa"/>
              <w:right w:w="80" w:type="dxa"/>
            </w:tcMar>
            <w:vAlign w:val="center"/>
          </w:tcPr>
          <w:p w14:paraId="171D4EBD"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8F06B8">
              <w:rPr>
                <w:rFonts w:eastAsia="Times New Roman"/>
                <w:b/>
                <w:lang w:eastAsia="en-US"/>
              </w:rPr>
              <w:t>Yes (%)</w:t>
            </w:r>
          </w:p>
        </w:tc>
        <w:tc>
          <w:tcPr>
            <w:tcW w:w="1624" w:type="dxa"/>
            <w:tcBorders>
              <w:top w:val="single" w:sz="4" w:space="0" w:color="7F7F7F"/>
              <w:bottom w:val="single" w:sz="4" w:space="0" w:color="7F7F7F"/>
            </w:tcBorders>
            <w:shd w:val="clear" w:color="auto" w:fill="DBE5F1"/>
            <w:tcMar>
              <w:top w:w="80" w:type="dxa"/>
              <w:left w:w="80" w:type="dxa"/>
              <w:bottom w:w="80" w:type="dxa"/>
              <w:right w:w="80" w:type="dxa"/>
            </w:tcMar>
            <w:vAlign w:val="center"/>
          </w:tcPr>
          <w:p w14:paraId="5A62667A"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8F06B8">
              <w:rPr>
                <w:rFonts w:eastAsia="Times New Roman"/>
                <w:b/>
                <w:lang w:eastAsia="en-US"/>
              </w:rPr>
              <w:t xml:space="preserve">No (%) </w:t>
            </w:r>
          </w:p>
        </w:tc>
        <w:tc>
          <w:tcPr>
            <w:tcW w:w="1050" w:type="dxa"/>
            <w:tcBorders>
              <w:top w:val="single" w:sz="4" w:space="0" w:color="7F7F7F"/>
              <w:bottom w:val="single" w:sz="4" w:space="0" w:color="7F7F7F"/>
            </w:tcBorders>
            <w:shd w:val="clear" w:color="auto" w:fill="DBE5F1"/>
            <w:tcMar>
              <w:top w:w="80" w:type="dxa"/>
              <w:left w:w="80" w:type="dxa"/>
              <w:bottom w:w="80" w:type="dxa"/>
              <w:right w:w="80" w:type="dxa"/>
            </w:tcMar>
            <w:vAlign w:val="center"/>
          </w:tcPr>
          <w:p w14:paraId="0C022A8B"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8F06B8">
              <w:rPr>
                <w:rFonts w:eastAsia="Times New Roman"/>
                <w:b/>
                <w:lang w:eastAsia="en-US"/>
              </w:rPr>
              <w:t>χ2</w:t>
            </w:r>
          </w:p>
        </w:tc>
        <w:tc>
          <w:tcPr>
            <w:tcW w:w="1569" w:type="dxa"/>
            <w:tcBorders>
              <w:top w:val="single" w:sz="4" w:space="0" w:color="7F7F7F"/>
              <w:bottom w:val="single" w:sz="4" w:space="0" w:color="7F7F7F"/>
            </w:tcBorders>
            <w:shd w:val="clear" w:color="auto" w:fill="DBE5F1"/>
            <w:tcMar>
              <w:top w:w="80" w:type="dxa"/>
              <w:left w:w="80" w:type="dxa"/>
              <w:bottom w:w="80" w:type="dxa"/>
              <w:right w:w="80" w:type="dxa"/>
            </w:tcMar>
            <w:vAlign w:val="center"/>
          </w:tcPr>
          <w:p w14:paraId="4A26D044"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8F06B8">
              <w:rPr>
                <w:rFonts w:eastAsia="Times New Roman"/>
                <w:b/>
                <w:i/>
                <w:lang w:eastAsia="en-US"/>
              </w:rPr>
              <w:t>P-value</w:t>
            </w:r>
            <w:r w:rsidRPr="008F06B8">
              <w:rPr>
                <w:rFonts w:eastAsia="Times New Roman"/>
                <w:b/>
                <w:lang w:eastAsia="en-US"/>
              </w:rPr>
              <w:t>*</w:t>
            </w:r>
          </w:p>
        </w:tc>
      </w:tr>
      <w:tr w:rsidR="008F06B8" w:rsidRPr="008F06B8" w14:paraId="6617535F" w14:textId="77777777" w:rsidTr="00D83753">
        <w:tc>
          <w:tcPr>
            <w:tcW w:w="2675" w:type="dxa"/>
            <w:tcBorders>
              <w:top w:val="single" w:sz="4" w:space="0" w:color="7F7F7F"/>
            </w:tcBorders>
            <w:shd w:val="clear" w:color="auto" w:fill="auto"/>
            <w:tcMar>
              <w:top w:w="80" w:type="dxa"/>
              <w:left w:w="80" w:type="dxa"/>
              <w:bottom w:w="80" w:type="dxa"/>
              <w:right w:w="80" w:type="dxa"/>
            </w:tcMar>
            <w:vAlign w:val="center"/>
          </w:tcPr>
          <w:p w14:paraId="6E47B531"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b/>
                <w:lang w:eastAsia="en-US"/>
              </w:rPr>
              <w:t>Gender</w:t>
            </w:r>
          </w:p>
        </w:tc>
        <w:tc>
          <w:tcPr>
            <w:tcW w:w="2102" w:type="dxa"/>
            <w:tcBorders>
              <w:top w:val="single" w:sz="4" w:space="0" w:color="7F7F7F"/>
            </w:tcBorders>
            <w:shd w:val="clear" w:color="auto" w:fill="auto"/>
            <w:tcMar>
              <w:top w:w="80" w:type="dxa"/>
              <w:left w:w="80" w:type="dxa"/>
              <w:bottom w:w="80" w:type="dxa"/>
              <w:right w:w="80" w:type="dxa"/>
            </w:tcMar>
            <w:vAlign w:val="center"/>
          </w:tcPr>
          <w:p w14:paraId="4FFF067F"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624" w:type="dxa"/>
            <w:tcBorders>
              <w:top w:val="single" w:sz="4" w:space="0" w:color="7F7F7F"/>
            </w:tcBorders>
            <w:shd w:val="clear" w:color="auto" w:fill="auto"/>
            <w:tcMar>
              <w:top w:w="80" w:type="dxa"/>
              <w:left w:w="80" w:type="dxa"/>
              <w:bottom w:w="80" w:type="dxa"/>
              <w:right w:w="80" w:type="dxa"/>
            </w:tcMar>
            <w:vAlign w:val="center"/>
          </w:tcPr>
          <w:p w14:paraId="05A90CFC"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050" w:type="dxa"/>
            <w:tcBorders>
              <w:top w:val="single" w:sz="4" w:space="0" w:color="7F7F7F"/>
            </w:tcBorders>
            <w:shd w:val="clear" w:color="auto" w:fill="auto"/>
            <w:tcMar>
              <w:top w:w="80" w:type="dxa"/>
              <w:left w:w="80" w:type="dxa"/>
              <w:bottom w:w="80" w:type="dxa"/>
              <w:right w:w="80" w:type="dxa"/>
            </w:tcMar>
            <w:vAlign w:val="center"/>
          </w:tcPr>
          <w:p w14:paraId="4163C0AA"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tcBorders>
              <w:top w:val="single" w:sz="4" w:space="0" w:color="7F7F7F"/>
            </w:tcBorders>
            <w:shd w:val="clear" w:color="auto" w:fill="auto"/>
            <w:tcMar>
              <w:top w:w="80" w:type="dxa"/>
              <w:left w:w="80" w:type="dxa"/>
              <w:bottom w:w="80" w:type="dxa"/>
              <w:right w:w="80" w:type="dxa"/>
            </w:tcMar>
            <w:vAlign w:val="center"/>
          </w:tcPr>
          <w:p w14:paraId="2AE31E8A"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0E0D9EBC" w14:textId="77777777" w:rsidTr="00D83753">
        <w:tc>
          <w:tcPr>
            <w:tcW w:w="2675" w:type="dxa"/>
            <w:shd w:val="clear" w:color="auto" w:fill="auto"/>
            <w:tcMar>
              <w:top w:w="80" w:type="dxa"/>
              <w:left w:w="332" w:type="dxa"/>
              <w:bottom w:w="80" w:type="dxa"/>
              <w:right w:w="80" w:type="dxa"/>
            </w:tcMar>
            <w:vAlign w:val="center"/>
          </w:tcPr>
          <w:p w14:paraId="27E6490B"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 xml:space="preserve">Male </w:t>
            </w:r>
          </w:p>
        </w:tc>
        <w:tc>
          <w:tcPr>
            <w:tcW w:w="2102" w:type="dxa"/>
            <w:shd w:val="clear" w:color="auto" w:fill="auto"/>
            <w:tcMar>
              <w:top w:w="80" w:type="dxa"/>
              <w:left w:w="519" w:type="dxa"/>
              <w:bottom w:w="80" w:type="dxa"/>
              <w:right w:w="80" w:type="dxa"/>
            </w:tcMar>
            <w:vAlign w:val="center"/>
          </w:tcPr>
          <w:p w14:paraId="488CE331"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34.7</w:t>
            </w:r>
          </w:p>
        </w:tc>
        <w:tc>
          <w:tcPr>
            <w:tcW w:w="1624" w:type="dxa"/>
            <w:shd w:val="clear" w:color="auto" w:fill="auto"/>
            <w:tcMar>
              <w:top w:w="80" w:type="dxa"/>
              <w:left w:w="80" w:type="dxa"/>
              <w:bottom w:w="80" w:type="dxa"/>
              <w:right w:w="80" w:type="dxa"/>
            </w:tcMar>
            <w:vAlign w:val="center"/>
          </w:tcPr>
          <w:p w14:paraId="5FF4B17B"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65.3</w:t>
            </w:r>
          </w:p>
        </w:tc>
        <w:tc>
          <w:tcPr>
            <w:tcW w:w="1050" w:type="dxa"/>
            <w:shd w:val="clear" w:color="auto" w:fill="auto"/>
            <w:tcMar>
              <w:top w:w="80" w:type="dxa"/>
              <w:left w:w="80" w:type="dxa"/>
              <w:bottom w:w="80" w:type="dxa"/>
              <w:right w:w="80" w:type="dxa"/>
            </w:tcMar>
            <w:vAlign w:val="center"/>
          </w:tcPr>
          <w:p w14:paraId="49499DFD"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0.081</w:t>
            </w:r>
          </w:p>
        </w:tc>
        <w:tc>
          <w:tcPr>
            <w:tcW w:w="1569" w:type="dxa"/>
            <w:shd w:val="clear" w:color="auto" w:fill="auto"/>
            <w:tcMar>
              <w:top w:w="80" w:type="dxa"/>
              <w:left w:w="80" w:type="dxa"/>
              <w:bottom w:w="80" w:type="dxa"/>
              <w:right w:w="80" w:type="dxa"/>
            </w:tcMar>
            <w:vAlign w:val="center"/>
          </w:tcPr>
          <w:p w14:paraId="283ED8BD"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0.777</w:t>
            </w:r>
          </w:p>
        </w:tc>
      </w:tr>
      <w:tr w:rsidR="008F06B8" w:rsidRPr="008F06B8" w14:paraId="13CA1912" w14:textId="77777777" w:rsidTr="00D83753">
        <w:tc>
          <w:tcPr>
            <w:tcW w:w="2675" w:type="dxa"/>
            <w:shd w:val="clear" w:color="auto" w:fill="auto"/>
            <w:tcMar>
              <w:top w:w="80" w:type="dxa"/>
              <w:left w:w="332" w:type="dxa"/>
              <w:bottom w:w="80" w:type="dxa"/>
              <w:right w:w="80" w:type="dxa"/>
            </w:tcMar>
            <w:vAlign w:val="center"/>
          </w:tcPr>
          <w:p w14:paraId="3B8F3E21"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 xml:space="preserve">Female </w:t>
            </w:r>
          </w:p>
        </w:tc>
        <w:tc>
          <w:tcPr>
            <w:tcW w:w="2102" w:type="dxa"/>
            <w:shd w:val="clear" w:color="auto" w:fill="auto"/>
            <w:tcMar>
              <w:top w:w="80" w:type="dxa"/>
              <w:left w:w="519" w:type="dxa"/>
              <w:bottom w:w="80" w:type="dxa"/>
              <w:right w:w="80" w:type="dxa"/>
            </w:tcMar>
            <w:vAlign w:val="center"/>
          </w:tcPr>
          <w:p w14:paraId="014F5BC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32.8</w:t>
            </w:r>
          </w:p>
        </w:tc>
        <w:tc>
          <w:tcPr>
            <w:tcW w:w="1624" w:type="dxa"/>
            <w:shd w:val="clear" w:color="auto" w:fill="auto"/>
            <w:tcMar>
              <w:top w:w="80" w:type="dxa"/>
              <w:left w:w="80" w:type="dxa"/>
              <w:bottom w:w="80" w:type="dxa"/>
              <w:right w:w="80" w:type="dxa"/>
            </w:tcMar>
            <w:vAlign w:val="center"/>
          </w:tcPr>
          <w:p w14:paraId="5C81527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67.2</w:t>
            </w:r>
          </w:p>
        </w:tc>
        <w:tc>
          <w:tcPr>
            <w:tcW w:w="1050" w:type="dxa"/>
            <w:shd w:val="clear" w:color="auto" w:fill="auto"/>
            <w:tcMar>
              <w:top w:w="80" w:type="dxa"/>
              <w:left w:w="80" w:type="dxa"/>
              <w:bottom w:w="80" w:type="dxa"/>
              <w:right w:w="80" w:type="dxa"/>
            </w:tcMar>
            <w:vAlign w:val="center"/>
          </w:tcPr>
          <w:p w14:paraId="684653C9"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6D092B2C"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5529F0BF" w14:textId="77777777" w:rsidTr="00AF6894">
        <w:tc>
          <w:tcPr>
            <w:tcW w:w="2675" w:type="dxa"/>
            <w:shd w:val="clear" w:color="auto" w:fill="D9E2F3" w:themeFill="accent1" w:themeFillTint="33"/>
            <w:tcMar>
              <w:top w:w="80" w:type="dxa"/>
              <w:left w:w="80" w:type="dxa"/>
              <w:bottom w:w="80" w:type="dxa"/>
              <w:right w:w="80" w:type="dxa"/>
            </w:tcMar>
            <w:vAlign w:val="center"/>
          </w:tcPr>
          <w:p w14:paraId="4B30722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b/>
                <w:lang w:eastAsia="en-US"/>
              </w:rPr>
              <w:t xml:space="preserve">Age </w:t>
            </w:r>
          </w:p>
        </w:tc>
        <w:tc>
          <w:tcPr>
            <w:tcW w:w="2102" w:type="dxa"/>
            <w:shd w:val="clear" w:color="auto" w:fill="D9E2F3" w:themeFill="accent1" w:themeFillTint="33"/>
            <w:tcMar>
              <w:top w:w="80" w:type="dxa"/>
              <w:left w:w="80" w:type="dxa"/>
              <w:bottom w:w="80" w:type="dxa"/>
              <w:right w:w="80" w:type="dxa"/>
            </w:tcMar>
            <w:vAlign w:val="center"/>
          </w:tcPr>
          <w:p w14:paraId="1C98E963"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624" w:type="dxa"/>
            <w:shd w:val="clear" w:color="auto" w:fill="D9E2F3" w:themeFill="accent1" w:themeFillTint="33"/>
            <w:tcMar>
              <w:top w:w="80" w:type="dxa"/>
              <w:left w:w="80" w:type="dxa"/>
              <w:bottom w:w="80" w:type="dxa"/>
              <w:right w:w="80" w:type="dxa"/>
            </w:tcMar>
            <w:vAlign w:val="center"/>
          </w:tcPr>
          <w:p w14:paraId="313E47EB"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050" w:type="dxa"/>
            <w:shd w:val="clear" w:color="auto" w:fill="D9E2F3" w:themeFill="accent1" w:themeFillTint="33"/>
            <w:tcMar>
              <w:top w:w="80" w:type="dxa"/>
              <w:left w:w="80" w:type="dxa"/>
              <w:bottom w:w="80" w:type="dxa"/>
              <w:right w:w="80" w:type="dxa"/>
            </w:tcMar>
            <w:vAlign w:val="center"/>
          </w:tcPr>
          <w:p w14:paraId="3D59CAC1"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D9E2F3" w:themeFill="accent1" w:themeFillTint="33"/>
            <w:tcMar>
              <w:top w:w="80" w:type="dxa"/>
              <w:left w:w="80" w:type="dxa"/>
              <w:bottom w:w="80" w:type="dxa"/>
              <w:right w:w="80" w:type="dxa"/>
            </w:tcMar>
            <w:vAlign w:val="center"/>
          </w:tcPr>
          <w:p w14:paraId="38C4136C"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4194AB7E" w14:textId="77777777" w:rsidTr="00D83753">
        <w:tc>
          <w:tcPr>
            <w:tcW w:w="2675" w:type="dxa"/>
            <w:shd w:val="clear" w:color="auto" w:fill="auto"/>
            <w:tcMar>
              <w:top w:w="80" w:type="dxa"/>
              <w:left w:w="80" w:type="dxa"/>
              <w:bottom w:w="80" w:type="dxa"/>
              <w:right w:w="80" w:type="dxa"/>
            </w:tcMar>
            <w:vAlign w:val="center"/>
          </w:tcPr>
          <w:p w14:paraId="4505B969" w14:textId="77777777" w:rsidR="008F06B8" w:rsidRPr="00AF6894" w:rsidRDefault="008E0740"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sdt>
              <w:sdtPr>
                <w:rPr>
                  <w:rFonts w:eastAsia="Times New Roman"/>
                  <w:color w:val="auto"/>
                  <w:szCs w:val="24"/>
                  <w:lang w:eastAsia="en-US"/>
                </w:rPr>
                <w:tag w:val="goog_rdk_0"/>
                <w:id w:val="1337421026"/>
              </w:sdtPr>
              <w:sdtEndPr/>
              <w:sdtContent>
                <w:r w:rsidR="008F06B8" w:rsidRPr="00AF6894">
                  <w:rPr>
                    <w:rFonts w:eastAsia="Gungsuh"/>
                    <w:lang w:eastAsia="en-US"/>
                  </w:rPr>
                  <w:t>≤</w:t>
                </w:r>
                <w:r w:rsidR="008F06B8" w:rsidRPr="00AF6894">
                  <w:rPr>
                    <w:rFonts w:eastAsia="Gungsuh" w:cs="Gungsuh"/>
                    <w:lang w:eastAsia="en-US"/>
                  </w:rPr>
                  <w:t>19 years</w:t>
                </w:r>
              </w:sdtContent>
            </w:sdt>
          </w:p>
        </w:tc>
        <w:tc>
          <w:tcPr>
            <w:tcW w:w="2102" w:type="dxa"/>
            <w:shd w:val="clear" w:color="auto" w:fill="auto"/>
            <w:tcMar>
              <w:top w:w="80" w:type="dxa"/>
              <w:left w:w="519" w:type="dxa"/>
              <w:bottom w:w="80" w:type="dxa"/>
              <w:right w:w="80" w:type="dxa"/>
            </w:tcMar>
            <w:vAlign w:val="center"/>
          </w:tcPr>
          <w:p w14:paraId="07A6CBD0"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27.3</w:t>
            </w:r>
          </w:p>
        </w:tc>
        <w:tc>
          <w:tcPr>
            <w:tcW w:w="1624" w:type="dxa"/>
            <w:shd w:val="clear" w:color="auto" w:fill="auto"/>
            <w:tcMar>
              <w:top w:w="80" w:type="dxa"/>
              <w:left w:w="80" w:type="dxa"/>
              <w:bottom w:w="80" w:type="dxa"/>
              <w:right w:w="80" w:type="dxa"/>
            </w:tcMar>
            <w:vAlign w:val="center"/>
          </w:tcPr>
          <w:p w14:paraId="24E595C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72.7</w:t>
            </w:r>
          </w:p>
        </w:tc>
        <w:tc>
          <w:tcPr>
            <w:tcW w:w="1050" w:type="dxa"/>
            <w:shd w:val="clear" w:color="auto" w:fill="auto"/>
            <w:tcMar>
              <w:top w:w="80" w:type="dxa"/>
              <w:left w:w="80" w:type="dxa"/>
              <w:bottom w:w="80" w:type="dxa"/>
              <w:right w:w="80" w:type="dxa"/>
            </w:tcMar>
            <w:vAlign w:val="center"/>
          </w:tcPr>
          <w:p w14:paraId="16B0858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5.843</w:t>
            </w:r>
          </w:p>
        </w:tc>
        <w:tc>
          <w:tcPr>
            <w:tcW w:w="1569" w:type="dxa"/>
            <w:shd w:val="clear" w:color="auto" w:fill="auto"/>
            <w:tcMar>
              <w:top w:w="80" w:type="dxa"/>
              <w:left w:w="80" w:type="dxa"/>
              <w:bottom w:w="80" w:type="dxa"/>
              <w:right w:w="80" w:type="dxa"/>
            </w:tcMar>
            <w:vAlign w:val="center"/>
          </w:tcPr>
          <w:p w14:paraId="0CFF84C2"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0.558</w:t>
            </w:r>
          </w:p>
        </w:tc>
      </w:tr>
      <w:tr w:rsidR="008F06B8" w:rsidRPr="008F06B8" w14:paraId="19D4FD28" w14:textId="77777777" w:rsidTr="00D83753">
        <w:tc>
          <w:tcPr>
            <w:tcW w:w="2675" w:type="dxa"/>
            <w:shd w:val="clear" w:color="auto" w:fill="auto"/>
            <w:tcMar>
              <w:top w:w="80" w:type="dxa"/>
              <w:left w:w="80" w:type="dxa"/>
              <w:bottom w:w="80" w:type="dxa"/>
              <w:right w:w="80" w:type="dxa"/>
            </w:tcMar>
            <w:vAlign w:val="center"/>
          </w:tcPr>
          <w:p w14:paraId="7F83D045"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20 years</w:t>
            </w:r>
          </w:p>
        </w:tc>
        <w:tc>
          <w:tcPr>
            <w:tcW w:w="2102" w:type="dxa"/>
            <w:shd w:val="clear" w:color="auto" w:fill="auto"/>
            <w:tcMar>
              <w:top w:w="80" w:type="dxa"/>
              <w:left w:w="519" w:type="dxa"/>
              <w:bottom w:w="80" w:type="dxa"/>
              <w:right w:w="80" w:type="dxa"/>
            </w:tcMar>
            <w:vAlign w:val="center"/>
          </w:tcPr>
          <w:p w14:paraId="7ED9DC8D"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34.6</w:t>
            </w:r>
          </w:p>
        </w:tc>
        <w:tc>
          <w:tcPr>
            <w:tcW w:w="1624" w:type="dxa"/>
            <w:shd w:val="clear" w:color="auto" w:fill="auto"/>
            <w:tcMar>
              <w:top w:w="80" w:type="dxa"/>
              <w:left w:w="80" w:type="dxa"/>
              <w:bottom w:w="80" w:type="dxa"/>
              <w:right w:w="80" w:type="dxa"/>
            </w:tcMar>
            <w:vAlign w:val="center"/>
          </w:tcPr>
          <w:p w14:paraId="06EF063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65.4</w:t>
            </w:r>
          </w:p>
        </w:tc>
        <w:tc>
          <w:tcPr>
            <w:tcW w:w="1050" w:type="dxa"/>
            <w:shd w:val="clear" w:color="auto" w:fill="auto"/>
            <w:tcMar>
              <w:top w:w="80" w:type="dxa"/>
              <w:left w:w="80" w:type="dxa"/>
              <w:bottom w:w="80" w:type="dxa"/>
              <w:right w:w="80" w:type="dxa"/>
            </w:tcMar>
            <w:vAlign w:val="center"/>
          </w:tcPr>
          <w:p w14:paraId="1ACEECC3"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0F5DBAD3"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112FD30F" w14:textId="77777777" w:rsidTr="00D83753">
        <w:tc>
          <w:tcPr>
            <w:tcW w:w="2675" w:type="dxa"/>
            <w:shd w:val="clear" w:color="auto" w:fill="auto"/>
            <w:tcMar>
              <w:top w:w="80" w:type="dxa"/>
              <w:left w:w="80" w:type="dxa"/>
              <w:bottom w:w="80" w:type="dxa"/>
              <w:right w:w="80" w:type="dxa"/>
            </w:tcMar>
            <w:vAlign w:val="center"/>
          </w:tcPr>
          <w:p w14:paraId="1B00AC78"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21 years</w:t>
            </w:r>
          </w:p>
        </w:tc>
        <w:tc>
          <w:tcPr>
            <w:tcW w:w="2102" w:type="dxa"/>
            <w:shd w:val="clear" w:color="auto" w:fill="auto"/>
            <w:tcMar>
              <w:top w:w="80" w:type="dxa"/>
              <w:left w:w="519" w:type="dxa"/>
              <w:bottom w:w="80" w:type="dxa"/>
              <w:right w:w="80" w:type="dxa"/>
            </w:tcMar>
            <w:vAlign w:val="center"/>
          </w:tcPr>
          <w:p w14:paraId="03E52F45"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35.9</w:t>
            </w:r>
          </w:p>
        </w:tc>
        <w:tc>
          <w:tcPr>
            <w:tcW w:w="1624" w:type="dxa"/>
            <w:shd w:val="clear" w:color="auto" w:fill="auto"/>
            <w:tcMar>
              <w:top w:w="80" w:type="dxa"/>
              <w:left w:w="80" w:type="dxa"/>
              <w:bottom w:w="80" w:type="dxa"/>
              <w:right w:w="80" w:type="dxa"/>
            </w:tcMar>
            <w:vAlign w:val="center"/>
          </w:tcPr>
          <w:p w14:paraId="0A531BF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64.1</w:t>
            </w:r>
          </w:p>
        </w:tc>
        <w:tc>
          <w:tcPr>
            <w:tcW w:w="1050" w:type="dxa"/>
            <w:shd w:val="clear" w:color="auto" w:fill="auto"/>
            <w:tcMar>
              <w:top w:w="80" w:type="dxa"/>
              <w:left w:w="80" w:type="dxa"/>
              <w:bottom w:w="80" w:type="dxa"/>
              <w:right w:w="80" w:type="dxa"/>
            </w:tcMar>
            <w:vAlign w:val="center"/>
          </w:tcPr>
          <w:p w14:paraId="3164D1E3"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03D4AE50"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04BBD3C5" w14:textId="77777777" w:rsidTr="00D83753">
        <w:tc>
          <w:tcPr>
            <w:tcW w:w="2675" w:type="dxa"/>
            <w:shd w:val="clear" w:color="auto" w:fill="auto"/>
            <w:tcMar>
              <w:top w:w="80" w:type="dxa"/>
              <w:left w:w="80" w:type="dxa"/>
              <w:bottom w:w="80" w:type="dxa"/>
              <w:right w:w="80" w:type="dxa"/>
            </w:tcMar>
            <w:vAlign w:val="center"/>
          </w:tcPr>
          <w:p w14:paraId="72C0AF6D"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22 years</w:t>
            </w:r>
          </w:p>
        </w:tc>
        <w:tc>
          <w:tcPr>
            <w:tcW w:w="2102" w:type="dxa"/>
            <w:shd w:val="clear" w:color="auto" w:fill="auto"/>
            <w:tcMar>
              <w:top w:w="80" w:type="dxa"/>
              <w:left w:w="519" w:type="dxa"/>
              <w:bottom w:w="80" w:type="dxa"/>
              <w:right w:w="80" w:type="dxa"/>
            </w:tcMar>
            <w:vAlign w:val="center"/>
          </w:tcPr>
          <w:p w14:paraId="6516E5A7"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34.2</w:t>
            </w:r>
          </w:p>
        </w:tc>
        <w:tc>
          <w:tcPr>
            <w:tcW w:w="1624" w:type="dxa"/>
            <w:shd w:val="clear" w:color="auto" w:fill="auto"/>
            <w:tcMar>
              <w:top w:w="80" w:type="dxa"/>
              <w:left w:w="80" w:type="dxa"/>
              <w:bottom w:w="80" w:type="dxa"/>
              <w:right w:w="80" w:type="dxa"/>
            </w:tcMar>
            <w:vAlign w:val="center"/>
          </w:tcPr>
          <w:p w14:paraId="3A7517A7"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65.8</w:t>
            </w:r>
          </w:p>
        </w:tc>
        <w:tc>
          <w:tcPr>
            <w:tcW w:w="1050" w:type="dxa"/>
            <w:shd w:val="clear" w:color="auto" w:fill="auto"/>
            <w:tcMar>
              <w:top w:w="80" w:type="dxa"/>
              <w:left w:w="80" w:type="dxa"/>
              <w:bottom w:w="80" w:type="dxa"/>
              <w:right w:w="80" w:type="dxa"/>
            </w:tcMar>
            <w:vAlign w:val="center"/>
          </w:tcPr>
          <w:p w14:paraId="39192F4B"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163830FB"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0C2A9024" w14:textId="77777777" w:rsidTr="00D83753">
        <w:tc>
          <w:tcPr>
            <w:tcW w:w="2675" w:type="dxa"/>
            <w:shd w:val="clear" w:color="auto" w:fill="auto"/>
            <w:tcMar>
              <w:top w:w="80" w:type="dxa"/>
              <w:left w:w="80" w:type="dxa"/>
              <w:bottom w:w="80" w:type="dxa"/>
              <w:right w:w="80" w:type="dxa"/>
            </w:tcMar>
            <w:vAlign w:val="center"/>
          </w:tcPr>
          <w:p w14:paraId="34B7E417"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23 years</w:t>
            </w:r>
          </w:p>
        </w:tc>
        <w:tc>
          <w:tcPr>
            <w:tcW w:w="2102" w:type="dxa"/>
            <w:shd w:val="clear" w:color="auto" w:fill="auto"/>
            <w:tcMar>
              <w:top w:w="80" w:type="dxa"/>
              <w:left w:w="519" w:type="dxa"/>
              <w:bottom w:w="80" w:type="dxa"/>
              <w:right w:w="80" w:type="dxa"/>
            </w:tcMar>
            <w:vAlign w:val="center"/>
          </w:tcPr>
          <w:p w14:paraId="0DB610B0"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32.8</w:t>
            </w:r>
          </w:p>
        </w:tc>
        <w:tc>
          <w:tcPr>
            <w:tcW w:w="1624" w:type="dxa"/>
            <w:shd w:val="clear" w:color="auto" w:fill="auto"/>
            <w:tcMar>
              <w:top w:w="80" w:type="dxa"/>
              <w:left w:w="80" w:type="dxa"/>
              <w:bottom w:w="80" w:type="dxa"/>
              <w:right w:w="80" w:type="dxa"/>
            </w:tcMar>
            <w:vAlign w:val="center"/>
          </w:tcPr>
          <w:p w14:paraId="1CAAEA9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67.2</w:t>
            </w:r>
          </w:p>
        </w:tc>
        <w:tc>
          <w:tcPr>
            <w:tcW w:w="1050" w:type="dxa"/>
            <w:shd w:val="clear" w:color="auto" w:fill="auto"/>
            <w:tcMar>
              <w:top w:w="80" w:type="dxa"/>
              <w:left w:w="80" w:type="dxa"/>
              <w:bottom w:w="80" w:type="dxa"/>
              <w:right w:w="80" w:type="dxa"/>
            </w:tcMar>
            <w:vAlign w:val="center"/>
          </w:tcPr>
          <w:p w14:paraId="63F71EC3"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1A64129B"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0610FD14" w14:textId="77777777" w:rsidTr="00D83753">
        <w:tc>
          <w:tcPr>
            <w:tcW w:w="2675" w:type="dxa"/>
            <w:shd w:val="clear" w:color="auto" w:fill="auto"/>
            <w:tcMar>
              <w:top w:w="80" w:type="dxa"/>
              <w:left w:w="80" w:type="dxa"/>
              <w:bottom w:w="80" w:type="dxa"/>
              <w:right w:w="80" w:type="dxa"/>
            </w:tcMar>
            <w:vAlign w:val="center"/>
          </w:tcPr>
          <w:p w14:paraId="57E861A9"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24 years</w:t>
            </w:r>
          </w:p>
        </w:tc>
        <w:tc>
          <w:tcPr>
            <w:tcW w:w="2102" w:type="dxa"/>
            <w:shd w:val="clear" w:color="auto" w:fill="auto"/>
            <w:tcMar>
              <w:top w:w="80" w:type="dxa"/>
              <w:left w:w="519" w:type="dxa"/>
              <w:bottom w:w="80" w:type="dxa"/>
              <w:right w:w="80" w:type="dxa"/>
            </w:tcMar>
            <w:vAlign w:val="center"/>
          </w:tcPr>
          <w:p w14:paraId="08F76D2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38.1</w:t>
            </w:r>
          </w:p>
        </w:tc>
        <w:tc>
          <w:tcPr>
            <w:tcW w:w="1624" w:type="dxa"/>
            <w:shd w:val="clear" w:color="auto" w:fill="auto"/>
            <w:tcMar>
              <w:top w:w="80" w:type="dxa"/>
              <w:left w:w="80" w:type="dxa"/>
              <w:bottom w:w="80" w:type="dxa"/>
              <w:right w:w="80" w:type="dxa"/>
            </w:tcMar>
            <w:vAlign w:val="center"/>
          </w:tcPr>
          <w:p w14:paraId="17236C6E"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61.9</w:t>
            </w:r>
          </w:p>
        </w:tc>
        <w:tc>
          <w:tcPr>
            <w:tcW w:w="1050" w:type="dxa"/>
            <w:shd w:val="clear" w:color="auto" w:fill="auto"/>
            <w:tcMar>
              <w:top w:w="80" w:type="dxa"/>
              <w:left w:w="80" w:type="dxa"/>
              <w:bottom w:w="80" w:type="dxa"/>
              <w:right w:w="80" w:type="dxa"/>
            </w:tcMar>
            <w:vAlign w:val="center"/>
          </w:tcPr>
          <w:p w14:paraId="450363B8"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2E1566AE"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546760AF" w14:textId="77777777" w:rsidTr="00D83753">
        <w:tc>
          <w:tcPr>
            <w:tcW w:w="2675" w:type="dxa"/>
            <w:shd w:val="clear" w:color="auto" w:fill="auto"/>
            <w:tcMar>
              <w:top w:w="80" w:type="dxa"/>
              <w:left w:w="80" w:type="dxa"/>
              <w:bottom w:w="80" w:type="dxa"/>
              <w:right w:w="80" w:type="dxa"/>
            </w:tcMar>
            <w:vAlign w:val="center"/>
          </w:tcPr>
          <w:p w14:paraId="54C98FE7"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25 years</w:t>
            </w:r>
          </w:p>
        </w:tc>
        <w:tc>
          <w:tcPr>
            <w:tcW w:w="2102" w:type="dxa"/>
            <w:shd w:val="clear" w:color="auto" w:fill="auto"/>
            <w:tcMar>
              <w:top w:w="80" w:type="dxa"/>
              <w:left w:w="519" w:type="dxa"/>
              <w:bottom w:w="80" w:type="dxa"/>
              <w:right w:w="80" w:type="dxa"/>
            </w:tcMar>
            <w:vAlign w:val="center"/>
          </w:tcPr>
          <w:p w14:paraId="53A26E21"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28</w:t>
            </w:r>
          </w:p>
        </w:tc>
        <w:tc>
          <w:tcPr>
            <w:tcW w:w="1624" w:type="dxa"/>
            <w:shd w:val="clear" w:color="auto" w:fill="auto"/>
            <w:tcMar>
              <w:top w:w="80" w:type="dxa"/>
              <w:left w:w="80" w:type="dxa"/>
              <w:bottom w:w="80" w:type="dxa"/>
              <w:right w:w="80" w:type="dxa"/>
            </w:tcMar>
            <w:vAlign w:val="center"/>
          </w:tcPr>
          <w:p w14:paraId="1967C055"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72</w:t>
            </w:r>
          </w:p>
        </w:tc>
        <w:tc>
          <w:tcPr>
            <w:tcW w:w="1050" w:type="dxa"/>
            <w:shd w:val="clear" w:color="auto" w:fill="auto"/>
            <w:tcMar>
              <w:top w:w="80" w:type="dxa"/>
              <w:left w:w="80" w:type="dxa"/>
              <w:bottom w:w="80" w:type="dxa"/>
              <w:right w:w="80" w:type="dxa"/>
            </w:tcMar>
            <w:vAlign w:val="center"/>
          </w:tcPr>
          <w:p w14:paraId="3C4A3646"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0610FA84"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39172985" w14:textId="77777777" w:rsidTr="00D83753">
        <w:tc>
          <w:tcPr>
            <w:tcW w:w="2675" w:type="dxa"/>
            <w:shd w:val="clear" w:color="auto" w:fill="auto"/>
            <w:tcMar>
              <w:top w:w="80" w:type="dxa"/>
              <w:left w:w="80" w:type="dxa"/>
              <w:bottom w:w="80" w:type="dxa"/>
              <w:right w:w="80" w:type="dxa"/>
            </w:tcMar>
            <w:vAlign w:val="center"/>
          </w:tcPr>
          <w:p w14:paraId="1CF50566" w14:textId="77777777" w:rsidR="008F06B8" w:rsidRPr="00AF6894" w:rsidRDefault="008E0740"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sdt>
              <w:sdtPr>
                <w:rPr>
                  <w:rFonts w:eastAsia="Times New Roman"/>
                  <w:color w:val="auto"/>
                  <w:szCs w:val="24"/>
                  <w:lang w:eastAsia="en-US"/>
                </w:rPr>
                <w:tag w:val="goog_rdk_1"/>
                <w:id w:val="-2093699139"/>
              </w:sdtPr>
              <w:sdtEndPr/>
              <w:sdtContent>
                <w:r w:rsidR="008F06B8" w:rsidRPr="00AF6894">
                  <w:rPr>
                    <w:rFonts w:eastAsia="Gungsuh"/>
                    <w:lang w:eastAsia="en-US"/>
                  </w:rPr>
                  <w:t>≥</w:t>
                </w:r>
                <w:r w:rsidR="008F06B8" w:rsidRPr="00AF6894">
                  <w:rPr>
                    <w:rFonts w:eastAsia="Gungsuh" w:cs="Gungsuh"/>
                    <w:lang w:eastAsia="en-US"/>
                  </w:rPr>
                  <w:t>26 years</w:t>
                </w:r>
              </w:sdtContent>
            </w:sdt>
          </w:p>
        </w:tc>
        <w:tc>
          <w:tcPr>
            <w:tcW w:w="2102" w:type="dxa"/>
            <w:shd w:val="clear" w:color="auto" w:fill="auto"/>
            <w:tcMar>
              <w:top w:w="80" w:type="dxa"/>
              <w:left w:w="519" w:type="dxa"/>
              <w:bottom w:w="80" w:type="dxa"/>
              <w:right w:w="80" w:type="dxa"/>
            </w:tcMar>
            <w:vAlign w:val="center"/>
          </w:tcPr>
          <w:p w14:paraId="7EDCDC23"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38.6</w:t>
            </w:r>
          </w:p>
        </w:tc>
        <w:tc>
          <w:tcPr>
            <w:tcW w:w="1624" w:type="dxa"/>
            <w:shd w:val="clear" w:color="auto" w:fill="auto"/>
            <w:tcMar>
              <w:top w:w="80" w:type="dxa"/>
              <w:left w:w="80" w:type="dxa"/>
              <w:bottom w:w="80" w:type="dxa"/>
              <w:right w:w="80" w:type="dxa"/>
            </w:tcMar>
            <w:vAlign w:val="center"/>
          </w:tcPr>
          <w:p w14:paraId="79F632DB"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61.4</w:t>
            </w:r>
          </w:p>
        </w:tc>
        <w:tc>
          <w:tcPr>
            <w:tcW w:w="1050" w:type="dxa"/>
            <w:shd w:val="clear" w:color="auto" w:fill="auto"/>
            <w:tcMar>
              <w:top w:w="80" w:type="dxa"/>
              <w:left w:w="80" w:type="dxa"/>
              <w:bottom w:w="80" w:type="dxa"/>
              <w:right w:w="80" w:type="dxa"/>
            </w:tcMar>
            <w:vAlign w:val="center"/>
          </w:tcPr>
          <w:p w14:paraId="7509FD68"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1B4B76BE"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77ACAE8F" w14:textId="77777777" w:rsidTr="00AF6894">
        <w:tc>
          <w:tcPr>
            <w:tcW w:w="2675" w:type="dxa"/>
            <w:shd w:val="clear" w:color="auto" w:fill="D9E2F3" w:themeFill="accent1" w:themeFillTint="33"/>
            <w:tcMar>
              <w:top w:w="80" w:type="dxa"/>
              <w:left w:w="80" w:type="dxa"/>
              <w:bottom w:w="80" w:type="dxa"/>
              <w:right w:w="80" w:type="dxa"/>
            </w:tcMar>
            <w:vAlign w:val="center"/>
          </w:tcPr>
          <w:p w14:paraId="48A0ACA1"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b/>
                <w:lang w:eastAsia="en-US"/>
              </w:rPr>
              <w:t>Year of faculty</w:t>
            </w:r>
          </w:p>
        </w:tc>
        <w:tc>
          <w:tcPr>
            <w:tcW w:w="2102" w:type="dxa"/>
            <w:shd w:val="clear" w:color="auto" w:fill="D9E2F3" w:themeFill="accent1" w:themeFillTint="33"/>
            <w:tcMar>
              <w:top w:w="80" w:type="dxa"/>
              <w:left w:w="80" w:type="dxa"/>
              <w:bottom w:w="80" w:type="dxa"/>
              <w:right w:w="80" w:type="dxa"/>
            </w:tcMar>
            <w:vAlign w:val="center"/>
          </w:tcPr>
          <w:p w14:paraId="570B8A1B"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624" w:type="dxa"/>
            <w:shd w:val="clear" w:color="auto" w:fill="D9E2F3" w:themeFill="accent1" w:themeFillTint="33"/>
            <w:tcMar>
              <w:top w:w="80" w:type="dxa"/>
              <w:left w:w="80" w:type="dxa"/>
              <w:bottom w:w="80" w:type="dxa"/>
              <w:right w:w="80" w:type="dxa"/>
            </w:tcMar>
            <w:vAlign w:val="center"/>
          </w:tcPr>
          <w:p w14:paraId="70BE240B"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050" w:type="dxa"/>
            <w:shd w:val="clear" w:color="auto" w:fill="D9E2F3" w:themeFill="accent1" w:themeFillTint="33"/>
            <w:tcMar>
              <w:top w:w="80" w:type="dxa"/>
              <w:left w:w="80" w:type="dxa"/>
              <w:bottom w:w="80" w:type="dxa"/>
              <w:right w:w="80" w:type="dxa"/>
            </w:tcMar>
            <w:vAlign w:val="center"/>
          </w:tcPr>
          <w:p w14:paraId="4979ABF6"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D9E2F3" w:themeFill="accent1" w:themeFillTint="33"/>
            <w:tcMar>
              <w:top w:w="80" w:type="dxa"/>
              <w:left w:w="80" w:type="dxa"/>
              <w:bottom w:w="80" w:type="dxa"/>
              <w:right w:w="80" w:type="dxa"/>
            </w:tcMar>
            <w:vAlign w:val="center"/>
          </w:tcPr>
          <w:p w14:paraId="5BC6E0D8"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7E2CDD33" w14:textId="77777777" w:rsidTr="00D83753">
        <w:tc>
          <w:tcPr>
            <w:tcW w:w="2675" w:type="dxa"/>
            <w:shd w:val="clear" w:color="auto" w:fill="auto"/>
            <w:tcMar>
              <w:top w:w="80" w:type="dxa"/>
              <w:left w:w="80" w:type="dxa"/>
              <w:bottom w:w="80" w:type="dxa"/>
              <w:right w:w="80" w:type="dxa"/>
            </w:tcMar>
            <w:vAlign w:val="center"/>
          </w:tcPr>
          <w:p w14:paraId="36B199F6"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 xml:space="preserve">year 1 </w:t>
            </w:r>
          </w:p>
        </w:tc>
        <w:tc>
          <w:tcPr>
            <w:tcW w:w="2102" w:type="dxa"/>
            <w:shd w:val="clear" w:color="auto" w:fill="auto"/>
            <w:tcMar>
              <w:top w:w="80" w:type="dxa"/>
              <w:left w:w="519" w:type="dxa"/>
              <w:bottom w:w="80" w:type="dxa"/>
              <w:right w:w="80" w:type="dxa"/>
            </w:tcMar>
            <w:vAlign w:val="center"/>
          </w:tcPr>
          <w:p w14:paraId="566C4F81"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29</w:t>
            </w:r>
          </w:p>
        </w:tc>
        <w:tc>
          <w:tcPr>
            <w:tcW w:w="1624" w:type="dxa"/>
            <w:shd w:val="clear" w:color="auto" w:fill="auto"/>
            <w:tcMar>
              <w:top w:w="80" w:type="dxa"/>
              <w:left w:w="80" w:type="dxa"/>
              <w:bottom w:w="80" w:type="dxa"/>
              <w:right w:w="80" w:type="dxa"/>
            </w:tcMar>
            <w:vAlign w:val="center"/>
          </w:tcPr>
          <w:p w14:paraId="1432D93D"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71</w:t>
            </w:r>
          </w:p>
        </w:tc>
        <w:tc>
          <w:tcPr>
            <w:tcW w:w="1050" w:type="dxa"/>
            <w:shd w:val="clear" w:color="auto" w:fill="auto"/>
            <w:tcMar>
              <w:top w:w="80" w:type="dxa"/>
              <w:left w:w="80" w:type="dxa"/>
              <w:bottom w:w="80" w:type="dxa"/>
              <w:right w:w="80" w:type="dxa"/>
            </w:tcMar>
            <w:vAlign w:val="center"/>
          </w:tcPr>
          <w:p w14:paraId="7DC4B6A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8.037</w:t>
            </w:r>
          </w:p>
        </w:tc>
        <w:tc>
          <w:tcPr>
            <w:tcW w:w="1569" w:type="dxa"/>
            <w:shd w:val="clear" w:color="auto" w:fill="auto"/>
            <w:tcMar>
              <w:top w:w="80" w:type="dxa"/>
              <w:left w:w="80" w:type="dxa"/>
              <w:bottom w:w="80" w:type="dxa"/>
              <w:right w:w="80" w:type="dxa"/>
            </w:tcMar>
            <w:vAlign w:val="center"/>
          </w:tcPr>
          <w:p w14:paraId="7EA0E98E"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0.090</w:t>
            </w:r>
          </w:p>
        </w:tc>
      </w:tr>
      <w:tr w:rsidR="008F06B8" w:rsidRPr="008F06B8" w14:paraId="49B7421F" w14:textId="77777777" w:rsidTr="00D83753">
        <w:tc>
          <w:tcPr>
            <w:tcW w:w="2675" w:type="dxa"/>
            <w:shd w:val="clear" w:color="auto" w:fill="auto"/>
            <w:tcMar>
              <w:top w:w="80" w:type="dxa"/>
              <w:left w:w="80" w:type="dxa"/>
              <w:bottom w:w="80" w:type="dxa"/>
              <w:right w:w="80" w:type="dxa"/>
            </w:tcMar>
            <w:vAlign w:val="center"/>
          </w:tcPr>
          <w:p w14:paraId="1A2EEE08"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year 2</w:t>
            </w:r>
          </w:p>
        </w:tc>
        <w:tc>
          <w:tcPr>
            <w:tcW w:w="2102" w:type="dxa"/>
            <w:shd w:val="clear" w:color="auto" w:fill="auto"/>
            <w:tcMar>
              <w:top w:w="80" w:type="dxa"/>
              <w:left w:w="519" w:type="dxa"/>
              <w:bottom w:w="80" w:type="dxa"/>
              <w:right w:w="80" w:type="dxa"/>
            </w:tcMar>
            <w:vAlign w:val="center"/>
          </w:tcPr>
          <w:p w14:paraId="156E702A"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38.5</w:t>
            </w:r>
          </w:p>
        </w:tc>
        <w:tc>
          <w:tcPr>
            <w:tcW w:w="1624" w:type="dxa"/>
            <w:shd w:val="clear" w:color="auto" w:fill="auto"/>
            <w:tcMar>
              <w:top w:w="80" w:type="dxa"/>
              <w:left w:w="80" w:type="dxa"/>
              <w:bottom w:w="80" w:type="dxa"/>
              <w:right w:w="80" w:type="dxa"/>
            </w:tcMar>
            <w:vAlign w:val="center"/>
          </w:tcPr>
          <w:p w14:paraId="48D1CB22"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61.5</w:t>
            </w:r>
          </w:p>
        </w:tc>
        <w:tc>
          <w:tcPr>
            <w:tcW w:w="1050" w:type="dxa"/>
            <w:shd w:val="clear" w:color="auto" w:fill="auto"/>
            <w:tcMar>
              <w:top w:w="80" w:type="dxa"/>
              <w:left w:w="80" w:type="dxa"/>
              <w:bottom w:w="80" w:type="dxa"/>
              <w:right w:w="80" w:type="dxa"/>
            </w:tcMar>
            <w:vAlign w:val="center"/>
          </w:tcPr>
          <w:p w14:paraId="336AA2F5"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1CFA4F0C"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3DBEDE86" w14:textId="77777777" w:rsidTr="00D83753">
        <w:tc>
          <w:tcPr>
            <w:tcW w:w="2675" w:type="dxa"/>
            <w:shd w:val="clear" w:color="auto" w:fill="auto"/>
            <w:tcMar>
              <w:top w:w="80" w:type="dxa"/>
              <w:left w:w="80" w:type="dxa"/>
              <w:bottom w:w="80" w:type="dxa"/>
              <w:right w:w="80" w:type="dxa"/>
            </w:tcMar>
            <w:vAlign w:val="center"/>
          </w:tcPr>
          <w:p w14:paraId="16707309"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lastRenderedPageBreak/>
              <w:t xml:space="preserve">year 3 </w:t>
            </w:r>
          </w:p>
        </w:tc>
        <w:tc>
          <w:tcPr>
            <w:tcW w:w="2102" w:type="dxa"/>
            <w:shd w:val="clear" w:color="auto" w:fill="auto"/>
            <w:tcMar>
              <w:top w:w="80" w:type="dxa"/>
              <w:left w:w="519" w:type="dxa"/>
              <w:bottom w:w="80" w:type="dxa"/>
              <w:right w:w="80" w:type="dxa"/>
            </w:tcMar>
            <w:vAlign w:val="center"/>
          </w:tcPr>
          <w:p w14:paraId="72F9D697"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37.3</w:t>
            </w:r>
          </w:p>
        </w:tc>
        <w:tc>
          <w:tcPr>
            <w:tcW w:w="1624" w:type="dxa"/>
            <w:shd w:val="clear" w:color="auto" w:fill="auto"/>
            <w:tcMar>
              <w:top w:w="80" w:type="dxa"/>
              <w:left w:w="80" w:type="dxa"/>
              <w:bottom w:w="80" w:type="dxa"/>
              <w:right w:w="80" w:type="dxa"/>
            </w:tcMar>
            <w:vAlign w:val="center"/>
          </w:tcPr>
          <w:p w14:paraId="75AA5324"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62.7</w:t>
            </w:r>
          </w:p>
        </w:tc>
        <w:tc>
          <w:tcPr>
            <w:tcW w:w="1050" w:type="dxa"/>
            <w:shd w:val="clear" w:color="auto" w:fill="auto"/>
            <w:tcMar>
              <w:top w:w="80" w:type="dxa"/>
              <w:left w:w="80" w:type="dxa"/>
              <w:bottom w:w="80" w:type="dxa"/>
              <w:right w:w="80" w:type="dxa"/>
            </w:tcMar>
            <w:vAlign w:val="center"/>
          </w:tcPr>
          <w:p w14:paraId="224488B0"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3A3C7E1D"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08306B57" w14:textId="77777777" w:rsidTr="00D83753">
        <w:tc>
          <w:tcPr>
            <w:tcW w:w="2675" w:type="dxa"/>
            <w:shd w:val="clear" w:color="auto" w:fill="auto"/>
            <w:tcMar>
              <w:top w:w="80" w:type="dxa"/>
              <w:left w:w="80" w:type="dxa"/>
              <w:bottom w:w="80" w:type="dxa"/>
              <w:right w:w="80" w:type="dxa"/>
            </w:tcMar>
            <w:vAlign w:val="center"/>
          </w:tcPr>
          <w:p w14:paraId="5E6B992A"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year 4</w:t>
            </w:r>
          </w:p>
        </w:tc>
        <w:tc>
          <w:tcPr>
            <w:tcW w:w="2102" w:type="dxa"/>
            <w:shd w:val="clear" w:color="auto" w:fill="auto"/>
            <w:tcMar>
              <w:top w:w="80" w:type="dxa"/>
              <w:left w:w="519" w:type="dxa"/>
              <w:bottom w:w="80" w:type="dxa"/>
              <w:right w:w="80" w:type="dxa"/>
            </w:tcMar>
            <w:vAlign w:val="center"/>
          </w:tcPr>
          <w:p w14:paraId="60DFBBF8"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31.3</w:t>
            </w:r>
          </w:p>
        </w:tc>
        <w:tc>
          <w:tcPr>
            <w:tcW w:w="1624" w:type="dxa"/>
            <w:shd w:val="clear" w:color="auto" w:fill="auto"/>
            <w:tcMar>
              <w:top w:w="80" w:type="dxa"/>
              <w:left w:w="80" w:type="dxa"/>
              <w:bottom w:w="80" w:type="dxa"/>
              <w:right w:w="80" w:type="dxa"/>
            </w:tcMar>
            <w:vAlign w:val="center"/>
          </w:tcPr>
          <w:p w14:paraId="023AFF86"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68.7</w:t>
            </w:r>
          </w:p>
        </w:tc>
        <w:tc>
          <w:tcPr>
            <w:tcW w:w="1050" w:type="dxa"/>
            <w:shd w:val="clear" w:color="auto" w:fill="auto"/>
            <w:tcMar>
              <w:top w:w="80" w:type="dxa"/>
              <w:left w:w="80" w:type="dxa"/>
              <w:bottom w:w="80" w:type="dxa"/>
              <w:right w:w="80" w:type="dxa"/>
            </w:tcMar>
            <w:vAlign w:val="center"/>
          </w:tcPr>
          <w:p w14:paraId="2C6976C5"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64FE3B28"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41CA7AAA" w14:textId="77777777" w:rsidTr="00D83753">
        <w:tc>
          <w:tcPr>
            <w:tcW w:w="2675" w:type="dxa"/>
            <w:shd w:val="clear" w:color="auto" w:fill="auto"/>
            <w:tcMar>
              <w:top w:w="80" w:type="dxa"/>
              <w:left w:w="80" w:type="dxa"/>
              <w:bottom w:w="80" w:type="dxa"/>
              <w:right w:w="80" w:type="dxa"/>
            </w:tcMar>
            <w:vAlign w:val="center"/>
          </w:tcPr>
          <w:p w14:paraId="44929B1B" w14:textId="77777777" w:rsidR="008F06B8" w:rsidRPr="00AF6894" w:rsidRDefault="008E0740"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sdt>
              <w:sdtPr>
                <w:rPr>
                  <w:rFonts w:eastAsia="Times New Roman"/>
                  <w:color w:val="auto"/>
                  <w:szCs w:val="24"/>
                  <w:lang w:eastAsia="en-US"/>
                </w:rPr>
                <w:tag w:val="goog_rdk_2"/>
                <w:id w:val="1149555040"/>
              </w:sdtPr>
              <w:sdtEndPr/>
              <w:sdtContent>
                <w:r w:rsidR="008F06B8" w:rsidRPr="00AF6894">
                  <w:rPr>
                    <w:rFonts w:eastAsia="Gungsuh" w:cs="Gungsuh"/>
                    <w:lang w:eastAsia="en-US"/>
                  </w:rPr>
                  <w:t xml:space="preserve">year </w:t>
                </w:r>
                <w:r w:rsidR="008F06B8" w:rsidRPr="00AF6894">
                  <w:rPr>
                    <w:rFonts w:eastAsia="Gungsuh"/>
                    <w:lang w:eastAsia="en-US"/>
                  </w:rPr>
                  <w:t>≥</w:t>
                </w:r>
                <w:r w:rsidR="008F06B8" w:rsidRPr="00AF6894">
                  <w:rPr>
                    <w:rFonts w:eastAsia="Gungsuh" w:cs="Gungsuh"/>
                    <w:lang w:eastAsia="en-US"/>
                  </w:rPr>
                  <w:t xml:space="preserve"> 5</w:t>
                </w:r>
              </w:sdtContent>
            </w:sdt>
          </w:p>
        </w:tc>
        <w:tc>
          <w:tcPr>
            <w:tcW w:w="2102" w:type="dxa"/>
            <w:shd w:val="clear" w:color="auto" w:fill="auto"/>
            <w:tcMar>
              <w:top w:w="80" w:type="dxa"/>
              <w:left w:w="519" w:type="dxa"/>
              <w:bottom w:w="80" w:type="dxa"/>
              <w:right w:w="80" w:type="dxa"/>
            </w:tcMar>
            <w:vAlign w:val="center"/>
          </w:tcPr>
          <w:p w14:paraId="475544FB"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31.6</w:t>
            </w:r>
          </w:p>
        </w:tc>
        <w:tc>
          <w:tcPr>
            <w:tcW w:w="1624" w:type="dxa"/>
            <w:shd w:val="clear" w:color="auto" w:fill="auto"/>
            <w:tcMar>
              <w:top w:w="80" w:type="dxa"/>
              <w:left w:w="80" w:type="dxa"/>
              <w:bottom w:w="80" w:type="dxa"/>
              <w:right w:w="80" w:type="dxa"/>
            </w:tcMar>
            <w:vAlign w:val="center"/>
          </w:tcPr>
          <w:p w14:paraId="2D4439C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68.4</w:t>
            </w:r>
          </w:p>
        </w:tc>
        <w:tc>
          <w:tcPr>
            <w:tcW w:w="1050" w:type="dxa"/>
            <w:shd w:val="clear" w:color="auto" w:fill="auto"/>
            <w:tcMar>
              <w:top w:w="80" w:type="dxa"/>
              <w:left w:w="80" w:type="dxa"/>
              <w:bottom w:w="80" w:type="dxa"/>
              <w:right w:w="80" w:type="dxa"/>
            </w:tcMar>
            <w:vAlign w:val="center"/>
          </w:tcPr>
          <w:p w14:paraId="2D699D60"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47C73F0C"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4DD94043" w14:textId="77777777" w:rsidTr="00AF6894">
        <w:tc>
          <w:tcPr>
            <w:tcW w:w="2675" w:type="dxa"/>
            <w:shd w:val="clear" w:color="auto" w:fill="D9E2F3" w:themeFill="accent1" w:themeFillTint="33"/>
            <w:tcMar>
              <w:top w:w="80" w:type="dxa"/>
              <w:left w:w="80" w:type="dxa"/>
              <w:bottom w:w="80" w:type="dxa"/>
              <w:right w:w="80" w:type="dxa"/>
            </w:tcMar>
            <w:vAlign w:val="center"/>
          </w:tcPr>
          <w:p w14:paraId="0FD0944B"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b/>
                <w:lang w:eastAsia="en-US"/>
              </w:rPr>
              <w:t xml:space="preserve">Faculties </w:t>
            </w:r>
          </w:p>
        </w:tc>
        <w:tc>
          <w:tcPr>
            <w:tcW w:w="2102" w:type="dxa"/>
            <w:shd w:val="clear" w:color="auto" w:fill="D9E2F3" w:themeFill="accent1" w:themeFillTint="33"/>
            <w:tcMar>
              <w:top w:w="80" w:type="dxa"/>
              <w:left w:w="80" w:type="dxa"/>
              <w:bottom w:w="80" w:type="dxa"/>
              <w:right w:w="80" w:type="dxa"/>
            </w:tcMar>
            <w:vAlign w:val="center"/>
          </w:tcPr>
          <w:p w14:paraId="4FD5AE21"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624" w:type="dxa"/>
            <w:shd w:val="clear" w:color="auto" w:fill="D9E2F3" w:themeFill="accent1" w:themeFillTint="33"/>
            <w:tcMar>
              <w:top w:w="80" w:type="dxa"/>
              <w:left w:w="80" w:type="dxa"/>
              <w:bottom w:w="80" w:type="dxa"/>
              <w:right w:w="80" w:type="dxa"/>
            </w:tcMar>
            <w:vAlign w:val="center"/>
          </w:tcPr>
          <w:p w14:paraId="5385FA42"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050" w:type="dxa"/>
            <w:shd w:val="clear" w:color="auto" w:fill="D9E2F3" w:themeFill="accent1" w:themeFillTint="33"/>
            <w:tcMar>
              <w:top w:w="80" w:type="dxa"/>
              <w:left w:w="80" w:type="dxa"/>
              <w:bottom w:w="80" w:type="dxa"/>
              <w:right w:w="80" w:type="dxa"/>
            </w:tcMar>
            <w:vAlign w:val="center"/>
          </w:tcPr>
          <w:p w14:paraId="55DEA0C0"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D9E2F3" w:themeFill="accent1" w:themeFillTint="33"/>
            <w:tcMar>
              <w:top w:w="80" w:type="dxa"/>
              <w:left w:w="80" w:type="dxa"/>
              <w:bottom w:w="80" w:type="dxa"/>
              <w:right w:w="80" w:type="dxa"/>
            </w:tcMar>
            <w:vAlign w:val="center"/>
          </w:tcPr>
          <w:p w14:paraId="58C9B95E"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09076D2E" w14:textId="77777777" w:rsidTr="00D83753">
        <w:tc>
          <w:tcPr>
            <w:tcW w:w="2675" w:type="dxa"/>
            <w:shd w:val="clear" w:color="auto" w:fill="auto"/>
            <w:tcMar>
              <w:top w:w="80" w:type="dxa"/>
              <w:left w:w="80" w:type="dxa"/>
              <w:bottom w:w="80" w:type="dxa"/>
              <w:right w:w="80" w:type="dxa"/>
            </w:tcMar>
            <w:vAlign w:val="center"/>
          </w:tcPr>
          <w:p w14:paraId="22832082"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Medical students</w:t>
            </w:r>
          </w:p>
        </w:tc>
        <w:tc>
          <w:tcPr>
            <w:tcW w:w="2102" w:type="dxa"/>
            <w:shd w:val="clear" w:color="auto" w:fill="auto"/>
            <w:tcMar>
              <w:top w:w="80" w:type="dxa"/>
              <w:left w:w="519" w:type="dxa"/>
              <w:bottom w:w="80" w:type="dxa"/>
              <w:right w:w="80" w:type="dxa"/>
            </w:tcMar>
            <w:vAlign w:val="center"/>
          </w:tcPr>
          <w:p w14:paraId="1B82F0B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27.8</w:t>
            </w:r>
          </w:p>
        </w:tc>
        <w:tc>
          <w:tcPr>
            <w:tcW w:w="1624" w:type="dxa"/>
            <w:shd w:val="clear" w:color="auto" w:fill="auto"/>
            <w:tcMar>
              <w:top w:w="80" w:type="dxa"/>
              <w:left w:w="80" w:type="dxa"/>
              <w:bottom w:w="80" w:type="dxa"/>
              <w:right w:w="80" w:type="dxa"/>
            </w:tcMar>
            <w:vAlign w:val="center"/>
          </w:tcPr>
          <w:p w14:paraId="0959A65A"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72.2</w:t>
            </w:r>
          </w:p>
        </w:tc>
        <w:tc>
          <w:tcPr>
            <w:tcW w:w="1050" w:type="dxa"/>
            <w:shd w:val="clear" w:color="auto" w:fill="auto"/>
            <w:tcMar>
              <w:top w:w="80" w:type="dxa"/>
              <w:left w:w="80" w:type="dxa"/>
              <w:bottom w:w="80" w:type="dxa"/>
              <w:right w:w="80" w:type="dxa"/>
            </w:tcMar>
            <w:vAlign w:val="center"/>
          </w:tcPr>
          <w:p w14:paraId="4F4F8690"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15.067</w:t>
            </w:r>
          </w:p>
        </w:tc>
        <w:tc>
          <w:tcPr>
            <w:tcW w:w="1569" w:type="dxa"/>
            <w:shd w:val="clear" w:color="auto" w:fill="auto"/>
            <w:tcMar>
              <w:top w:w="80" w:type="dxa"/>
              <w:left w:w="80" w:type="dxa"/>
              <w:bottom w:w="80" w:type="dxa"/>
              <w:right w:w="80" w:type="dxa"/>
            </w:tcMar>
            <w:vAlign w:val="center"/>
          </w:tcPr>
          <w:p w14:paraId="38EA212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&lt; 0.001</w:t>
            </w:r>
          </w:p>
        </w:tc>
      </w:tr>
      <w:tr w:rsidR="008F06B8" w:rsidRPr="008F06B8" w14:paraId="3EBB17BB" w14:textId="77777777" w:rsidTr="00D83753">
        <w:tc>
          <w:tcPr>
            <w:tcW w:w="2675" w:type="dxa"/>
            <w:shd w:val="clear" w:color="auto" w:fill="auto"/>
            <w:tcMar>
              <w:top w:w="80" w:type="dxa"/>
              <w:left w:w="80" w:type="dxa"/>
              <w:bottom w:w="80" w:type="dxa"/>
              <w:right w:w="80" w:type="dxa"/>
            </w:tcMar>
            <w:vAlign w:val="center"/>
          </w:tcPr>
          <w:p w14:paraId="7CF4292A"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Non-medical students</w:t>
            </w:r>
          </w:p>
        </w:tc>
        <w:tc>
          <w:tcPr>
            <w:tcW w:w="2102" w:type="dxa"/>
            <w:shd w:val="clear" w:color="auto" w:fill="auto"/>
            <w:tcMar>
              <w:top w:w="80" w:type="dxa"/>
              <w:left w:w="519" w:type="dxa"/>
              <w:bottom w:w="80" w:type="dxa"/>
              <w:right w:w="80" w:type="dxa"/>
            </w:tcMar>
            <w:vAlign w:val="center"/>
          </w:tcPr>
          <w:p w14:paraId="3DDC3DF3"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38.5</w:t>
            </w:r>
          </w:p>
        </w:tc>
        <w:tc>
          <w:tcPr>
            <w:tcW w:w="1624" w:type="dxa"/>
            <w:shd w:val="clear" w:color="auto" w:fill="auto"/>
            <w:tcMar>
              <w:top w:w="80" w:type="dxa"/>
              <w:left w:w="80" w:type="dxa"/>
              <w:bottom w:w="80" w:type="dxa"/>
              <w:right w:w="80" w:type="dxa"/>
            </w:tcMar>
            <w:vAlign w:val="center"/>
          </w:tcPr>
          <w:p w14:paraId="45415956"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61.5</w:t>
            </w:r>
          </w:p>
        </w:tc>
        <w:tc>
          <w:tcPr>
            <w:tcW w:w="1050" w:type="dxa"/>
            <w:shd w:val="clear" w:color="auto" w:fill="auto"/>
            <w:tcMar>
              <w:top w:w="80" w:type="dxa"/>
              <w:left w:w="80" w:type="dxa"/>
              <w:bottom w:w="80" w:type="dxa"/>
              <w:right w:w="80" w:type="dxa"/>
            </w:tcMar>
            <w:vAlign w:val="center"/>
          </w:tcPr>
          <w:p w14:paraId="770D0BB6"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4A872C4B"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0D0E4EF9" w14:textId="77777777" w:rsidTr="00AF6894">
        <w:tc>
          <w:tcPr>
            <w:tcW w:w="2675" w:type="dxa"/>
            <w:shd w:val="clear" w:color="auto" w:fill="D9E2F3" w:themeFill="accent1" w:themeFillTint="33"/>
            <w:tcMar>
              <w:top w:w="80" w:type="dxa"/>
              <w:left w:w="80" w:type="dxa"/>
              <w:bottom w:w="80" w:type="dxa"/>
              <w:right w:w="80" w:type="dxa"/>
            </w:tcMar>
            <w:vAlign w:val="center"/>
          </w:tcPr>
          <w:p w14:paraId="2A8A3CA6"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b/>
                <w:lang w:eastAsia="en-US"/>
              </w:rPr>
              <w:t>Weekly Expenses</w:t>
            </w:r>
          </w:p>
        </w:tc>
        <w:tc>
          <w:tcPr>
            <w:tcW w:w="2102" w:type="dxa"/>
            <w:shd w:val="clear" w:color="auto" w:fill="D9E2F3" w:themeFill="accent1" w:themeFillTint="33"/>
            <w:tcMar>
              <w:top w:w="80" w:type="dxa"/>
              <w:left w:w="80" w:type="dxa"/>
              <w:bottom w:w="80" w:type="dxa"/>
              <w:right w:w="80" w:type="dxa"/>
            </w:tcMar>
            <w:vAlign w:val="center"/>
          </w:tcPr>
          <w:p w14:paraId="14456C5F"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624" w:type="dxa"/>
            <w:shd w:val="clear" w:color="auto" w:fill="D9E2F3" w:themeFill="accent1" w:themeFillTint="33"/>
            <w:tcMar>
              <w:top w:w="80" w:type="dxa"/>
              <w:left w:w="80" w:type="dxa"/>
              <w:bottom w:w="80" w:type="dxa"/>
              <w:right w:w="80" w:type="dxa"/>
            </w:tcMar>
            <w:vAlign w:val="center"/>
          </w:tcPr>
          <w:p w14:paraId="465B379A"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050" w:type="dxa"/>
            <w:shd w:val="clear" w:color="auto" w:fill="D9E2F3" w:themeFill="accent1" w:themeFillTint="33"/>
            <w:tcMar>
              <w:top w:w="80" w:type="dxa"/>
              <w:left w:w="80" w:type="dxa"/>
              <w:bottom w:w="80" w:type="dxa"/>
              <w:right w:w="80" w:type="dxa"/>
            </w:tcMar>
            <w:vAlign w:val="center"/>
          </w:tcPr>
          <w:p w14:paraId="3470E68A"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D9E2F3" w:themeFill="accent1" w:themeFillTint="33"/>
            <w:tcMar>
              <w:top w:w="80" w:type="dxa"/>
              <w:left w:w="80" w:type="dxa"/>
              <w:bottom w:w="80" w:type="dxa"/>
              <w:right w:w="80" w:type="dxa"/>
            </w:tcMar>
            <w:vAlign w:val="center"/>
          </w:tcPr>
          <w:p w14:paraId="6A48FC92"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09078EFF" w14:textId="77777777" w:rsidTr="00D83753">
        <w:tc>
          <w:tcPr>
            <w:tcW w:w="2675" w:type="dxa"/>
            <w:shd w:val="clear" w:color="auto" w:fill="auto"/>
            <w:tcMar>
              <w:top w:w="80" w:type="dxa"/>
              <w:left w:w="332" w:type="dxa"/>
              <w:bottom w:w="80" w:type="dxa"/>
              <w:right w:w="80" w:type="dxa"/>
            </w:tcMar>
            <w:vAlign w:val="center"/>
          </w:tcPr>
          <w:p w14:paraId="78F86971"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Do not have</w:t>
            </w:r>
          </w:p>
        </w:tc>
        <w:tc>
          <w:tcPr>
            <w:tcW w:w="2102" w:type="dxa"/>
            <w:shd w:val="clear" w:color="auto" w:fill="auto"/>
            <w:tcMar>
              <w:top w:w="80" w:type="dxa"/>
              <w:left w:w="519" w:type="dxa"/>
              <w:bottom w:w="80" w:type="dxa"/>
              <w:right w:w="80" w:type="dxa"/>
            </w:tcMar>
            <w:vAlign w:val="center"/>
          </w:tcPr>
          <w:p w14:paraId="6CF1FCB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22.1</w:t>
            </w:r>
          </w:p>
        </w:tc>
        <w:tc>
          <w:tcPr>
            <w:tcW w:w="1624" w:type="dxa"/>
            <w:shd w:val="clear" w:color="auto" w:fill="auto"/>
            <w:tcMar>
              <w:top w:w="80" w:type="dxa"/>
              <w:left w:w="80" w:type="dxa"/>
              <w:bottom w:w="80" w:type="dxa"/>
              <w:right w:w="80" w:type="dxa"/>
            </w:tcMar>
            <w:vAlign w:val="center"/>
          </w:tcPr>
          <w:p w14:paraId="1A793BF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77.9</w:t>
            </w:r>
          </w:p>
        </w:tc>
        <w:tc>
          <w:tcPr>
            <w:tcW w:w="1050" w:type="dxa"/>
            <w:shd w:val="clear" w:color="auto" w:fill="auto"/>
            <w:tcMar>
              <w:top w:w="80" w:type="dxa"/>
              <w:left w:w="80" w:type="dxa"/>
              <w:bottom w:w="80" w:type="dxa"/>
              <w:right w:w="80" w:type="dxa"/>
            </w:tcMar>
            <w:vAlign w:val="center"/>
          </w:tcPr>
          <w:p w14:paraId="37FE6F30"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64.217</w:t>
            </w:r>
          </w:p>
        </w:tc>
        <w:tc>
          <w:tcPr>
            <w:tcW w:w="1569" w:type="dxa"/>
            <w:shd w:val="clear" w:color="auto" w:fill="auto"/>
            <w:tcMar>
              <w:top w:w="80" w:type="dxa"/>
              <w:left w:w="80" w:type="dxa"/>
              <w:bottom w:w="80" w:type="dxa"/>
              <w:right w:w="80" w:type="dxa"/>
            </w:tcMar>
            <w:vAlign w:val="center"/>
          </w:tcPr>
          <w:p w14:paraId="36FC52F7"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&lt;0.001</w:t>
            </w:r>
          </w:p>
        </w:tc>
      </w:tr>
      <w:tr w:rsidR="008F06B8" w:rsidRPr="008F06B8" w14:paraId="386DCF47" w14:textId="77777777" w:rsidTr="00D83753">
        <w:tc>
          <w:tcPr>
            <w:tcW w:w="2675" w:type="dxa"/>
            <w:shd w:val="clear" w:color="auto" w:fill="auto"/>
            <w:tcMar>
              <w:top w:w="80" w:type="dxa"/>
              <w:left w:w="332" w:type="dxa"/>
              <w:bottom w:w="80" w:type="dxa"/>
              <w:right w:w="80" w:type="dxa"/>
            </w:tcMar>
            <w:vAlign w:val="center"/>
          </w:tcPr>
          <w:p w14:paraId="02058822"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&lt;10 BAM**</w:t>
            </w:r>
          </w:p>
        </w:tc>
        <w:tc>
          <w:tcPr>
            <w:tcW w:w="2102" w:type="dxa"/>
            <w:shd w:val="clear" w:color="auto" w:fill="auto"/>
            <w:tcMar>
              <w:top w:w="80" w:type="dxa"/>
              <w:left w:w="519" w:type="dxa"/>
              <w:bottom w:w="80" w:type="dxa"/>
              <w:right w:w="80" w:type="dxa"/>
            </w:tcMar>
            <w:vAlign w:val="center"/>
          </w:tcPr>
          <w:p w14:paraId="29443C5F"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29.3</w:t>
            </w:r>
          </w:p>
        </w:tc>
        <w:tc>
          <w:tcPr>
            <w:tcW w:w="1624" w:type="dxa"/>
            <w:shd w:val="clear" w:color="auto" w:fill="auto"/>
            <w:tcMar>
              <w:top w:w="80" w:type="dxa"/>
              <w:left w:w="80" w:type="dxa"/>
              <w:bottom w:w="80" w:type="dxa"/>
              <w:right w:w="80" w:type="dxa"/>
            </w:tcMar>
            <w:vAlign w:val="center"/>
          </w:tcPr>
          <w:p w14:paraId="39CCCEF3"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70.7</w:t>
            </w:r>
          </w:p>
        </w:tc>
        <w:tc>
          <w:tcPr>
            <w:tcW w:w="1050" w:type="dxa"/>
            <w:shd w:val="clear" w:color="auto" w:fill="auto"/>
            <w:tcMar>
              <w:top w:w="80" w:type="dxa"/>
              <w:left w:w="80" w:type="dxa"/>
              <w:bottom w:w="80" w:type="dxa"/>
              <w:right w:w="80" w:type="dxa"/>
            </w:tcMar>
            <w:vAlign w:val="center"/>
          </w:tcPr>
          <w:p w14:paraId="012C00DF"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102A0E28"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7195893F" w14:textId="77777777" w:rsidTr="00D83753">
        <w:tc>
          <w:tcPr>
            <w:tcW w:w="2675" w:type="dxa"/>
            <w:shd w:val="clear" w:color="auto" w:fill="auto"/>
            <w:tcMar>
              <w:top w:w="80" w:type="dxa"/>
              <w:left w:w="332" w:type="dxa"/>
              <w:bottom w:w="80" w:type="dxa"/>
              <w:right w:w="80" w:type="dxa"/>
            </w:tcMar>
            <w:vAlign w:val="center"/>
          </w:tcPr>
          <w:p w14:paraId="67B5A55A"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11-20 BAM</w:t>
            </w:r>
          </w:p>
        </w:tc>
        <w:tc>
          <w:tcPr>
            <w:tcW w:w="2102" w:type="dxa"/>
            <w:shd w:val="clear" w:color="auto" w:fill="auto"/>
            <w:tcMar>
              <w:top w:w="80" w:type="dxa"/>
              <w:left w:w="519" w:type="dxa"/>
              <w:bottom w:w="80" w:type="dxa"/>
              <w:right w:w="80" w:type="dxa"/>
            </w:tcMar>
            <w:vAlign w:val="center"/>
          </w:tcPr>
          <w:p w14:paraId="3E956C06"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41.5</w:t>
            </w:r>
          </w:p>
        </w:tc>
        <w:tc>
          <w:tcPr>
            <w:tcW w:w="1624" w:type="dxa"/>
            <w:shd w:val="clear" w:color="auto" w:fill="auto"/>
            <w:tcMar>
              <w:top w:w="80" w:type="dxa"/>
              <w:left w:w="80" w:type="dxa"/>
              <w:bottom w:w="80" w:type="dxa"/>
              <w:right w:w="80" w:type="dxa"/>
            </w:tcMar>
            <w:vAlign w:val="center"/>
          </w:tcPr>
          <w:p w14:paraId="055E0577"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58.5</w:t>
            </w:r>
          </w:p>
        </w:tc>
        <w:tc>
          <w:tcPr>
            <w:tcW w:w="1050" w:type="dxa"/>
            <w:shd w:val="clear" w:color="auto" w:fill="auto"/>
            <w:tcMar>
              <w:top w:w="80" w:type="dxa"/>
              <w:left w:w="80" w:type="dxa"/>
              <w:bottom w:w="80" w:type="dxa"/>
              <w:right w:w="80" w:type="dxa"/>
            </w:tcMar>
            <w:vAlign w:val="center"/>
          </w:tcPr>
          <w:p w14:paraId="03044D32"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57123C06"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086D3B4D" w14:textId="77777777" w:rsidTr="00D83753">
        <w:tc>
          <w:tcPr>
            <w:tcW w:w="2675" w:type="dxa"/>
            <w:shd w:val="clear" w:color="auto" w:fill="auto"/>
            <w:tcMar>
              <w:top w:w="80" w:type="dxa"/>
              <w:left w:w="332" w:type="dxa"/>
              <w:bottom w:w="80" w:type="dxa"/>
              <w:right w:w="80" w:type="dxa"/>
            </w:tcMar>
            <w:vAlign w:val="center"/>
          </w:tcPr>
          <w:p w14:paraId="10BF2948"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21-30 BAM</w:t>
            </w:r>
          </w:p>
        </w:tc>
        <w:tc>
          <w:tcPr>
            <w:tcW w:w="2102" w:type="dxa"/>
            <w:shd w:val="clear" w:color="auto" w:fill="auto"/>
            <w:tcMar>
              <w:top w:w="80" w:type="dxa"/>
              <w:left w:w="519" w:type="dxa"/>
              <w:bottom w:w="80" w:type="dxa"/>
              <w:right w:w="80" w:type="dxa"/>
            </w:tcMar>
            <w:vAlign w:val="center"/>
          </w:tcPr>
          <w:p w14:paraId="109F5825"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49.4</w:t>
            </w:r>
          </w:p>
        </w:tc>
        <w:tc>
          <w:tcPr>
            <w:tcW w:w="1624" w:type="dxa"/>
            <w:shd w:val="clear" w:color="auto" w:fill="auto"/>
            <w:tcMar>
              <w:top w:w="80" w:type="dxa"/>
              <w:left w:w="80" w:type="dxa"/>
              <w:bottom w:w="80" w:type="dxa"/>
              <w:right w:w="80" w:type="dxa"/>
            </w:tcMar>
            <w:vAlign w:val="center"/>
          </w:tcPr>
          <w:p w14:paraId="4C0544A1"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50.6</w:t>
            </w:r>
          </w:p>
        </w:tc>
        <w:tc>
          <w:tcPr>
            <w:tcW w:w="1050" w:type="dxa"/>
            <w:shd w:val="clear" w:color="auto" w:fill="auto"/>
            <w:tcMar>
              <w:top w:w="80" w:type="dxa"/>
              <w:left w:w="80" w:type="dxa"/>
              <w:bottom w:w="80" w:type="dxa"/>
              <w:right w:w="80" w:type="dxa"/>
            </w:tcMar>
            <w:vAlign w:val="center"/>
          </w:tcPr>
          <w:p w14:paraId="0126AF61"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4422DC61"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2BDBD52F" w14:textId="77777777" w:rsidTr="00D83753">
        <w:tc>
          <w:tcPr>
            <w:tcW w:w="2675" w:type="dxa"/>
            <w:shd w:val="clear" w:color="auto" w:fill="auto"/>
            <w:tcMar>
              <w:top w:w="80" w:type="dxa"/>
              <w:left w:w="332" w:type="dxa"/>
              <w:bottom w:w="80" w:type="dxa"/>
              <w:right w:w="80" w:type="dxa"/>
            </w:tcMar>
            <w:vAlign w:val="center"/>
          </w:tcPr>
          <w:p w14:paraId="6188B18B"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31-40 BAM</w:t>
            </w:r>
          </w:p>
        </w:tc>
        <w:tc>
          <w:tcPr>
            <w:tcW w:w="2102" w:type="dxa"/>
            <w:shd w:val="clear" w:color="auto" w:fill="auto"/>
            <w:tcMar>
              <w:top w:w="80" w:type="dxa"/>
              <w:left w:w="519" w:type="dxa"/>
              <w:bottom w:w="80" w:type="dxa"/>
              <w:right w:w="80" w:type="dxa"/>
            </w:tcMar>
            <w:vAlign w:val="center"/>
          </w:tcPr>
          <w:p w14:paraId="541000A7"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47.8</w:t>
            </w:r>
          </w:p>
        </w:tc>
        <w:tc>
          <w:tcPr>
            <w:tcW w:w="1624" w:type="dxa"/>
            <w:shd w:val="clear" w:color="auto" w:fill="auto"/>
            <w:tcMar>
              <w:top w:w="80" w:type="dxa"/>
              <w:left w:w="80" w:type="dxa"/>
              <w:bottom w:w="80" w:type="dxa"/>
              <w:right w:w="80" w:type="dxa"/>
            </w:tcMar>
            <w:vAlign w:val="center"/>
          </w:tcPr>
          <w:p w14:paraId="04F5FAB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52.2</w:t>
            </w:r>
          </w:p>
        </w:tc>
        <w:tc>
          <w:tcPr>
            <w:tcW w:w="1050" w:type="dxa"/>
            <w:shd w:val="clear" w:color="auto" w:fill="auto"/>
            <w:tcMar>
              <w:top w:w="80" w:type="dxa"/>
              <w:left w:w="80" w:type="dxa"/>
              <w:bottom w:w="80" w:type="dxa"/>
              <w:right w:w="80" w:type="dxa"/>
            </w:tcMar>
            <w:vAlign w:val="center"/>
          </w:tcPr>
          <w:p w14:paraId="6BA0BFA2"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10E492AE"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r w:rsidR="008F06B8" w:rsidRPr="008F06B8" w14:paraId="12295293" w14:textId="77777777" w:rsidTr="00D83753">
        <w:tc>
          <w:tcPr>
            <w:tcW w:w="2675" w:type="dxa"/>
            <w:shd w:val="clear" w:color="auto" w:fill="auto"/>
            <w:tcMar>
              <w:top w:w="80" w:type="dxa"/>
              <w:left w:w="332" w:type="dxa"/>
              <w:bottom w:w="80" w:type="dxa"/>
              <w:right w:w="80" w:type="dxa"/>
            </w:tcMar>
            <w:vAlign w:val="center"/>
          </w:tcPr>
          <w:p w14:paraId="2B8E39DA"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AF6894">
              <w:rPr>
                <w:rFonts w:eastAsia="Times New Roman"/>
                <w:lang w:eastAsia="en-US"/>
              </w:rPr>
              <w:t>41 BAM and more</w:t>
            </w:r>
          </w:p>
        </w:tc>
        <w:tc>
          <w:tcPr>
            <w:tcW w:w="2102" w:type="dxa"/>
            <w:shd w:val="clear" w:color="auto" w:fill="auto"/>
            <w:tcMar>
              <w:top w:w="80" w:type="dxa"/>
              <w:left w:w="519" w:type="dxa"/>
              <w:bottom w:w="80" w:type="dxa"/>
              <w:right w:w="80" w:type="dxa"/>
            </w:tcMar>
            <w:vAlign w:val="center"/>
          </w:tcPr>
          <w:p w14:paraId="0A4E2881"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24.2</w:t>
            </w:r>
          </w:p>
        </w:tc>
        <w:tc>
          <w:tcPr>
            <w:tcW w:w="1624" w:type="dxa"/>
            <w:shd w:val="clear" w:color="auto" w:fill="auto"/>
            <w:tcMar>
              <w:top w:w="80" w:type="dxa"/>
              <w:left w:w="80" w:type="dxa"/>
              <w:bottom w:w="80" w:type="dxa"/>
              <w:right w:w="80" w:type="dxa"/>
            </w:tcMar>
            <w:vAlign w:val="center"/>
          </w:tcPr>
          <w:p w14:paraId="73749B33"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8F06B8">
              <w:rPr>
                <w:rFonts w:eastAsia="Times New Roman"/>
                <w:lang w:eastAsia="en-US"/>
              </w:rPr>
              <w:t>75.8</w:t>
            </w:r>
          </w:p>
        </w:tc>
        <w:tc>
          <w:tcPr>
            <w:tcW w:w="1050" w:type="dxa"/>
            <w:shd w:val="clear" w:color="auto" w:fill="auto"/>
            <w:tcMar>
              <w:top w:w="80" w:type="dxa"/>
              <w:left w:w="80" w:type="dxa"/>
              <w:bottom w:w="80" w:type="dxa"/>
              <w:right w:w="80" w:type="dxa"/>
            </w:tcMar>
            <w:vAlign w:val="center"/>
          </w:tcPr>
          <w:p w14:paraId="5B72F886"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c>
          <w:tcPr>
            <w:tcW w:w="1569" w:type="dxa"/>
            <w:shd w:val="clear" w:color="auto" w:fill="auto"/>
            <w:tcMar>
              <w:top w:w="80" w:type="dxa"/>
              <w:left w:w="80" w:type="dxa"/>
              <w:bottom w:w="80" w:type="dxa"/>
              <w:right w:w="80" w:type="dxa"/>
            </w:tcMar>
            <w:vAlign w:val="center"/>
          </w:tcPr>
          <w:p w14:paraId="64B51667" w14:textId="77777777" w:rsidR="008F06B8" w:rsidRPr="008F06B8" w:rsidRDefault="008F06B8" w:rsidP="00D83753">
            <w:pPr>
              <w:autoSpaceDE w:val="0"/>
              <w:autoSpaceDN w:val="0"/>
              <w:adjustRightInd w:val="0"/>
              <w:snapToGrid w:val="0"/>
              <w:spacing w:line="240" w:lineRule="auto"/>
              <w:jc w:val="center"/>
              <w:rPr>
                <w:rFonts w:eastAsia="Times New Roman"/>
                <w:color w:val="auto"/>
                <w:szCs w:val="24"/>
                <w:lang w:eastAsia="en-US"/>
              </w:rPr>
            </w:pPr>
          </w:p>
        </w:tc>
      </w:tr>
    </w:tbl>
    <w:p w14:paraId="4304C6B5" w14:textId="2931AE5D" w:rsidR="008F06B8" w:rsidRDefault="008F06B8" w:rsidP="008F06B8">
      <w:pPr>
        <w:pStyle w:val="MDPI43tablefooter"/>
      </w:pPr>
      <w:r w:rsidRPr="008F06B8">
        <w:rPr>
          <w:rFonts w:hint="eastAsia"/>
        </w:rPr>
        <w:t>*P-value significant at ≤ 0.05, χ2 = chi-square. **BAM-official code for Bosnia and Herzegovina currency (1Euro = 1.95 BAM)</w:t>
      </w:r>
      <w:r>
        <w:t>.</w:t>
      </w:r>
    </w:p>
    <w:p w14:paraId="5B2929F4" w14:textId="77777777" w:rsidR="008F06B8" w:rsidRDefault="008F06B8" w:rsidP="008F06B8">
      <w:pPr>
        <w:pStyle w:val="MDPI31text"/>
      </w:pPr>
      <w:r>
        <w:t xml:space="preserve">A chi-square test of independence examined the relationship between demographic data and the prevalence of cigarette smoking among students. Of the five independent variables tested, only two were strongly associated with cigarette smoking; these were the faculty type and weekly expenses χ2=15.067, </w:t>
      </w:r>
      <w:proofErr w:type="spellStart"/>
      <w:proofErr w:type="gramStart"/>
      <w:r>
        <w:t>dF</w:t>
      </w:r>
      <w:proofErr w:type="spellEnd"/>
      <w:proofErr w:type="gramEnd"/>
      <w:r>
        <w:t xml:space="preserve"> =1, P&lt; 0.001 and χ2=64.217, </w:t>
      </w:r>
      <w:proofErr w:type="spellStart"/>
      <w:r>
        <w:t>dF</w:t>
      </w:r>
      <w:proofErr w:type="spellEnd"/>
      <w:r>
        <w:t xml:space="preserve"> =1, P&lt; 0.001, respectively; (Table 1).</w:t>
      </w:r>
    </w:p>
    <w:p w14:paraId="4584E5E9" w14:textId="2779EBC8" w:rsidR="008F06B8" w:rsidRDefault="008F06B8" w:rsidP="008F06B8">
      <w:pPr>
        <w:pStyle w:val="MDPI31text"/>
      </w:pPr>
      <w:r>
        <w:t>Nearly three-quarters (74.9%) of the students we queried had tried cigarette s</w:t>
      </w:r>
      <w:r w:rsidR="004C690B">
        <w:t>moking, while the remaining</w:t>
      </w:r>
      <w:r>
        <w:t xml:space="preserve"> (25.1%) claimed that they had never smoked. The majority of smoking students (50.1%) were 16–18 years old when they first tried cigarettes, followed by those aged 11–15 years (25.3%). Although most individuals began smoking cigarettes before entering the university a significant number (16.8%) experimented with cigarette smoking once they became students. We also evaluated the number of students who had smoked within the last thirty days. We noted that 34.1% of the group smoked within this period, while </w:t>
      </w:r>
      <w:r w:rsidR="00816A00">
        <w:t>rest</w:t>
      </w:r>
      <w:r>
        <w:t xml:space="preserve"> did not smoke at all (Table 2). </w:t>
      </w:r>
      <w:r w:rsidR="00187893" w:rsidRPr="00187893">
        <w:rPr>
          <w:color w:val="FF0000"/>
        </w:rPr>
        <w:t xml:space="preserve">Only 0.5% of smokers </w:t>
      </w:r>
      <w:r w:rsidR="00B55B96">
        <w:rPr>
          <w:color w:val="FF0000"/>
        </w:rPr>
        <w:t xml:space="preserve">had </w:t>
      </w:r>
      <w:r w:rsidR="00187893" w:rsidRPr="00187893">
        <w:rPr>
          <w:color w:val="FF0000"/>
        </w:rPr>
        <w:t>use</w:t>
      </w:r>
      <w:r w:rsidR="00B55B96">
        <w:rPr>
          <w:color w:val="FF0000"/>
        </w:rPr>
        <w:t>d</w:t>
      </w:r>
      <w:r w:rsidR="00187893" w:rsidRPr="00187893">
        <w:rPr>
          <w:color w:val="FF0000"/>
        </w:rPr>
        <w:t xml:space="preserve"> </w:t>
      </w:r>
      <w:r w:rsidR="00460795">
        <w:rPr>
          <w:color w:val="FF0000"/>
        </w:rPr>
        <w:t xml:space="preserve">e-cigarettes or similar </w:t>
      </w:r>
      <w:r w:rsidR="00187893" w:rsidRPr="00187893">
        <w:rPr>
          <w:color w:val="FF0000"/>
        </w:rPr>
        <w:t>electronic devices.</w:t>
      </w:r>
      <w:r w:rsidR="00187893">
        <w:t xml:space="preserve"> </w:t>
      </w:r>
      <w:r>
        <w:t>The results also show</w:t>
      </w:r>
      <w:r w:rsidR="00AF6894">
        <w:t>ed</w:t>
      </w:r>
      <w:r>
        <w:t xml:space="preserve"> that out of current smokers, most (69%) were ‘light smokers’, while the rest were ‘moderate to heavy’ or ‘heavy’ smokers</w:t>
      </w:r>
      <w:r w:rsidR="00AF6894">
        <w:t>, and n</w:t>
      </w:r>
      <w:r>
        <w:t xml:space="preserve">early </w:t>
      </w:r>
      <w:r w:rsidR="00AF6894">
        <w:t>two thirds</w:t>
      </w:r>
      <w:r>
        <w:t xml:space="preserve"> of students showed at least one sign of smoking addiction (Table 2).</w:t>
      </w:r>
    </w:p>
    <w:p w14:paraId="76D5AF0F" w14:textId="7447EE29" w:rsidR="008F06B8" w:rsidRDefault="008F06B8" w:rsidP="008F06B8">
      <w:pPr>
        <w:pStyle w:val="MDPI41tablecaption"/>
      </w:pPr>
      <w:r w:rsidRPr="008F06B8">
        <w:rPr>
          <w:b/>
        </w:rPr>
        <w:t xml:space="preserve">Table 2. </w:t>
      </w:r>
      <w:r w:rsidRPr="008F06B8">
        <w:t>Student’s cigarette smoking characteristics</w:t>
      </w:r>
      <w:r>
        <w:t>.</w:t>
      </w:r>
    </w:p>
    <w:tbl>
      <w:tblPr>
        <w:tblW w:w="7857" w:type="dxa"/>
        <w:tblInd w:w="2608" w:type="dxa"/>
        <w:tblBorders>
          <w:top w:val="single" w:sz="8" w:space="0" w:color="auto"/>
          <w:bottom w:val="single" w:sz="8" w:space="0" w:color="auto"/>
          <w:insideH w:val="single" w:sz="4" w:space="0" w:color="7F7F7F"/>
        </w:tblBorders>
        <w:tblLayout w:type="fixed"/>
        <w:tblCellMar>
          <w:left w:w="0" w:type="dxa"/>
          <w:right w:w="0" w:type="dxa"/>
        </w:tblCellMar>
        <w:tblLook w:val="0400" w:firstRow="0" w:lastRow="0" w:firstColumn="0" w:lastColumn="0" w:noHBand="0" w:noVBand="1"/>
      </w:tblPr>
      <w:tblGrid>
        <w:gridCol w:w="5852"/>
        <w:gridCol w:w="536"/>
        <w:gridCol w:w="1469"/>
      </w:tblGrid>
      <w:tr w:rsidR="008F06B8" w:rsidRPr="00D83753" w14:paraId="0DEB991A" w14:textId="77777777" w:rsidTr="004C690B">
        <w:tc>
          <w:tcPr>
            <w:tcW w:w="6388" w:type="dxa"/>
            <w:gridSpan w:val="2"/>
            <w:shd w:val="clear" w:color="auto" w:fill="DBE5F1"/>
            <w:tcMar>
              <w:top w:w="80" w:type="dxa"/>
              <w:left w:w="80" w:type="dxa"/>
              <w:bottom w:w="80" w:type="dxa"/>
              <w:right w:w="80" w:type="dxa"/>
            </w:tcMar>
            <w:vAlign w:val="center"/>
          </w:tcPr>
          <w:p w14:paraId="3C73677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8F06B8">
              <w:rPr>
                <w:rFonts w:eastAsia="Times New Roman"/>
                <w:b/>
                <w:sz w:val="18"/>
                <w:lang w:eastAsia="en-US"/>
              </w:rPr>
              <w:t xml:space="preserve">Ever experimented with cigarette smoking </w:t>
            </w:r>
          </w:p>
        </w:tc>
        <w:tc>
          <w:tcPr>
            <w:tcW w:w="1469" w:type="dxa"/>
            <w:shd w:val="clear" w:color="auto" w:fill="DBE5F1"/>
            <w:tcMar>
              <w:top w:w="80" w:type="dxa"/>
              <w:left w:w="80" w:type="dxa"/>
              <w:bottom w:w="80" w:type="dxa"/>
              <w:right w:w="80" w:type="dxa"/>
            </w:tcMar>
            <w:vAlign w:val="center"/>
          </w:tcPr>
          <w:p w14:paraId="32555005"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8F06B8">
              <w:rPr>
                <w:rFonts w:eastAsia="Times New Roman"/>
                <w:b/>
                <w:sz w:val="18"/>
                <w:lang w:eastAsia="en-US"/>
              </w:rPr>
              <w:t>%</w:t>
            </w:r>
          </w:p>
        </w:tc>
      </w:tr>
      <w:tr w:rsidR="00D83753" w:rsidRPr="008F06B8" w14:paraId="14E98F13" w14:textId="77777777" w:rsidTr="004C690B">
        <w:tc>
          <w:tcPr>
            <w:tcW w:w="6388" w:type="dxa"/>
            <w:gridSpan w:val="2"/>
            <w:shd w:val="clear" w:color="auto" w:fill="auto"/>
            <w:tcMar>
              <w:top w:w="80" w:type="dxa"/>
              <w:left w:w="332" w:type="dxa"/>
              <w:bottom w:w="80" w:type="dxa"/>
              <w:right w:w="80" w:type="dxa"/>
            </w:tcMar>
            <w:vAlign w:val="center"/>
          </w:tcPr>
          <w:p w14:paraId="225D2049"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 xml:space="preserve">Yes </w:t>
            </w:r>
          </w:p>
        </w:tc>
        <w:tc>
          <w:tcPr>
            <w:tcW w:w="1469" w:type="dxa"/>
            <w:shd w:val="clear" w:color="auto" w:fill="auto"/>
            <w:tcMar>
              <w:top w:w="80" w:type="dxa"/>
              <w:left w:w="80" w:type="dxa"/>
              <w:bottom w:w="80" w:type="dxa"/>
              <w:right w:w="80" w:type="dxa"/>
            </w:tcMar>
            <w:vAlign w:val="center"/>
          </w:tcPr>
          <w:p w14:paraId="69AC5FF1"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74.9</w:t>
            </w:r>
          </w:p>
        </w:tc>
      </w:tr>
      <w:tr w:rsidR="008F06B8" w:rsidRPr="008F06B8" w14:paraId="450D3784" w14:textId="77777777" w:rsidTr="004C690B">
        <w:tc>
          <w:tcPr>
            <w:tcW w:w="6388" w:type="dxa"/>
            <w:gridSpan w:val="2"/>
            <w:shd w:val="clear" w:color="auto" w:fill="auto"/>
            <w:tcMar>
              <w:top w:w="80" w:type="dxa"/>
              <w:left w:w="332" w:type="dxa"/>
              <w:bottom w:w="80" w:type="dxa"/>
              <w:right w:w="80" w:type="dxa"/>
            </w:tcMar>
            <w:vAlign w:val="center"/>
          </w:tcPr>
          <w:p w14:paraId="5F227C4E"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 xml:space="preserve">No </w:t>
            </w:r>
          </w:p>
        </w:tc>
        <w:tc>
          <w:tcPr>
            <w:tcW w:w="1469" w:type="dxa"/>
            <w:shd w:val="clear" w:color="auto" w:fill="auto"/>
            <w:tcMar>
              <w:top w:w="80" w:type="dxa"/>
              <w:left w:w="80" w:type="dxa"/>
              <w:bottom w:w="80" w:type="dxa"/>
              <w:right w:w="80" w:type="dxa"/>
            </w:tcMar>
            <w:vAlign w:val="center"/>
          </w:tcPr>
          <w:p w14:paraId="4907A336"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25.1</w:t>
            </w:r>
          </w:p>
        </w:tc>
      </w:tr>
      <w:tr w:rsidR="00D83753" w:rsidRPr="008F06B8" w14:paraId="626466A4" w14:textId="77777777" w:rsidTr="004C690B">
        <w:tc>
          <w:tcPr>
            <w:tcW w:w="6388" w:type="dxa"/>
            <w:gridSpan w:val="2"/>
            <w:shd w:val="clear" w:color="auto" w:fill="DBE5F1"/>
            <w:tcMar>
              <w:top w:w="80" w:type="dxa"/>
              <w:left w:w="80" w:type="dxa"/>
              <w:bottom w:w="80" w:type="dxa"/>
              <w:right w:w="80" w:type="dxa"/>
            </w:tcMar>
            <w:vAlign w:val="center"/>
          </w:tcPr>
          <w:p w14:paraId="2717A82F"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 xml:space="preserve">Age at first experience with cigarette smoking </w:t>
            </w:r>
          </w:p>
        </w:tc>
        <w:tc>
          <w:tcPr>
            <w:tcW w:w="1469" w:type="dxa"/>
            <w:shd w:val="clear" w:color="auto" w:fill="DBE5F1"/>
            <w:tcMar>
              <w:top w:w="80" w:type="dxa"/>
              <w:left w:w="80" w:type="dxa"/>
              <w:bottom w:w="80" w:type="dxa"/>
              <w:right w:w="80" w:type="dxa"/>
            </w:tcMar>
            <w:vAlign w:val="center"/>
          </w:tcPr>
          <w:p w14:paraId="519BD5C2"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w:t>
            </w:r>
          </w:p>
        </w:tc>
      </w:tr>
      <w:tr w:rsidR="008F06B8" w:rsidRPr="008F06B8" w14:paraId="7F0EEAB7" w14:textId="77777777" w:rsidTr="004C690B">
        <w:tc>
          <w:tcPr>
            <w:tcW w:w="6388" w:type="dxa"/>
            <w:gridSpan w:val="2"/>
            <w:shd w:val="clear" w:color="auto" w:fill="auto"/>
            <w:tcMar>
              <w:top w:w="80" w:type="dxa"/>
              <w:left w:w="332" w:type="dxa"/>
              <w:bottom w:w="80" w:type="dxa"/>
              <w:right w:w="80" w:type="dxa"/>
            </w:tcMar>
            <w:vAlign w:val="center"/>
          </w:tcPr>
          <w:p w14:paraId="40C28263" w14:textId="48783889" w:rsidR="008F06B8" w:rsidRPr="00AF6894" w:rsidRDefault="00816A00"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Pr>
                <w:rFonts w:eastAsia="Times New Roman"/>
                <w:sz w:val="18"/>
                <w:lang w:eastAsia="en-US"/>
              </w:rPr>
              <w:t xml:space="preserve">&lt;10 </w:t>
            </w:r>
          </w:p>
        </w:tc>
        <w:tc>
          <w:tcPr>
            <w:tcW w:w="1469" w:type="dxa"/>
            <w:shd w:val="clear" w:color="auto" w:fill="auto"/>
            <w:tcMar>
              <w:top w:w="80" w:type="dxa"/>
              <w:left w:w="80" w:type="dxa"/>
              <w:bottom w:w="80" w:type="dxa"/>
              <w:right w:w="80" w:type="dxa"/>
            </w:tcMar>
            <w:vAlign w:val="center"/>
          </w:tcPr>
          <w:p w14:paraId="0110DD85"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7.8</w:t>
            </w:r>
          </w:p>
        </w:tc>
      </w:tr>
      <w:tr w:rsidR="008F06B8" w:rsidRPr="008F06B8" w14:paraId="00A8A565" w14:textId="77777777" w:rsidTr="004C690B">
        <w:tc>
          <w:tcPr>
            <w:tcW w:w="6388" w:type="dxa"/>
            <w:gridSpan w:val="2"/>
            <w:shd w:val="clear" w:color="auto" w:fill="auto"/>
            <w:tcMar>
              <w:top w:w="80" w:type="dxa"/>
              <w:left w:w="332" w:type="dxa"/>
              <w:bottom w:w="80" w:type="dxa"/>
              <w:right w:w="80" w:type="dxa"/>
            </w:tcMar>
            <w:vAlign w:val="center"/>
          </w:tcPr>
          <w:p w14:paraId="7A4F5F8C"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11 to 15</w:t>
            </w:r>
          </w:p>
        </w:tc>
        <w:tc>
          <w:tcPr>
            <w:tcW w:w="1469" w:type="dxa"/>
            <w:shd w:val="clear" w:color="auto" w:fill="auto"/>
            <w:tcMar>
              <w:top w:w="80" w:type="dxa"/>
              <w:left w:w="80" w:type="dxa"/>
              <w:bottom w:w="80" w:type="dxa"/>
              <w:right w:w="80" w:type="dxa"/>
            </w:tcMar>
            <w:vAlign w:val="center"/>
          </w:tcPr>
          <w:p w14:paraId="521166F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25.3</w:t>
            </w:r>
          </w:p>
        </w:tc>
      </w:tr>
      <w:tr w:rsidR="008F06B8" w:rsidRPr="008F06B8" w14:paraId="7E1DE7C6" w14:textId="77777777" w:rsidTr="004C690B">
        <w:tc>
          <w:tcPr>
            <w:tcW w:w="6388" w:type="dxa"/>
            <w:gridSpan w:val="2"/>
            <w:shd w:val="clear" w:color="auto" w:fill="auto"/>
            <w:tcMar>
              <w:top w:w="80" w:type="dxa"/>
              <w:left w:w="332" w:type="dxa"/>
              <w:bottom w:w="80" w:type="dxa"/>
              <w:right w:w="80" w:type="dxa"/>
            </w:tcMar>
            <w:vAlign w:val="center"/>
          </w:tcPr>
          <w:p w14:paraId="60DDD0FB"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lastRenderedPageBreak/>
              <w:t>16 to 18</w:t>
            </w:r>
          </w:p>
        </w:tc>
        <w:tc>
          <w:tcPr>
            <w:tcW w:w="1469" w:type="dxa"/>
            <w:shd w:val="clear" w:color="auto" w:fill="auto"/>
            <w:tcMar>
              <w:top w:w="80" w:type="dxa"/>
              <w:left w:w="80" w:type="dxa"/>
              <w:bottom w:w="80" w:type="dxa"/>
              <w:right w:w="80" w:type="dxa"/>
            </w:tcMar>
            <w:vAlign w:val="center"/>
          </w:tcPr>
          <w:p w14:paraId="38A71D5A"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50.1</w:t>
            </w:r>
          </w:p>
        </w:tc>
      </w:tr>
      <w:tr w:rsidR="008F06B8" w:rsidRPr="008F06B8" w14:paraId="381B1795" w14:textId="77777777" w:rsidTr="004C690B">
        <w:tc>
          <w:tcPr>
            <w:tcW w:w="6388" w:type="dxa"/>
            <w:gridSpan w:val="2"/>
            <w:shd w:val="clear" w:color="auto" w:fill="auto"/>
            <w:tcMar>
              <w:top w:w="80" w:type="dxa"/>
              <w:left w:w="332" w:type="dxa"/>
              <w:bottom w:w="80" w:type="dxa"/>
              <w:right w:w="80" w:type="dxa"/>
            </w:tcMar>
            <w:vAlign w:val="center"/>
          </w:tcPr>
          <w:p w14:paraId="5C518E37" w14:textId="330BB3AF" w:rsidR="008F06B8" w:rsidRPr="00AF6894" w:rsidRDefault="00816A00" w:rsidP="00816A00">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Pr>
                <w:rFonts w:eastAsia="Times New Roman"/>
                <w:sz w:val="18"/>
                <w:lang w:eastAsia="en-US"/>
              </w:rPr>
              <w:t>&gt;</w:t>
            </w:r>
            <w:r w:rsidR="008F06B8" w:rsidRPr="00AF6894">
              <w:rPr>
                <w:rFonts w:eastAsia="Times New Roman"/>
                <w:sz w:val="18"/>
                <w:lang w:eastAsia="en-US"/>
              </w:rPr>
              <w:t xml:space="preserve">19 </w:t>
            </w:r>
          </w:p>
        </w:tc>
        <w:tc>
          <w:tcPr>
            <w:tcW w:w="1469" w:type="dxa"/>
            <w:shd w:val="clear" w:color="auto" w:fill="auto"/>
            <w:tcMar>
              <w:top w:w="80" w:type="dxa"/>
              <w:left w:w="80" w:type="dxa"/>
              <w:bottom w:w="80" w:type="dxa"/>
              <w:right w:w="80" w:type="dxa"/>
            </w:tcMar>
            <w:vAlign w:val="center"/>
          </w:tcPr>
          <w:p w14:paraId="3FC9B46A"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16.8</w:t>
            </w:r>
          </w:p>
        </w:tc>
      </w:tr>
      <w:tr w:rsidR="004C690B" w:rsidRPr="008F06B8" w14:paraId="7374BD9D" w14:textId="77777777" w:rsidTr="004C690B">
        <w:tc>
          <w:tcPr>
            <w:tcW w:w="5852" w:type="dxa"/>
            <w:shd w:val="clear" w:color="auto" w:fill="DBE5F1"/>
            <w:tcMar>
              <w:top w:w="80" w:type="dxa"/>
              <w:left w:w="80" w:type="dxa"/>
              <w:bottom w:w="80" w:type="dxa"/>
              <w:right w:w="80" w:type="dxa"/>
            </w:tcMar>
            <w:vAlign w:val="center"/>
          </w:tcPr>
          <w:p w14:paraId="6FB34125" w14:textId="77777777" w:rsidR="004C690B" w:rsidRPr="008F06B8" w:rsidRDefault="004C690B"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Current cigarette smokers*</w:t>
            </w:r>
          </w:p>
        </w:tc>
        <w:tc>
          <w:tcPr>
            <w:tcW w:w="536" w:type="dxa"/>
            <w:shd w:val="clear" w:color="auto" w:fill="DBE5F1"/>
            <w:vAlign w:val="center"/>
          </w:tcPr>
          <w:p w14:paraId="02647724" w14:textId="6DAB3324" w:rsidR="004C690B" w:rsidRPr="008F06B8" w:rsidRDefault="004C690B"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Pr>
                <w:rFonts w:eastAsia="Times New Roman"/>
                <w:sz w:val="18"/>
                <w:szCs w:val="24"/>
                <w:lang w:eastAsia="en-US"/>
              </w:rPr>
              <w:t>N</w:t>
            </w:r>
          </w:p>
        </w:tc>
        <w:tc>
          <w:tcPr>
            <w:tcW w:w="1469" w:type="dxa"/>
            <w:shd w:val="clear" w:color="auto" w:fill="DBE5F1"/>
            <w:tcMar>
              <w:top w:w="80" w:type="dxa"/>
              <w:left w:w="80" w:type="dxa"/>
              <w:bottom w:w="80" w:type="dxa"/>
              <w:right w:w="80" w:type="dxa"/>
            </w:tcMar>
            <w:vAlign w:val="center"/>
          </w:tcPr>
          <w:p w14:paraId="633B428B" w14:textId="77777777" w:rsidR="004C690B" w:rsidRPr="008F06B8" w:rsidRDefault="004C690B"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w:t>
            </w:r>
          </w:p>
        </w:tc>
      </w:tr>
      <w:tr w:rsidR="004C690B" w:rsidRPr="008F06B8" w14:paraId="68F68B2B" w14:textId="77777777" w:rsidTr="004C690B">
        <w:tc>
          <w:tcPr>
            <w:tcW w:w="5852" w:type="dxa"/>
            <w:shd w:val="clear" w:color="auto" w:fill="auto"/>
            <w:tcMar>
              <w:top w:w="80" w:type="dxa"/>
              <w:left w:w="332" w:type="dxa"/>
              <w:bottom w:w="80" w:type="dxa"/>
              <w:right w:w="80" w:type="dxa"/>
            </w:tcMar>
            <w:vAlign w:val="center"/>
          </w:tcPr>
          <w:p w14:paraId="4CC1C4FB" w14:textId="77777777" w:rsidR="004C690B" w:rsidRPr="00AF6894" w:rsidRDefault="004C690B"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 xml:space="preserve">Yes </w:t>
            </w:r>
          </w:p>
        </w:tc>
        <w:tc>
          <w:tcPr>
            <w:tcW w:w="536" w:type="dxa"/>
            <w:shd w:val="clear" w:color="auto" w:fill="auto"/>
            <w:vAlign w:val="center"/>
          </w:tcPr>
          <w:p w14:paraId="609B2F30" w14:textId="105D5250" w:rsidR="004C690B" w:rsidRPr="008F06B8" w:rsidRDefault="00187893"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Pr>
                <w:rFonts w:eastAsia="Times New Roman"/>
                <w:sz w:val="18"/>
                <w:szCs w:val="24"/>
                <w:lang w:eastAsia="en-US"/>
              </w:rPr>
              <w:t>410</w:t>
            </w:r>
          </w:p>
        </w:tc>
        <w:tc>
          <w:tcPr>
            <w:tcW w:w="1469" w:type="dxa"/>
            <w:shd w:val="clear" w:color="auto" w:fill="auto"/>
            <w:tcMar>
              <w:top w:w="80" w:type="dxa"/>
              <w:left w:w="80" w:type="dxa"/>
              <w:bottom w:w="80" w:type="dxa"/>
              <w:right w:w="80" w:type="dxa"/>
            </w:tcMar>
            <w:vAlign w:val="center"/>
          </w:tcPr>
          <w:p w14:paraId="3C6E27B8" w14:textId="77777777" w:rsidR="004C690B" w:rsidRPr="008F06B8" w:rsidRDefault="004C690B"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34.1</w:t>
            </w:r>
          </w:p>
        </w:tc>
      </w:tr>
      <w:tr w:rsidR="004C690B" w:rsidRPr="008F06B8" w14:paraId="1BF39829" w14:textId="77777777" w:rsidTr="004C690B">
        <w:tc>
          <w:tcPr>
            <w:tcW w:w="5852" w:type="dxa"/>
            <w:shd w:val="clear" w:color="auto" w:fill="auto"/>
            <w:tcMar>
              <w:top w:w="80" w:type="dxa"/>
              <w:left w:w="332" w:type="dxa"/>
              <w:bottom w:w="80" w:type="dxa"/>
              <w:right w:w="80" w:type="dxa"/>
            </w:tcMar>
            <w:vAlign w:val="center"/>
          </w:tcPr>
          <w:p w14:paraId="4886CCBA" w14:textId="77777777" w:rsidR="004C690B" w:rsidRPr="00AF6894" w:rsidRDefault="004C690B"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 xml:space="preserve">No </w:t>
            </w:r>
          </w:p>
        </w:tc>
        <w:tc>
          <w:tcPr>
            <w:tcW w:w="536" w:type="dxa"/>
            <w:shd w:val="clear" w:color="auto" w:fill="auto"/>
            <w:vAlign w:val="center"/>
          </w:tcPr>
          <w:p w14:paraId="5545DBD8" w14:textId="04C2EF65" w:rsidR="004C690B" w:rsidRPr="008F06B8" w:rsidRDefault="00187893"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Pr>
                <w:rFonts w:eastAsia="Times New Roman"/>
                <w:sz w:val="18"/>
                <w:szCs w:val="24"/>
                <w:lang w:eastAsia="en-US"/>
              </w:rPr>
              <w:t>790</w:t>
            </w:r>
          </w:p>
        </w:tc>
        <w:tc>
          <w:tcPr>
            <w:tcW w:w="1469" w:type="dxa"/>
            <w:shd w:val="clear" w:color="auto" w:fill="auto"/>
            <w:tcMar>
              <w:top w:w="80" w:type="dxa"/>
              <w:left w:w="80" w:type="dxa"/>
              <w:bottom w:w="80" w:type="dxa"/>
              <w:right w:w="80" w:type="dxa"/>
            </w:tcMar>
            <w:vAlign w:val="center"/>
          </w:tcPr>
          <w:p w14:paraId="740FC488" w14:textId="77777777" w:rsidR="004C690B" w:rsidRPr="008F06B8" w:rsidRDefault="004C690B"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65.9</w:t>
            </w:r>
          </w:p>
        </w:tc>
      </w:tr>
      <w:tr w:rsidR="00D83753" w:rsidRPr="008F06B8" w14:paraId="2CCE186F" w14:textId="77777777" w:rsidTr="004C690B">
        <w:tc>
          <w:tcPr>
            <w:tcW w:w="6388" w:type="dxa"/>
            <w:gridSpan w:val="2"/>
            <w:shd w:val="clear" w:color="auto" w:fill="DBE5F1"/>
            <w:tcMar>
              <w:top w:w="80" w:type="dxa"/>
              <w:left w:w="80" w:type="dxa"/>
              <w:bottom w:w="80" w:type="dxa"/>
              <w:right w:w="80" w:type="dxa"/>
            </w:tcMar>
            <w:vAlign w:val="center"/>
          </w:tcPr>
          <w:p w14:paraId="6B210F05"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Smoking status related to the number of cigarettes/day</w:t>
            </w:r>
          </w:p>
        </w:tc>
        <w:tc>
          <w:tcPr>
            <w:tcW w:w="1469" w:type="dxa"/>
            <w:shd w:val="clear" w:color="auto" w:fill="DBE5F1"/>
            <w:tcMar>
              <w:top w:w="80" w:type="dxa"/>
              <w:left w:w="80" w:type="dxa"/>
              <w:bottom w:w="80" w:type="dxa"/>
              <w:right w:w="80" w:type="dxa"/>
            </w:tcMar>
            <w:vAlign w:val="center"/>
          </w:tcPr>
          <w:p w14:paraId="6E4A2082"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w:t>
            </w:r>
          </w:p>
        </w:tc>
      </w:tr>
      <w:tr w:rsidR="008F06B8" w:rsidRPr="008F06B8" w14:paraId="69A596AD" w14:textId="77777777" w:rsidTr="004C690B">
        <w:tc>
          <w:tcPr>
            <w:tcW w:w="6388" w:type="dxa"/>
            <w:gridSpan w:val="2"/>
            <w:shd w:val="clear" w:color="auto" w:fill="auto"/>
            <w:tcMar>
              <w:top w:w="80" w:type="dxa"/>
              <w:left w:w="332" w:type="dxa"/>
              <w:bottom w:w="80" w:type="dxa"/>
              <w:right w:w="80" w:type="dxa"/>
            </w:tcMar>
            <w:vAlign w:val="center"/>
          </w:tcPr>
          <w:p w14:paraId="798C21E1"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Light smokers (1-10 cigarettes/day)</w:t>
            </w:r>
          </w:p>
        </w:tc>
        <w:tc>
          <w:tcPr>
            <w:tcW w:w="1469" w:type="dxa"/>
            <w:shd w:val="clear" w:color="auto" w:fill="auto"/>
            <w:tcMar>
              <w:top w:w="80" w:type="dxa"/>
              <w:left w:w="80" w:type="dxa"/>
              <w:bottom w:w="80" w:type="dxa"/>
              <w:right w:w="80" w:type="dxa"/>
            </w:tcMar>
            <w:vAlign w:val="center"/>
          </w:tcPr>
          <w:p w14:paraId="0FFCA07D"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69.0</w:t>
            </w:r>
          </w:p>
        </w:tc>
      </w:tr>
      <w:tr w:rsidR="008F06B8" w:rsidRPr="008F06B8" w14:paraId="7E23F31E" w14:textId="77777777" w:rsidTr="004C690B">
        <w:tc>
          <w:tcPr>
            <w:tcW w:w="6388" w:type="dxa"/>
            <w:gridSpan w:val="2"/>
            <w:shd w:val="clear" w:color="auto" w:fill="auto"/>
            <w:tcMar>
              <w:top w:w="80" w:type="dxa"/>
              <w:left w:w="332" w:type="dxa"/>
              <w:bottom w:w="80" w:type="dxa"/>
              <w:right w:w="80" w:type="dxa"/>
            </w:tcMar>
            <w:vAlign w:val="center"/>
          </w:tcPr>
          <w:p w14:paraId="10925EB1"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Moderate-to-heavy smokers (11-20 cigarettes/day)</w:t>
            </w:r>
          </w:p>
        </w:tc>
        <w:tc>
          <w:tcPr>
            <w:tcW w:w="1469" w:type="dxa"/>
            <w:shd w:val="clear" w:color="auto" w:fill="auto"/>
            <w:tcMar>
              <w:top w:w="80" w:type="dxa"/>
              <w:left w:w="80" w:type="dxa"/>
              <w:bottom w:w="80" w:type="dxa"/>
              <w:right w:w="80" w:type="dxa"/>
            </w:tcMar>
            <w:vAlign w:val="center"/>
          </w:tcPr>
          <w:p w14:paraId="5A4758BB"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24.1</w:t>
            </w:r>
          </w:p>
        </w:tc>
      </w:tr>
      <w:tr w:rsidR="008F06B8" w:rsidRPr="008F06B8" w14:paraId="21765C5A" w14:textId="77777777" w:rsidTr="004C690B">
        <w:tc>
          <w:tcPr>
            <w:tcW w:w="6388" w:type="dxa"/>
            <w:gridSpan w:val="2"/>
            <w:shd w:val="clear" w:color="auto" w:fill="auto"/>
            <w:tcMar>
              <w:top w:w="80" w:type="dxa"/>
              <w:left w:w="332" w:type="dxa"/>
              <w:bottom w:w="80" w:type="dxa"/>
              <w:right w:w="80" w:type="dxa"/>
            </w:tcMar>
            <w:vAlign w:val="center"/>
          </w:tcPr>
          <w:p w14:paraId="4432C966"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Very heavy smokers (&gt; 20 cigarettes/day)</w:t>
            </w:r>
          </w:p>
        </w:tc>
        <w:tc>
          <w:tcPr>
            <w:tcW w:w="1469" w:type="dxa"/>
            <w:shd w:val="clear" w:color="auto" w:fill="auto"/>
            <w:tcMar>
              <w:top w:w="80" w:type="dxa"/>
              <w:left w:w="80" w:type="dxa"/>
              <w:bottom w:w="80" w:type="dxa"/>
              <w:right w:w="80" w:type="dxa"/>
            </w:tcMar>
            <w:vAlign w:val="center"/>
          </w:tcPr>
          <w:p w14:paraId="6B651F80"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6.9</w:t>
            </w:r>
          </w:p>
        </w:tc>
      </w:tr>
      <w:tr w:rsidR="00D83753" w:rsidRPr="008F06B8" w14:paraId="5E459E1B" w14:textId="77777777" w:rsidTr="004C690B">
        <w:tc>
          <w:tcPr>
            <w:tcW w:w="6388" w:type="dxa"/>
            <w:gridSpan w:val="2"/>
            <w:shd w:val="clear" w:color="auto" w:fill="DBE5F1"/>
            <w:tcMar>
              <w:top w:w="80" w:type="dxa"/>
              <w:left w:w="80" w:type="dxa"/>
              <w:bottom w:w="80" w:type="dxa"/>
              <w:right w:w="80" w:type="dxa"/>
            </w:tcMar>
            <w:vAlign w:val="center"/>
          </w:tcPr>
          <w:p w14:paraId="54C19D12"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 xml:space="preserve">Has a desire to smoke after waking up </w:t>
            </w:r>
          </w:p>
        </w:tc>
        <w:tc>
          <w:tcPr>
            <w:tcW w:w="1469" w:type="dxa"/>
            <w:shd w:val="clear" w:color="auto" w:fill="DBE5F1"/>
            <w:tcMar>
              <w:top w:w="80" w:type="dxa"/>
              <w:left w:w="80" w:type="dxa"/>
              <w:bottom w:w="80" w:type="dxa"/>
              <w:right w:w="80" w:type="dxa"/>
            </w:tcMar>
            <w:vAlign w:val="center"/>
          </w:tcPr>
          <w:p w14:paraId="22B3941B"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w:t>
            </w:r>
          </w:p>
        </w:tc>
      </w:tr>
      <w:tr w:rsidR="008F06B8" w:rsidRPr="008F06B8" w14:paraId="39FCFC9E" w14:textId="77777777" w:rsidTr="004C690B">
        <w:tc>
          <w:tcPr>
            <w:tcW w:w="6388" w:type="dxa"/>
            <w:gridSpan w:val="2"/>
            <w:shd w:val="clear" w:color="auto" w:fill="auto"/>
            <w:tcMar>
              <w:top w:w="80" w:type="dxa"/>
              <w:left w:w="332" w:type="dxa"/>
              <w:bottom w:w="80" w:type="dxa"/>
              <w:right w:w="80" w:type="dxa"/>
            </w:tcMar>
            <w:vAlign w:val="center"/>
          </w:tcPr>
          <w:p w14:paraId="2FCF6AE5"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Always</w:t>
            </w:r>
          </w:p>
        </w:tc>
        <w:tc>
          <w:tcPr>
            <w:tcW w:w="1469" w:type="dxa"/>
            <w:shd w:val="clear" w:color="auto" w:fill="auto"/>
            <w:tcMar>
              <w:top w:w="80" w:type="dxa"/>
              <w:left w:w="80" w:type="dxa"/>
              <w:bottom w:w="80" w:type="dxa"/>
              <w:right w:w="80" w:type="dxa"/>
            </w:tcMar>
            <w:vAlign w:val="center"/>
          </w:tcPr>
          <w:p w14:paraId="43449B0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9.5</w:t>
            </w:r>
          </w:p>
        </w:tc>
      </w:tr>
      <w:tr w:rsidR="008F06B8" w:rsidRPr="008F06B8" w14:paraId="5B39E1AB" w14:textId="77777777" w:rsidTr="004C690B">
        <w:tc>
          <w:tcPr>
            <w:tcW w:w="6388" w:type="dxa"/>
            <w:gridSpan w:val="2"/>
            <w:shd w:val="clear" w:color="auto" w:fill="auto"/>
            <w:tcMar>
              <w:top w:w="80" w:type="dxa"/>
              <w:left w:w="332" w:type="dxa"/>
              <w:bottom w:w="80" w:type="dxa"/>
              <w:right w:w="80" w:type="dxa"/>
            </w:tcMar>
            <w:vAlign w:val="center"/>
          </w:tcPr>
          <w:p w14:paraId="39740A66"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Sometimes</w:t>
            </w:r>
          </w:p>
        </w:tc>
        <w:tc>
          <w:tcPr>
            <w:tcW w:w="1469" w:type="dxa"/>
            <w:shd w:val="clear" w:color="auto" w:fill="auto"/>
            <w:tcMar>
              <w:top w:w="80" w:type="dxa"/>
              <w:left w:w="80" w:type="dxa"/>
              <w:bottom w:w="80" w:type="dxa"/>
              <w:right w:w="80" w:type="dxa"/>
            </w:tcMar>
            <w:vAlign w:val="center"/>
          </w:tcPr>
          <w:p w14:paraId="33BFAC18"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25.1</w:t>
            </w:r>
          </w:p>
        </w:tc>
      </w:tr>
      <w:tr w:rsidR="008F06B8" w:rsidRPr="008F06B8" w14:paraId="7D45B984" w14:textId="77777777" w:rsidTr="004C690B">
        <w:tc>
          <w:tcPr>
            <w:tcW w:w="6388" w:type="dxa"/>
            <w:gridSpan w:val="2"/>
            <w:shd w:val="clear" w:color="auto" w:fill="auto"/>
            <w:tcMar>
              <w:top w:w="80" w:type="dxa"/>
              <w:left w:w="332" w:type="dxa"/>
              <w:bottom w:w="80" w:type="dxa"/>
              <w:right w:w="80" w:type="dxa"/>
            </w:tcMar>
            <w:vAlign w:val="center"/>
          </w:tcPr>
          <w:p w14:paraId="56934BDD"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Never</w:t>
            </w:r>
          </w:p>
        </w:tc>
        <w:tc>
          <w:tcPr>
            <w:tcW w:w="1469" w:type="dxa"/>
            <w:shd w:val="clear" w:color="auto" w:fill="auto"/>
            <w:tcMar>
              <w:top w:w="80" w:type="dxa"/>
              <w:left w:w="80" w:type="dxa"/>
              <w:bottom w:w="80" w:type="dxa"/>
              <w:right w:w="80" w:type="dxa"/>
            </w:tcMar>
            <w:vAlign w:val="center"/>
          </w:tcPr>
          <w:p w14:paraId="6BD248F4"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65.4</w:t>
            </w:r>
          </w:p>
        </w:tc>
      </w:tr>
      <w:tr w:rsidR="00D83753" w:rsidRPr="008F06B8" w14:paraId="58AC4997" w14:textId="77777777" w:rsidTr="004C690B">
        <w:tc>
          <w:tcPr>
            <w:tcW w:w="6388" w:type="dxa"/>
            <w:gridSpan w:val="2"/>
            <w:shd w:val="clear" w:color="auto" w:fill="DBE5F1"/>
            <w:tcMar>
              <w:top w:w="80" w:type="dxa"/>
              <w:left w:w="80" w:type="dxa"/>
              <w:bottom w:w="80" w:type="dxa"/>
              <w:right w:w="80" w:type="dxa"/>
            </w:tcMar>
            <w:vAlign w:val="center"/>
          </w:tcPr>
          <w:p w14:paraId="76EAE6F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Smoking time after waking up</w:t>
            </w:r>
          </w:p>
        </w:tc>
        <w:tc>
          <w:tcPr>
            <w:tcW w:w="1469" w:type="dxa"/>
            <w:shd w:val="clear" w:color="auto" w:fill="DBE5F1"/>
            <w:tcMar>
              <w:top w:w="80" w:type="dxa"/>
              <w:left w:w="80" w:type="dxa"/>
              <w:bottom w:w="80" w:type="dxa"/>
              <w:right w:w="80" w:type="dxa"/>
            </w:tcMar>
            <w:vAlign w:val="center"/>
          </w:tcPr>
          <w:p w14:paraId="2CABDF8F"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w:t>
            </w:r>
          </w:p>
        </w:tc>
      </w:tr>
      <w:tr w:rsidR="008F06B8" w:rsidRPr="008F06B8" w14:paraId="13B17E4E" w14:textId="77777777" w:rsidTr="004C690B">
        <w:tc>
          <w:tcPr>
            <w:tcW w:w="6388" w:type="dxa"/>
            <w:gridSpan w:val="2"/>
            <w:shd w:val="clear" w:color="auto" w:fill="auto"/>
            <w:tcMar>
              <w:top w:w="80" w:type="dxa"/>
              <w:left w:w="332" w:type="dxa"/>
              <w:bottom w:w="80" w:type="dxa"/>
              <w:right w:w="80" w:type="dxa"/>
            </w:tcMar>
            <w:vAlign w:val="center"/>
          </w:tcPr>
          <w:p w14:paraId="648FFB1F"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60 minutes</w:t>
            </w:r>
          </w:p>
        </w:tc>
        <w:tc>
          <w:tcPr>
            <w:tcW w:w="1469" w:type="dxa"/>
            <w:shd w:val="clear" w:color="auto" w:fill="auto"/>
            <w:tcMar>
              <w:top w:w="80" w:type="dxa"/>
              <w:left w:w="80" w:type="dxa"/>
              <w:bottom w:w="80" w:type="dxa"/>
              <w:right w:w="80" w:type="dxa"/>
            </w:tcMar>
            <w:vAlign w:val="center"/>
          </w:tcPr>
          <w:p w14:paraId="02A1C93B"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20.9</w:t>
            </w:r>
          </w:p>
        </w:tc>
      </w:tr>
      <w:tr w:rsidR="008F06B8" w:rsidRPr="008F06B8" w14:paraId="7682EBCB" w14:textId="77777777" w:rsidTr="004C690B">
        <w:tc>
          <w:tcPr>
            <w:tcW w:w="6388" w:type="dxa"/>
            <w:gridSpan w:val="2"/>
            <w:shd w:val="clear" w:color="auto" w:fill="auto"/>
            <w:tcMar>
              <w:top w:w="80" w:type="dxa"/>
              <w:left w:w="332" w:type="dxa"/>
              <w:bottom w:w="80" w:type="dxa"/>
              <w:right w:w="80" w:type="dxa"/>
            </w:tcMar>
            <w:vAlign w:val="center"/>
          </w:tcPr>
          <w:p w14:paraId="1B472DB6"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1 to 2 hours</w:t>
            </w:r>
          </w:p>
        </w:tc>
        <w:tc>
          <w:tcPr>
            <w:tcW w:w="1469" w:type="dxa"/>
            <w:shd w:val="clear" w:color="auto" w:fill="auto"/>
            <w:tcMar>
              <w:top w:w="80" w:type="dxa"/>
              <w:left w:w="80" w:type="dxa"/>
              <w:bottom w:w="80" w:type="dxa"/>
              <w:right w:w="80" w:type="dxa"/>
            </w:tcMar>
            <w:vAlign w:val="center"/>
          </w:tcPr>
          <w:p w14:paraId="14B17284"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16</w:t>
            </w:r>
          </w:p>
        </w:tc>
      </w:tr>
      <w:tr w:rsidR="008F06B8" w:rsidRPr="008F06B8" w14:paraId="43FD27DB" w14:textId="77777777" w:rsidTr="004C690B">
        <w:tc>
          <w:tcPr>
            <w:tcW w:w="6388" w:type="dxa"/>
            <w:gridSpan w:val="2"/>
            <w:shd w:val="clear" w:color="auto" w:fill="auto"/>
            <w:tcMar>
              <w:top w:w="80" w:type="dxa"/>
              <w:left w:w="332" w:type="dxa"/>
              <w:bottom w:w="80" w:type="dxa"/>
              <w:right w:w="80" w:type="dxa"/>
            </w:tcMar>
            <w:vAlign w:val="center"/>
          </w:tcPr>
          <w:p w14:paraId="179CD3A5"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2 to 4 hours</w:t>
            </w:r>
          </w:p>
        </w:tc>
        <w:tc>
          <w:tcPr>
            <w:tcW w:w="1469" w:type="dxa"/>
            <w:shd w:val="clear" w:color="auto" w:fill="auto"/>
            <w:tcMar>
              <w:top w:w="80" w:type="dxa"/>
              <w:left w:w="80" w:type="dxa"/>
              <w:bottom w:w="80" w:type="dxa"/>
              <w:right w:w="80" w:type="dxa"/>
            </w:tcMar>
            <w:vAlign w:val="center"/>
          </w:tcPr>
          <w:p w14:paraId="76700F05"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9.8</w:t>
            </w:r>
          </w:p>
        </w:tc>
      </w:tr>
      <w:tr w:rsidR="008F06B8" w:rsidRPr="008F06B8" w14:paraId="343C4845" w14:textId="77777777" w:rsidTr="004C690B">
        <w:tc>
          <w:tcPr>
            <w:tcW w:w="6388" w:type="dxa"/>
            <w:gridSpan w:val="2"/>
            <w:shd w:val="clear" w:color="auto" w:fill="auto"/>
            <w:tcMar>
              <w:top w:w="80" w:type="dxa"/>
              <w:left w:w="332" w:type="dxa"/>
              <w:bottom w:w="80" w:type="dxa"/>
              <w:right w:w="80" w:type="dxa"/>
            </w:tcMar>
            <w:vAlign w:val="center"/>
          </w:tcPr>
          <w:p w14:paraId="61EECBE8"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More than 4 hours, less than one day</w:t>
            </w:r>
          </w:p>
        </w:tc>
        <w:tc>
          <w:tcPr>
            <w:tcW w:w="1469" w:type="dxa"/>
            <w:shd w:val="clear" w:color="auto" w:fill="auto"/>
            <w:tcMar>
              <w:top w:w="80" w:type="dxa"/>
              <w:left w:w="80" w:type="dxa"/>
              <w:bottom w:w="80" w:type="dxa"/>
              <w:right w:w="80" w:type="dxa"/>
            </w:tcMar>
            <w:vAlign w:val="center"/>
          </w:tcPr>
          <w:p w14:paraId="21116AD6"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9.3</w:t>
            </w:r>
          </w:p>
        </w:tc>
      </w:tr>
      <w:tr w:rsidR="008F06B8" w:rsidRPr="008F06B8" w14:paraId="7452C288" w14:textId="77777777" w:rsidTr="004C690B">
        <w:tc>
          <w:tcPr>
            <w:tcW w:w="6388" w:type="dxa"/>
            <w:gridSpan w:val="2"/>
            <w:shd w:val="clear" w:color="auto" w:fill="auto"/>
            <w:tcMar>
              <w:top w:w="80" w:type="dxa"/>
              <w:left w:w="332" w:type="dxa"/>
              <w:bottom w:w="80" w:type="dxa"/>
              <w:right w:w="80" w:type="dxa"/>
            </w:tcMar>
            <w:vAlign w:val="center"/>
          </w:tcPr>
          <w:p w14:paraId="07AD3F35"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1 to 3 days</w:t>
            </w:r>
          </w:p>
        </w:tc>
        <w:tc>
          <w:tcPr>
            <w:tcW w:w="1469" w:type="dxa"/>
            <w:shd w:val="clear" w:color="auto" w:fill="auto"/>
            <w:tcMar>
              <w:top w:w="80" w:type="dxa"/>
              <w:left w:w="80" w:type="dxa"/>
              <w:bottom w:w="80" w:type="dxa"/>
              <w:right w:w="80" w:type="dxa"/>
            </w:tcMar>
            <w:vAlign w:val="center"/>
          </w:tcPr>
          <w:p w14:paraId="1C5E9A50"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5.1</w:t>
            </w:r>
          </w:p>
        </w:tc>
      </w:tr>
      <w:tr w:rsidR="008F06B8" w:rsidRPr="008F06B8" w14:paraId="1AD0DEC0" w14:textId="77777777" w:rsidTr="004C690B">
        <w:tc>
          <w:tcPr>
            <w:tcW w:w="6388" w:type="dxa"/>
            <w:gridSpan w:val="2"/>
            <w:shd w:val="clear" w:color="auto" w:fill="auto"/>
            <w:tcMar>
              <w:top w:w="80" w:type="dxa"/>
              <w:left w:w="332" w:type="dxa"/>
              <w:bottom w:w="80" w:type="dxa"/>
              <w:right w:w="80" w:type="dxa"/>
            </w:tcMar>
            <w:vAlign w:val="center"/>
          </w:tcPr>
          <w:p w14:paraId="25FDC296"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4 days and more</w:t>
            </w:r>
          </w:p>
        </w:tc>
        <w:tc>
          <w:tcPr>
            <w:tcW w:w="1469" w:type="dxa"/>
            <w:shd w:val="clear" w:color="auto" w:fill="auto"/>
            <w:tcMar>
              <w:top w:w="80" w:type="dxa"/>
              <w:left w:w="80" w:type="dxa"/>
              <w:bottom w:w="80" w:type="dxa"/>
              <w:right w:w="80" w:type="dxa"/>
            </w:tcMar>
            <w:vAlign w:val="center"/>
          </w:tcPr>
          <w:p w14:paraId="131EAC9E"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4.2</w:t>
            </w:r>
          </w:p>
        </w:tc>
      </w:tr>
      <w:tr w:rsidR="008F06B8" w:rsidRPr="008F06B8" w14:paraId="67E4610B" w14:textId="77777777" w:rsidTr="004C690B">
        <w:tc>
          <w:tcPr>
            <w:tcW w:w="6388" w:type="dxa"/>
            <w:gridSpan w:val="2"/>
            <w:shd w:val="clear" w:color="auto" w:fill="auto"/>
            <w:tcMar>
              <w:top w:w="80" w:type="dxa"/>
              <w:left w:w="332" w:type="dxa"/>
              <w:bottom w:w="80" w:type="dxa"/>
              <w:right w:w="80" w:type="dxa"/>
            </w:tcMar>
            <w:vAlign w:val="center"/>
          </w:tcPr>
          <w:p w14:paraId="59FE2BD0"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Never</w:t>
            </w:r>
          </w:p>
        </w:tc>
        <w:tc>
          <w:tcPr>
            <w:tcW w:w="1469" w:type="dxa"/>
            <w:shd w:val="clear" w:color="auto" w:fill="auto"/>
            <w:tcMar>
              <w:top w:w="80" w:type="dxa"/>
              <w:left w:w="80" w:type="dxa"/>
              <w:bottom w:w="80" w:type="dxa"/>
              <w:right w:w="80" w:type="dxa"/>
            </w:tcMar>
            <w:vAlign w:val="center"/>
          </w:tcPr>
          <w:p w14:paraId="06E3B005"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34.7</w:t>
            </w:r>
          </w:p>
        </w:tc>
      </w:tr>
      <w:tr w:rsidR="00D83753" w:rsidRPr="008F06B8" w14:paraId="43155DFB" w14:textId="77777777" w:rsidTr="004C690B">
        <w:tc>
          <w:tcPr>
            <w:tcW w:w="6388" w:type="dxa"/>
            <w:gridSpan w:val="2"/>
            <w:shd w:val="clear" w:color="auto" w:fill="DBE5F1"/>
            <w:tcMar>
              <w:top w:w="80" w:type="dxa"/>
              <w:left w:w="80" w:type="dxa"/>
              <w:bottom w:w="80" w:type="dxa"/>
              <w:right w:w="80" w:type="dxa"/>
            </w:tcMar>
            <w:vAlign w:val="center"/>
          </w:tcPr>
          <w:p w14:paraId="3F6BC9CC"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Signs of addiction**</w:t>
            </w:r>
          </w:p>
        </w:tc>
        <w:tc>
          <w:tcPr>
            <w:tcW w:w="1469" w:type="dxa"/>
            <w:shd w:val="clear" w:color="auto" w:fill="DBE5F1"/>
            <w:tcMar>
              <w:top w:w="80" w:type="dxa"/>
              <w:left w:w="80" w:type="dxa"/>
              <w:bottom w:w="80" w:type="dxa"/>
              <w:right w:w="80" w:type="dxa"/>
            </w:tcMar>
            <w:vAlign w:val="center"/>
          </w:tcPr>
          <w:p w14:paraId="2529790B"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b/>
                <w:sz w:val="18"/>
                <w:lang w:eastAsia="en-US"/>
              </w:rPr>
              <w:t>%</w:t>
            </w:r>
          </w:p>
        </w:tc>
      </w:tr>
      <w:tr w:rsidR="008F06B8" w:rsidRPr="008F06B8" w14:paraId="4F5625EF" w14:textId="77777777" w:rsidTr="004C690B">
        <w:tc>
          <w:tcPr>
            <w:tcW w:w="6388" w:type="dxa"/>
            <w:gridSpan w:val="2"/>
            <w:shd w:val="clear" w:color="auto" w:fill="auto"/>
            <w:tcMar>
              <w:top w:w="80" w:type="dxa"/>
              <w:left w:w="332" w:type="dxa"/>
              <w:bottom w:w="80" w:type="dxa"/>
              <w:right w:w="80" w:type="dxa"/>
            </w:tcMar>
            <w:vAlign w:val="center"/>
          </w:tcPr>
          <w:p w14:paraId="25C34EDC"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Yes</w:t>
            </w:r>
          </w:p>
        </w:tc>
        <w:tc>
          <w:tcPr>
            <w:tcW w:w="1469" w:type="dxa"/>
            <w:shd w:val="clear" w:color="auto" w:fill="auto"/>
            <w:tcMar>
              <w:top w:w="80" w:type="dxa"/>
              <w:left w:w="332" w:type="dxa"/>
              <w:bottom w:w="80" w:type="dxa"/>
              <w:right w:w="80" w:type="dxa"/>
            </w:tcMar>
            <w:vAlign w:val="center"/>
          </w:tcPr>
          <w:p w14:paraId="50B51E3F"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61.4</w:t>
            </w:r>
          </w:p>
        </w:tc>
      </w:tr>
      <w:tr w:rsidR="008F06B8" w:rsidRPr="008F06B8" w14:paraId="3F4E6209" w14:textId="77777777" w:rsidTr="004C690B">
        <w:tc>
          <w:tcPr>
            <w:tcW w:w="6388" w:type="dxa"/>
            <w:gridSpan w:val="2"/>
            <w:shd w:val="clear" w:color="auto" w:fill="auto"/>
            <w:tcMar>
              <w:top w:w="80" w:type="dxa"/>
              <w:left w:w="332" w:type="dxa"/>
              <w:bottom w:w="80" w:type="dxa"/>
              <w:right w:w="80" w:type="dxa"/>
            </w:tcMar>
            <w:vAlign w:val="center"/>
          </w:tcPr>
          <w:p w14:paraId="36FA33DE" w14:textId="77777777" w:rsidR="008F06B8" w:rsidRPr="00AF6894"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No</w:t>
            </w:r>
          </w:p>
        </w:tc>
        <w:tc>
          <w:tcPr>
            <w:tcW w:w="1469" w:type="dxa"/>
            <w:shd w:val="clear" w:color="auto" w:fill="auto"/>
            <w:tcMar>
              <w:top w:w="80" w:type="dxa"/>
              <w:left w:w="332" w:type="dxa"/>
              <w:bottom w:w="80" w:type="dxa"/>
              <w:right w:w="80" w:type="dxa"/>
            </w:tcMar>
            <w:vAlign w:val="center"/>
          </w:tcPr>
          <w:p w14:paraId="37A490A9" w14:textId="77777777" w:rsidR="008F06B8" w:rsidRPr="008F06B8" w:rsidRDefault="008F06B8"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8F06B8">
              <w:rPr>
                <w:rFonts w:eastAsia="Times New Roman"/>
                <w:sz w:val="18"/>
                <w:lang w:eastAsia="en-US"/>
              </w:rPr>
              <w:t>38.6</w:t>
            </w:r>
          </w:p>
        </w:tc>
      </w:tr>
    </w:tbl>
    <w:p w14:paraId="021923DB" w14:textId="650EF28D" w:rsidR="008F06B8" w:rsidRDefault="008F06B8" w:rsidP="008F06B8">
      <w:pPr>
        <w:pStyle w:val="MDPI43tablefooter"/>
      </w:pPr>
      <w:r>
        <w:t>* Students who smoked at least one day in 30 days prior to the survey</w:t>
      </w:r>
      <w:r w:rsidR="00DE7502">
        <w:t>.</w:t>
      </w:r>
      <w:r>
        <w:t xml:space="preserve"> </w:t>
      </w:r>
      <w:r w:rsidR="00816A00">
        <w:br/>
      </w:r>
      <w:r>
        <w:t>** Students who smoke every day and desired to smoke always or sometimes upon waking up, and where smoking time after waking up was within one day.</w:t>
      </w:r>
    </w:p>
    <w:p w14:paraId="217DC575" w14:textId="77777777" w:rsidR="00AF6894" w:rsidRPr="00AF6894" w:rsidRDefault="00AF6894" w:rsidP="00AF6894">
      <w:pPr>
        <w:pStyle w:val="MDPI31text"/>
      </w:pPr>
    </w:p>
    <w:p w14:paraId="378B72EA" w14:textId="7027CE90" w:rsidR="008F06B8" w:rsidRDefault="008F06B8" w:rsidP="008F06B8">
      <w:pPr>
        <w:pStyle w:val="MDPI31text"/>
      </w:pPr>
      <w:r w:rsidRPr="008F06B8">
        <w:t>Most subjects admitted that they had been exposed to cigarette smoking from others</w:t>
      </w:r>
      <w:r w:rsidR="00AF6894">
        <w:t>, b</w:t>
      </w:r>
      <w:r w:rsidRPr="008F06B8">
        <w:t xml:space="preserve">ut also </w:t>
      </w:r>
      <w:r w:rsidR="00AF6894">
        <w:t>majority</w:t>
      </w:r>
      <w:r w:rsidRPr="008F06B8">
        <w:t xml:space="preserve"> of th</w:t>
      </w:r>
      <w:r w:rsidR="00AF6894">
        <w:t xml:space="preserve">em </w:t>
      </w:r>
      <w:r w:rsidRPr="008F06B8">
        <w:t>were exposed to smoking at closed public places</w:t>
      </w:r>
      <w:r w:rsidR="00460795">
        <w:t xml:space="preserve"> </w:t>
      </w:r>
      <w:r w:rsidR="00460795" w:rsidRPr="00460795">
        <w:rPr>
          <w:color w:val="FF0000"/>
        </w:rPr>
        <w:t>like restaurants, cafe</w:t>
      </w:r>
      <w:r w:rsidR="00460795">
        <w:rPr>
          <w:color w:val="FF0000"/>
        </w:rPr>
        <w:t>s</w:t>
      </w:r>
      <w:r w:rsidR="00460795" w:rsidRPr="00460795">
        <w:rPr>
          <w:color w:val="FF0000"/>
        </w:rPr>
        <w:t xml:space="preserve"> or </w:t>
      </w:r>
      <w:r w:rsidR="00460795">
        <w:rPr>
          <w:color w:val="FF0000"/>
        </w:rPr>
        <w:t>bars</w:t>
      </w:r>
      <w:r w:rsidRPr="008F06B8">
        <w:t xml:space="preserve">; (Table 3). </w:t>
      </w:r>
    </w:p>
    <w:p w14:paraId="21EF6AE3" w14:textId="2BB2FBAA" w:rsidR="00FC4DF2" w:rsidRDefault="00FC4DF2">
      <w:pPr>
        <w:spacing w:line="240" w:lineRule="auto"/>
        <w:jc w:val="left"/>
        <w:rPr>
          <w:rFonts w:eastAsia="Times New Roman"/>
          <w:snapToGrid w:val="0"/>
          <w:szCs w:val="22"/>
          <w:lang w:eastAsia="de-DE" w:bidi="en-US"/>
        </w:rPr>
      </w:pPr>
      <w:r>
        <w:br w:type="page"/>
      </w:r>
    </w:p>
    <w:p w14:paraId="0C6D77E3" w14:textId="505C0C37" w:rsidR="00FC4DF2" w:rsidRDefault="00FC4DF2" w:rsidP="00FC4DF2">
      <w:pPr>
        <w:pStyle w:val="MDPI41tablecaption"/>
      </w:pPr>
      <w:r w:rsidRPr="00FC4DF2">
        <w:rPr>
          <w:b/>
        </w:rPr>
        <w:lastRenderedPageBreak/>
        <w:t xml:space="preserve">Table 3. </w:t>
      </w:r>
      <w:r w:rsidRPr="00FC4DF2">
        <w:t>Student’s exposure to secondhand smoke</w:t>
      </w:r>
      <w:r>
        <w:t>.</w:t>
      </w:r>
    </w:p>
    <w:tbl>
      <w:tblPr>
        <w:tblW w:w="7857" w:type="dxa"/>
        <w:tblInd w:w="2608" w:type="dxa"/>
        <w:tblBorders>
          <w:top w:val="single" w:sz="8" w:space="0" w:color="auto"/>
          <w:bottom w:val="single" w:sz="8" w:space="0" w:color="auto"/>
          <w:insideH w:val="single" w:sz="4" w:space="0" w:color="000000"/>
        </w:tblBorders>
        <w:tblLayout w:type="fixed"/>
        <w:tblCellMar>
          <w:left w:w="0" w:type="dxa"/>
          <w:right w:w="0" w:type="dxa"/>
        </w:tblCellMar>
        <w:tblLook w:val="0400" w:firstRow="0" w:lastRow="0" w:firstColumn="0" w:lastColumn="0" w:noHBand="0" w:noVBand="1"/>
      </w:tblPr>
      <w:tblGrid>
        <w:gridCol w:w="5330"/>
        <w:gridCol w:w="1209"/>
        <w:gridCol w:w="1318"/>
      </w:tblGrid>
      <w:tr w:rsidR="00FC4DF2" w:rsidRPr="00FC4DF2" w14:paraId="1777AE8E" w14:textId="77777777" w:rsidTr="00FC4DF2">
        <w:tc>
          <w:tcPr>
            <w:tcW w:w="5330" w:type="dxa"/>
            <w:tcBorders>
              <w:top w:val="single" w:sz="8" w:space="0" w:color="auto"/>
              <w:bottom w:val="single" w:sz="4" w:space="0" w:color="000000"/>
            </w:tcBorders>
            <w:shd w:val="clear" w:color="auto" w:fill="DBE5F1"/>
            <w:tcMar>
              <w:top w:w="80" w:type="dxa"/>
              <w:left w:w="80" w:type="dxa"/>
              <w:bottom w:w="80" w:type="dxa"/>
              <w:right w:w="80" w:type="dxa"/>
            </w:tcMar>
            <w:vAlign w:val="center"/>
          </w:tcPr>
          <w:p w14:paraId="290CFBF8" w14:textId="21B1EB2E"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FC4DF2">
              <w:rPr>
                <w:rFonts w:eastAsia="Times New Roman"/>
                <w:b/>
                <w:lang w:eastAsia="en-US"/>
              </w:rPr>
              <w:t xml:space="preserve">Exposure to </w:t>
            </w:r>
            <w:proofErr w:type="spellStart"/>
            <w:r w:rsidR="00127DA8">
              <w:rPr>
                <w:rFonts w:eastAsia="Times New Roman"/>
                <w:b/>
                <w:lang w:eastAsia="en-US"/>
              </w:rPr>
              <w:t>secondhand</w:t>
            </w:r>
            <w:proofErr w:type="spellEnd"/>
            <w:r w:rsidRPr="00FC4DF2">
              <w:rPr>
                <w:rFonts w:eastAsia="Times New Roman"/>
                <w:b/>
                <w:lang w:eastAsia="en-US"/>
              </w:rPr>
              <w:t xml:space="preserve"> smoke</w:t>
            </w:r>
          </w:p>
        </w:tc>
        <w:tc>
          <w:tcPr>
            <w:tcW w:w="1209" w:type="dxa"/>
            <w:tcBorders>
              <w:top w:val="single" w:sz="8" w:space="0" w:color="auto"/>
              <w:bottom w:val="single" w:sz="4" w:space="0" w:color="000000"/>
            </w:tcBorders>
            <w:shd w:val="clear" w:color="auto" w:fill="DBE5F1"/>
            <w:tcMar>
              <w:top w:w="80" w:type="dxa"/>
              <w:left w:w="80" w:type="dxa"/>
              <w:bottom w:w="80" w:type="dxa"/>
              <w:right w:w="80" w:type="dxa"/>
            </w:tcMar>
            <w:vAlign w:val="center"/>
          </w:tcPr>
          <w:p w14:paraId="722B3255"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FC4DF2">
              <w:rPr>
                <w:rFonts w:eastAsia="Times New Roman"/>
                <w:b/>
                <w:lang w:eastAsia="en-US"/>
              </w:rPr>
              <w:t>No %</w:t>
            </w:r>
          </w:p>
        </w:tc>
        <w:tc>
          <w:tcPr>
            <w:tcW w:w="1318" w:type="dxa"/>
            <w:tcBorders>
              <w:top w:val="single" w:sz="8" w:space="0" w:color="auto"/>
              <w:bottom w:val="single" w:sz="4" w:space="0" w:color="000000"/>
            </w:tcBorders>
            <w:shd w:val="clear" w:color="auto" w:fill="DBE5F1"/>
            <w:tcMar>
              <w:top w:w="80" w:type="dxa"/>
              <w:left w:w="80" w:type="dxa"/>
              <w:bottom w:w="80" w:type="dxa"/>
              <w:right w:w="80" w:type="dxa"/>
            </w:tcMar>
            <w:vAlign w:val="center"/>
          </w:tcPr>
          <w:p w14:paraId="7E36CD87"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b/>
                <w:szCs w:val="24"/>
                <w:lang w:eastAsia="en-US"/>
              </w:rPr>
            </w:pPr>
            <w:r w:rsidRPr="00FC4DF2">
              <w:rPr>
                <w:rFonts w:eastAsia="Times New Roman"/>
                <w:b/>
                <w:lang w:eastAsia="en-US"/>
              </w:rPr>
              <w:t>Yes %</w:t>
            </w:r>
          </w:p>
        </w:tc>
      </w:tr>
      <w:tr w:rsidR="00FC4DF2" w:rsidRPr="00FC4DF2" w14:paraId="0D802F4B" w14:textId="77777777" w:rsidTr="00FC4DF2">
        <w:tc>
          <w:tcPr>
            <w:tcW w:w="5330" w:type="dxa"/>
            <w:tcBorders>
              <w:top w:val="single" w:sz="4" w:space="0" w:color="000000"/>
            </w:tcBorders>
            <w:shd w:val="clear" w:color="auto" w:fill="auto"/>
            <w:tcMar>
              <w:top w:w="80" w:type="dxa"/>
              <w:left w:w="332" w:type="dxa"/>
              <w:bottom w:w="80" w:type="dxa"/>
              <w:right w:w="80" w:type="dxa"/>
            </w:tcMar>
            <w:vAlign w:val="center"/>
          </w:tcPr>
          <w:p w14:paraId="65703076" w14:textId="4E843851"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 xml:space="preserve">Exposed to </w:t>
            </w:r>
            <w:proofErr w:type="spellStart"/>
            <w:r w:rsidR="00127DA8">
              <w:rPr>
                <w:rFonts w:eastAsia="Times New Roman"/>
                <w:lang w:eastAsia="en-US"/>
              </w:rPr>
              <w:t>secondhand</w:t>
            </w:r>
            <w:proofErr w:type="spellEnd"/>
            <w:r w:rsidRPr="00FC4DF2">
              <w:rPr>
                <w:rFonts w:eastAsia="Times New Roman"/>
                <w:lang w:eastAsia="en-US"/>
              </w:rPr>
              <w:t xml:space="preserve"> smoke (total)</w:t>
            </w:r>
          </w:p>
        </w:tc>
        <w:tc>
          <w:tcPr>
            <w:tcW w:w="1209" w:type="dxa"/>
            <w:tcBorders>
              <w:top w:val="single" w:sz="4" w:space="0" w:color="000000"/>
            </w:tcBorders>
            <w:shd w:val="clear" w:color="auto" w:fill="auto"/>
            <w:tcMar>
              <w:top w:w="80" w:type="dxa"/>
              <w:left w:w="80" w:type="dxa"/>
              <w:bottom w:w="80" w:type="dxa"/>
              <w:right w:w="80" w:type="dxa"/>
            </w:tcMar>
            <w:vAlign w:val="center"/>
          </w:tcPr>
          <w:p w14:paraId="1C000585"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21.3</w:t>
            </w:r>
          </w:p>
        </w:tc>
        <w:tc>
          <w:tcPr>
            <w:tcW w:w="1318" w:type="dxa"/>
            <w:tcBorders>
              <w:top w:val="single" w:sz="4" w:space="0" w:color="000000"/>
            </w:tcBorders>
            <w:shd w:val="clear" w:color="auto" w:fill="auto"/>
            <w:tcMar>
              <w:top w:w="80" w:type="dxa"/>
              <w:left w:w="80" w:type="dxa"/>
              <w:bottom w:w="80" w:type="dxa"/>
              <w:right w:w="80" w:type="dxa"/>
            </w:tcMar>
            <w:vAlign w:val="center"/>
          </w:tcPr>
          <w:p w14:paraId="47E09350"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78.7</w:t>
            </w:r>
          </w:p>
        </w:tc>
      </w:tr>
      <w:tr w:rsidR="00FC4DF2" w:rsidRPr="00FC4DF2" w14:paraId="0ACABC56" w14:textId="77777777" w:rsidTr="00FC4DF2">
        <w:tc>
          <w:tcPr>
            <w:tcW w:w="5330" w:type="dxa"/>
            <w:shd w:val="clear" w:color="auto" w:fill="auto"/>
            <w:tcMar>
              <w:top w:w="80" w:type="dxa"/>
              <w:left w:w="332" w:type="dxa"/>
              <w:bottom w:w="80" w:type="dxa"/>
              <w:right w:w="80" w:type="dxa"/>
            </w:tcMar>
            <w:vAlign w:val="center"/>
          </w:tcPr>
          <w:p w14:paraId="09A311D0"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Exposed at home</w:t>
            </w:r>
          </w:p>
        </w:tc>
        <w:tc>
          <w:tcPr>
            <w:tcW w:w="1209" w:type="dxa"/>
            <w:shd w:val="clear" w:color="auto" w:fill="auto"/>
            <w:tcMar>
              <w:top w:w="80" w:type="dxa"/>
              <w:left w:w="80" w:type="dxa"/>
              <w:bottom w:w="80" w:type="dxa"/>
              <w:right w:w="80" w:type="dxa"/>
            </w:tcMar>
            <w:vAlign w:val="center"/>
          </w:tcPr>
          <w:p w14:paraId="4FEF0991"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52.2</w:t>
            </w:r>
          </w:p>
        </w:tc>
        <w:tc>
          <w:tcPr>
            <w:tcW w:w="1318" w:type="dxa"/>
            <w:shd w:val="clear" w:color="auto" w:fill="auto"/>
            <w:tcMar>
              <w:top w:w="80" w:type="dxa"/>
              <w:left w:w="80" w:type="dxa"/>
              <w:bottom w:w="80" w:type="dxa"/>
              <w:right w:w="80" w:type="dxa"/>
            </w:tcMar>
            <w:vAlign w:val="center"/>
          </w:tcPr>
          <w:p w14:paraId="204ED193"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47.8</w:t>
            </w:r>
          </w:p>
        </w:tc>
      </w:tr>
      <w:tr w:rsidR="00FC4DF2" w:rsidRPr="00FC4DF2" w14:paraId="0F789021" w14:textId="77777777" w:rsidTr="00FC4DF2">
        <w:tc>
          <w:tcPr>
            <w:tcW w:w="5330" w:type="dxa"/>
            <w:shd w:val="clear" w:color="auto" w:fill="auto"/>
            <w:tcMar>
              <w:top w:w="80" w:type="dxa"/>
              <w:left w:w="332" w:type="dxa"/>
              <w:bottom w:w="80" w:type="dxa"/>
              <w:right w:w="80" w:type="dxa"/>
            </w:tcMar>
            <w:vAlign w:val="center"/>
          </w:tcPr>
          <w:p w14:paraId="1EA7F11B"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Exposed at university</w:t>
            </w:r>
          </w:p>
        </w:tc>
        <w:tc>
          <w:tcPr>
            <w:tcW w:w="1209" w:type="dxa"/>
            <w:shd w:val="clear" w:color="auto" w:fill="auto"/>
            <w:tcMar>
              <w:top w:w="80" w:type="dxa"/>
              <w:left w:w="80" w:type="dxa"/>
              <w:bottom w:w="80" w:type="dxa"/>
              <w:right w:w="80" w:type="dxa"/>
            </w:tcMar>
            <w:vAlign w:val="center"/>
          </w:tcPr>
          <w:p w14:paraId="2BD965B0"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44.0</w:t>
            </w:r>
          </w:p>
        </w:tc>
        <w:tc>
          <w:tcPr>
            <w:tcW w:w="1318" w:type="dxa"/>
            <w:shd w:val="clear" w:color="auto" w:fill="auto"/>
            <w:tcMar>
              <w:top w:w="80" w:type="dxa"/>
              <w:left w:w="80" w:type="dxa"/>
              <w:bottom w:w="80" w:type="dxa"/>
              <w:right w:w="80" w:type="dxa"/>
            </w:tcMar>
            <w:vAlign w:val="center"/>
          </w:tcPr>
          <w:p w14:paraId="4E1ED259"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56.0</w:t>
            </w:r>
          </w:p>
        </w:tc>
      </w:tr>
      <w:tr w:rsidR="00FC4DF2" w:rsidRPr="00FC4DF2" w14:paraId="4C6E3FBC" w14:textId="77777777" w:rsidTr="00FC4DF2">
        <w:tc>
          <w:tcPr>
            <w:tcW w:w="5330" w:type="dxa"/>
            <w:shd w:val="clear" w:color="auto" w:fill="auto"/>
            <w:tcMar>
              <w:top w:w="80" w:type="dxa"/>
              <w:left w:w="332" w:type="dxa"/>
              <w:bottom w:w="80" w:type="dxa"/>
              <w:right w:w="80" w:type="dxa"/>
            </w:tcMar>
            <w:vAlign w:val="center"/>
          </w:tcPr>
          <w:p w14:paraId="1F3DF5C4"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Exposed at closed public places</w:t>
            </w:r>
          </w:p>
        </w:tc>
        <w:tc>
          <w:tcPr>
            <w:tcW w:w="1209" w:type="dxa"/>
            <w:shd w:val="clear" w:color="auto" w:fill="auto"/>
            <w:tcMar>
              <w:top w:w="80" w:type="dxa"/>
              <w:left w:w="80" w:type="dxa"/>
              <w:bottom w:w="80" w:type="dxa"/>
              <w:right w:w="80" w:type="dxa"/>
            </w:tcMar>
            <w:vAlign w:val="center"/>
          </w:tcPr>
          <w:p w14:paraId="270A2763"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5.5</w:t>
            </w:r>
          </w:p>
        </w:tc>
        <w:tc>
          <w:tcPr>
            <w:tcW w:w="1318" w:type="dxa"/>
            <w:shd w:val="clear" w:color="auto" w:fill="auto"/>
            <w:tcMar>
              <w:top w:w="80" w:type="dxa"/>
              <w:left w:w="80" w:type="dxa"/>
              <w:bottom w:w="80" w:type="dxa"/>
              <w:right w:w="80" w:type="dxa"/>
            </w:tcMar>
            <w:vAlign w:val="center"/>
          </w:tcPr>
          <w:p w14:paraId="4B95C9DF" w14:textId="77777777" w:rsidR="00FC4DF2" w:rsidRPr="00FC4DF2" w:rsidRDefault="00FC4DF2" w:rsidP="00FC4DF2">
            <w:pPr>
              <w:pBdr>
                <w:top w:val="nil"/>
                <w:left w:val="nil"/>
                <w:bottom w:val="nil"/>
                <w:right w:val="nil"/>
                <w:between w:val="nil"/>
              </w:pBdr>
              <w:autoSpaceDE w:val="0"/>
              <w:autoSpaceDN w:val="0"/>
              <w:adjustRightInd w:val="0"/>
              <w:snapToGrid w:val="0"/>
              <w:spacing w:line="240" w:lineRule="auto"/>
              <w:jc w:val="center"/>
              <w:rPr>
                <w:rFonts w:eastAsia="Times New Roman"/>
                <w:szCs w:val="24"/>
                <w:lang w:eastAsia="en-US"/>
              </w:rPr>
            </w:pPr>
            <w:r w:rsidRPr="00FC4DF2">
              <w:rPr>
                <w:rFonts w:eastAsia="Times New Roman"/>
                <w:lang w:eastAsia="en-US"/>
              </w:rPr>
              <w:t>94.5</w:t>
            </w:r>
          </w:p>
        </w:tc>
      </w:tr>
    </w:tbl>
    <w:p w14:paraId="33EC8FD8" w14:textId="3BE47993" w:rsidR="00FC4DF2" w:rsidRDefault="00FC4DF2" w:rsidP="008F06B8">
      <w:pPr>
        <w:pStyle w:val="MDPI31text"/>
      </w:pPr>
      <w:r w:rsidRPr="00FC4DF2">
        <w:t>Analyses of questions related to students’ attitudes towards smoking and its relation to health revealed that most students acknowledged the harmfulness of cigarette smoking for health. As many as 77.4% of smokers and 93.3% of non-smokers believed that cigarette smoking is harmful to their health. Similar findings related to students' concerns about the harmful effects of exposure to secondhand smoke were noticed. In fact, 66.1% of smokers and 85.6% of non-smokers were well aware that secondhand smoke is harmful to their health. The decision to use tobacco within the next twelve months generated an appreciable negative response, with at least half of participants claiming that they would not use tobacco compared to those who were unsure of their decision (50.1%). When asked about the probability of using any tobacco products in the following year, 74.4 of non-smokers and 49.9% of smokers believe they will remain free of cigarettes (Table 4).</w:t>
      </w:r>
    </w:p>
    <w:p w14:paraId="2BEAA65E" w14:textId="20BD26D3" w:rsidR="00FC4DF2" w:rsidRDefault="00FC4DF2" w:rsidP="00FC4DF2">
      <w:pPr>
        <w:pStyle w:val="MDPI41tablecaption"/>
      </w:pPr>
      <w:r w:rsidRPr="00FC4DF2">
        <w:rPr>
          <w:b/>
        </w:rPr>
        <w:t xml:space="preserve">Table 4. </w:t>
      </w:r>
      <w:r w:rsidRPr="00FC4DF2">
        <w:t>Student’s attitudes concerning tobacco use and exposure to the secondhand smoking</w:t>
      </w:r>
      <w:r>
        <w:t>.</w:t>
      </w:r>
    </w:p>
    <w:tbl>
      <w:tblPr>
        <w:tblW w:w="7857" w:type="dxa"/>
        <w:tblInd w:w="26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400" w:firstRow="0" w:lastRow="0" w:firstColumn="0" w:lastColumn="0" w:noHBand="0" w:noVBand="1"/>
      </w:tblPr>
      <w:tblGrid>
        <w:gridCol w:w="1693"/>
        <w:gridCol w:w="1294"/>
        <w:gridCol w:w="1067"/>
        <w:gridCol w:w="849"/>
        <w:gridCol w:w="139"/>
        <w:gridCol w:w="620"/>
        <w:gridCol w:w="190"/>
        <w:gridCol w:w="825"/>
        <w:gridCol w:w="463"/>
        <w:gridCol w:w="717"/>
      </w:tblGrid>
      <w:tr w:rsidR="00FC4DF2" w:rsidRPr="00AF6894" w14:paraId="61115707" w14:textId="77777777" w:rsidTr="00AF6894">
        <w:tc>
          <w:tcPr>
            <w:tcW w:w="1693" w:type="dxa"/>
            <w:vMerge w:val="restart"/>
            <w:tcBorders>
              <w:top w:val="single" w:sz="8" w:space="0" w:color="auto"/>
              <w:left w:val="nil"/>
              <w:bottom w:val="single" w:sz="4" w:space="0" w:color="7F7F7F"/>
              <w:right w:val="nil"/>
            </w:tcBorders>
            <w:shd w:val="clear" w:color="auto" w:fill="DBE5F1"/>
            <w:tcMar>
              <w:top w:w="80" w:type="dxa"/>
              <w:left w:w="80" w:type="dxa"/>
              <w:bottom w:w="80" w:type="dxa"/>
              <w:right w:w="80" w:type="dxa"/>
            </w:tcMar>
            <w:vAlign w:val="center"/>
          </w:tcPr>
          <w:p w14:paraId="0A74D212"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sz w:val="18"/>
                <w:lang w:eastAsia="en-US"/>
              </w:rPr>
              <w:t>Questions</w:t>
            </w:r>
          </w:p>
        </w:tc>
        <w:tc>
          <w:tcPr>
            <w:tcW w:w="1294" w:type="dxa"/>
            <w:vMerge w:val="restart"/>
            <w:tcBorders>
              <w:top w:val="single" w:sz="8" w:space="0" w:color="auto"/>
              <w:left w:val="nil"/>
              <w:bottom w:val="single" w:sz="4" w:space="0" w:color="7F7F7F"/>
              <w:right w:val="nil"/>
            </w:tcBorders>
            <w:shd w:val="clear" w:color="auto" w:fill="DBE5F1"/>
            <w:tcMar>
              <w:top w:w="80" w:type="dxa"/>
              <w:left w:w="80" w:type="dxa"/>
              <w:bottom w:w="80" w:type="dxa"/>
              <w:right w:w="80" w:type="dxa"/>
            </w:tcMar>
            <w:vAlign w:val="center"/>
          </w:tcPr>
          <w:p w14:paraId="3EABAA9F"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sz w:val="18"/>
                <w:lang w:eastAsia="en-US"/>
              </w:rPr>
              <w:t xml:space="preserve">Probability </w:t>
            </w:r>
          </w:p>
        </w:tc>
        <w:tc>
          <w:tcPr>
            <w:tcW w:w="1067" w:type="dxa"/>
            <w:tcBorders>
              <w:top w:val="single" w:sz="8" w:space="0" w:color="auto"/>
              <w:left w:val="nil"/>
              <w:bottom w:val="single" w:sz="4" w:space="0" w:color="7F7F7F"/>
              <w:right w:val="nil"/>
            </w:tcBorders>
            <w:shd w:val="clear" w:color="auto" w:fill="DBE5F1"/>
            <w:tcMar>
              <w:top w:w="80" w:type="dxa"/>
              <w:left w:w="80" w:type="dxa"/>
              <w:bottom w:w="80" w:type="dxa"/>
              <w:right w:w="80" w:type="dxa"/>
            </w:tcMar>
            <w:vAlign w:val="center"/>
          </w:tcPr>
          <w:p w14:paraId="5ABD646F"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sz w:val="18"/>
                <w:lang w:eastAsia="en-US"/>
              </w:rPr>
              <w:t>Non-smokers</w:t>
            </w:r>
          </w:p>
        </w:tc>
        <w:tc>
          <w:tcPr>
            <w:tcW w:w="988" w:type="dxa"/>
            <w:gridSpan w:val="2"/>
            <w:tcBorders>
              <w:top w:val="single" w:sz="8" w:space="0" w:color="auto"/>
              <w:left w:val="nil"/>
              <w:bottom w:val="single" w:sz="4" w:space="0" w:color="7F7F7F"/>
              <w:right w:val="nil"/>
            </w:tcBorders>
            <w:shd w:val="clear" w:color="auto" w:fill="DBE5F1"/>
            <w:tcMar>
              <w:top w:w="80" w:type="dxa"/>
              <w:left w:w="80" w:type="dxa"/>
              <w:bottom w:w="80" w:type="dxa"/>
              <w:right w:w="80" w:type="dxa"/>
            </w:tcMar>
            <w:vAlign w:val="center"/>
          </w:tcPr>
          <w:p w14:paraId="2EC2EBE3"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sz w:val="18"/>
                <w:lang w:eastAsia="en-US"/>
              </w:rPr>
              <w:t>Smokers</w:t>
            </w:r>
          </w:p>
        </w:tc>
        <w:tc>
          <w:tcPr>
            <w:tcW w:w="810" w:type="dxa"/>
            <w:gridSpan w:val="2"/>
            <w:tcBorders>
              <w:top w:val="single" w:sz="8" w:space="0" w:color="auto"/>
              <w:left w:val="nil"/>
              <w:bottom w:val="single" w:sz="4" w:space="0" w:color="7F7F7F"/>
              <w:right w:val="nil"/>
            </w:tcBorders>
            <w:shd w:val="clear" w:color="auto" w:fill="DBE5F1"/>
            <w:tcMar>
              <w:top w:w="80" w:type="dxa"/>
              <w:left w:w="80" w:type="dxa"/>
              <w:bottom w:w="80" w:type="dxa"/>
              <w:right w:w="80" w:type="dxa"/>
            </w:tcMar>
            <w:vAlign w:val="center"/>
          </w:tcPr>
          <w:p w14:paraId="06E03D15"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sz w:val="18"/>
                <w:lang w:eastAsia="en-US"/>
              </w:rPr>
              <w:t>Total</w:t>
            </w:r>
          </w:p>
        </w:tc>
        <w:tc>
          <w:tcPr>
            <w:tcW w:w="825" w:type="dxa"/>
            <w:vMerge w:val="restart"/>
            <w:tcBorders>
              <w:top w:val="single" w:sz="8" w:space="0" w:color="auto"/>
              <w:left w:val="nil"/>
              <w:bottom w:val="single" w:sz="4" w:space="0" w:color="7F7F7F"/>
              <w:right w:val="nil"/>
            </w:tcBorders>
            <w:shd w:val="clear" w:color="auto" w:fill="DBE5F1"/>
            <w:tcMar>
              <w:top w:w="80" w:type="dxa"/>
              <w:left w:w="80" w:type="dxa"/>
              <w:bottom w:w="80" w:type="dxa"/>
              <w:right w:w="80" w:type="dxa"/>
            </w:tcMar>
            <w:vAlign w:val="center"/>
          </w:tcPr>
          <w:p w14:paraId="41860772" w14:textId="7D4EA55F"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sz w:val="18"/>
                <w:lang w:eastAsia="en-US"/>
              </w:rPr>
              <w:t>χ2</w:t>
            </w:r>
          </w:p>
        </w:tc>
        <w:tc>
          <w:tcPr>
            <w:tcW w:w="463" w:type="dxa"/>
            <w:vMerge w:val="restart"/>
            <w:tcBorders>
              <w:top w:val="single" w:sz="8" w:space="0" w:color="auto"/>
              <w:left w:val="nil"/>
              <w:bottom w:val="single" w:sz="4" w:space="0" w:color="7F7F7F"/>
              <w:right w:val="nil"/>
            </w:tcBorders>
            <w:shd w:val="clear" w:color="auto" w:fill="DBE5F1"/>
            <w:tcMar>
              <w:top w:w="80" w:type="dxa"/>
              <w:left w:w="80" w:type="dxa"/>
              <w:bottom w:w="80" w:type="dxa"/>
              <w:right w:w="80" w:type="dxa"/>
            </w:tcMar>
            <w:vAlign w:val="center"/>
          </w:tcPr>
          <w:p w14:paraId="4DD86D84"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lang w:eastAsia="en-US"/>
              </w:rPr>
            </w:pPr>
          </w:p>
          <w:p w14:paraId="02EE3746"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proofErr w:type="spellStart"/>
            <w:r w:rsidRPr="00AF6894">
              <w:rPr>
                <w:rFonts w:eastAsia="Times New Roman"/>
                <w:b/>
                <w:sz w:val="18"/>
                <w:lang w:eastAsia="en-US"/>
              </w:rPr>
              <w:t>df</w:t>
            </w:r>
            <w:proofErr w:type="spellEnd"/>
          </w:p>
        </w:tc>
        <w:tc>
          <w:tcPr>
            <w:tcW w:w="717" w:type="dxa"/>
            <w:vMerge w:val="restart"/>
            <w:tcBorders>
              <w:top w:val="single" w:sz="8" w:space="0" w:color="auto"/>
              <w:left w:val="nil"/>
              <w:bottom w:val="single" w:sz="4" w:space="0" w:color="7F7F7F"/>
              <w:right w:val="nil"/>
            </w:tcBorders>
            <w:shd w:val="clear" w:color="auto" w:fill="DBE5F1"/>
            <w:tcMar>
              <w:top w:w="80" w:type="dxa"/>
              <w:left w:w="80" w:type="dxa"/>
              <w:bottom w:w="80" w:type="dxa"/>
              <w:right w:w="80" w:type="dxa"/>
            </w:tcMar>
            <w:vAlign w:val="center"/>
          </w:tcPr>
          <w:p w14:paraId="07CB3580"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lang w:eastAsia="en-US"/>
              </w:rPr>
            </w:pPr>
          </w:p>
          <w:p w14:paraId="19D02468"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i/>
                <w:sz w:val="18"/>
                <w:lang w:eastAsia="en-US"/>
              </w:rPr>
              <w:t>P-value</w:t>
            </w:r>
          </w:p>
        </w:tc>
      </w:tr>
      <w:tr w:rsidR="00FC4DF2" w:rsidRPr="00AF6894" w14:paraId="001A296D" w14:textId="77777777" w:rsidTr="00AF6894">
        <w:tc>
          <w:tcPr>
            <w:tcW w:w="1693" w:type="dxa"/>
            <w:vMerge/>
            <w:tcBorders>
              <w:top w:val="single" w:sz="4" w:space="0" w:color="7F7F7F"/>
              <w:left w:val="nil"/>
              <w:bottom w:val="single" w:sz="4" w:space="0" w:color="7F7F7F"/>
              <w:right w:val="nil"/>
            </w:tcBorders>
            <w:shd w:val="clear" w:color="auto" w:fill="DBE5F1"/>
            <w:tcMar>
              <w:top w:w="80" w:type="dxa"/>
              <w:left w:w="80" w:type="dxa"/>
              <w:bottom w:w="80" w:type="dxa"/>
              <w:right w:w="80" w:type="dxa"/>
            </w:tcMar>
            <w:vAlign w:val="center"/>
          </w:tcPr>
          <w:p w14:paraId="71448D68"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p>
        </w:tc>
        <w:tc>
          <w:tcPr>
            <w:tcW w:w="1294" w:type="dxa"/>
            <w:vMerge/>
            <w:tcBorders>
              <w:top w:val="single" w:sz="4" w:space="0" w:color="7F7F7F"/>
              <w:left w:val="nil"/>
              <w:bottom w:val="single" w:sz="4" w:space="0" w:color="7F7F7F"/>
              <w:right w:val="nil"/>
            </w:tcBorders>
            <w:shd w:val="clear" w:color="auto" w:fill="DBE5F1"/>
            <w:tcMar>
              <w:top w:w="80" w:type="dxa"/>
              <w:left w:w="80" w:type="dxa"/>
              <w:bottom w:w="80" w:type="dxa"/>
              <w:right w:w="80" w:type="dxa"/>
            </w:tcMar>
            <w:vAlign w:val="center"/>
          </w:tcPr>
          <w:p w14:paraId="6DF1B97A"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p>
        </w:tc>
        <w:tc>
          <w:tcPr>
            <w:tcW w:w="1067" w:type="dxa"/>
            <w:tcBorders>
              <w:top w:val="single" w:sz="4" w:space="0" w:color="7F7F7F"/>
              <w:left w:val="nil"/>
              <w:bottom w:val="single" w:sz="4" w:space="0" w:color="7F7F7F"/>
              <w:right w:val="nil"/>
            </w:tcBorders>
            <w:shd w:val="clear" w:color="auto" w:fill="DBE5F1"/>
            <w:tcMar>
              <w:top w:w="80" w:type="dxa"/>
              <w:left w:w="80" w:type="dxa"/>
              <w:bottom w:w="80" w:type="dxa"/>
              <w:right w:w="80" w:type="dxa"/>
            </w:tcMar>
            <w:vAlign w:val="center"/>
          </w:tcPr>
          <w:p w14:paraId="6D657055"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sz w:val="18"/>
                <w:lang w:eastAsia="en-US"/>
              </w:rPr>
              <w:t>%</w:t>
            </w:r>
          </w:p>
        </w:tc>
        <w:tc>
          <w:tcPr>
            <w:tcW w:w="988" w:type="dxa"/>
            <w:gridSpan w:val="2"/>
            <w:tcBorders>
              <w:top w:val="single" w:sz="4" w:space="0" w:color="7F7F7F"/>
              <w:left w:val="nil"/>
              <w:bottom w:val="single" w:sz="4" w:space="0" w:color="7F7F7F"/>
              <w:right w:val="nil"/>
            </w:tcBorders>
            <w:shd w:val="clear" w:color="auto" w:fill="DBE5F1"/>
            <w:tcMar>
              <w:top w:w="80" w:type="dxa"/>
              <w:left w:w="80" w:type="dxa"/>
              <w:bottom w:w="80" w:type="dxa"/>
              <w:right w:w="80" w:type="dxa"/>
            </w:tcMar>
            <w:vAlign w:val="center"/>
          </w:tcPr>
          <w:p w14:paraId="67936630"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sz w:val="18"/>
                <w:lang w:eastAsia="en-US"/>
              </w:rPr>
              <w:t>%</w:t>
            </w:r>
          </w:p>
        </w:tc>
        <w:tc>
          <w:tcPr>
            <w:tcW w:w="810" w:type="dxa"/>
            <w:gridSpan w:val="2"/>
            <w:tcBorders>
              <w:top w:val="single" w:sz="4" w:space="0" w:color="7F7F7F"/>
              <w:left w:val="nil"/>
              <w:bottom w:val="single" w:sz="4" w:space="0" w:color="7F7F7F"/>
              <w:right w:val="nil"/>
            </w:tcBorders>
            <w:shd w:val="clear" w:color="auto" w:fill="DBE5F1"/>
            <w:tcMar>
              <w:top w:w="80" w:type="dxa"/>
              <w:left w:w="80" w:type="dxa"/>
              <w:bottom w:w="80" w:type="dxa"/>
              <w:right w:w="80" w:type="dxa"/>
            </w:tcMar>
            <w:vAlign w:val="center"/>
          </w:tcPr>
          <w:p w14:paraId="1CC41C47"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AF6894">
              <w:rPr>
                <w:rFonts w:eastAsia="Times New Roman"/>
                <w:b/>
                <w:sz w:val="18"/>
                <w:lang w:eastAsia="en-US"/>
              </w:rPr>
              <w:t>%</w:t>
            </w:r>
          </w:p>
        </w:tc>
        <w:tc>
          <w:tcPr>
            <w:tcW w:w="825" w:type="dxa"/>
            <w:vMerge/>
            <w:tcBorders>
              <w:top w:val="single" w:sz="4" w:space="0" w:color="7F7F7F"/>
              <w:left w:val="nil"/>
              <w:bottom w:val="single" w:sz="4" w:space="0" w:color="7F7F7F"/>
              <w:right w:val="nil"/>
            </w:tcBorders>
            <w:shd w:val="clear" w:color="auto" w:fill="DBE5F1"/>
            <w:tcMar>
              <w:top w:w="80" w:type="dxa"/>
              <w:left w:w="80" w:type="dxa"/>
              <w:bottom w:w="80" w:type="dxa"/>
              <w:right w:w="80" w:type="dxa"/>
            </w:tcMar>
            <w:vAlign w:val="center"/>
          </w:tcPr>
          <w:p w14:paraId="2A7D854B"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p>
        </w:tc>
        <w:tc>
          <w:tcPr>
            <w:tcW w:w="463" w:type="dxa"/>
            <w:vMerge/>
            <w:tcBorders>
              <w:top w:val="single" w:sz="4" w:space="0" w:color="7F7F7F"/>
              <w:left w:val="nil"/>
              <w:bottom w:val="single" w:sz="4" w:space="0" w:color="7F7F7F"/>
              <w:right w:val="nil"/>
            </w:tcBorders>
            <w:shd w:val="clear" w:color="auto" w:fill="DBE5F1"/>
            <w:tcMar>
              <w:top w:w="80" w:type="dxa"/>
              <w:left w:w="80" w:type="dxa"/>
              <w:bottom w:w="80" w:type="dxa"/>
              <w:right w:w="80" w:type="dxa"/>
            </w:tcMar>
            <w:vAlign w:val="center"/>
          </w:tcPr>
          <w:p w14:paraId="2C6F5C3F"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p>
        </w:tc>
        <w:tc>
          <w:tcPr>
            <w:tcW w:w="717" w:type="dxa"/>
            <w:vMerge/>
            <w:tcBorders>
              <w:top w:val="single" w:sz="4" w:space="0" w:color="7F7F7F"/>
              <w:left w:val="nil"/>
              <w:bottom w:val="single" w:sz="4" w:space="0" w:color="7F7F7F"/>
              <w:right w:val="nil"/>
            </w:tcBorders>
            <w:shd w:val="clear" w:color="auto" w:fill="DBE5F1"/>
            <w:tcMar>
              <w:top w:w="80" w:type="dxa"/>
              <w:left w:w="80" w:type="dxa"/>
              <w:bottom w:w="80" w:type="dxa"/>
              <w:right w:w="80" w:type="dxa"/>
            </w:tcMar>
            <w:vAlign w:val="center"/>
          </w:tcPr>
          <w:p w14:paraId="4732BA19"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p>
        </w:tc>
      </w:tr>
      <w:tr w:rsidR="00FC4DF2" w:rsidRPr="00D83753" w14:paraId="18017452" w14:textId="77777777" w:rsidTr="00AF6894">
        <w:tc>
          <w:tcPr>
            <w:tcW w:w="169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06B3F3F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Do you think tobacco smoking is harmful to your health?</w:t>
            </w:r>
          </w:p>
        </w:tc>
        <w:tc>
          <w:tcPr>
            <w:tcW w:w="1294"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40A4365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Definitely not</w:t>
            </w:r>
          </w:p>
        </w:tc>
        <w:tc>
          <w:tcPr>
            <w:tcW w:w="1067"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76C63C8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0.6</w:t>
            </w:r>
          </w:p>
        </w:tc>
        <w:tc>
          <w:tcPr>
            <w:tcW w:w="849"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2E0D052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1.2</w:t>
            </w:r>
          </w:p>
        </w:tc>
        <w:tc>
          <w:tcPr>
            <w:tcW w:w="759" w:type="dxa"/>
            <w:gridSpan w:val="2"/>
            <w:tcBorders>
              <w:top w:val="single" w:sz="4" w:space="0" w:color="7F7F7F"/>
              <w:left w:val="nil"/>
              <w:bottom w:val="nil"/>
              <w:right w:val="nil"/>
            </w:tcBorders>
            <w:shd w:val="clear" w:color="auto" w:fill="auto"/>
            <w:tcMar>
              <w:top w:w="80" w:type="dxa"/>
              <w:left w:w="80" w:type="dxa"/>
              <w:bottom w:w="80" w:type="dxa"/>
              <w:right w:w="80" w:type="dxa"/>
            </w:tcMar>
            <w:vAlign w:val="center"/>
          </w:tcPr>
          <w:p w14:paraId="448B514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0.8</w:t>
            </w:r>
          </w:p>
        </w:tc>
        <w:tc>
          <w:tcPr>
            <w:tcW w:w="1015" w:type="dxa"/>
            <w:gridSpan w:val="2"/>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FB90B4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65,962</w:t>
            </w:r>
          </w:p>
        </w:tc>
        <w:tc>
          <w:tcPr>
            <w:tcW w:w="46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8F23C0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w:t>
            </w:r>
          </w:p>
        </w:tc>
        <w:tc>
          <w:tcPr>
            <w:tcW w:w="717"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FF6540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.000</w:t>
            </w:r>
          </w:p>
        </w:tc>
      </w:tr>
      <w:tr w:rsidR="00FC4DF2" w:rsidRPr="00D83753" w14:paraId="04916D49"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0AD82BF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nil"/>
              <w:right w:val="nil"/>
            </w:tcBorders>
            <w:shd w:val="clear" w:color="auto" w:fill="auto"/>
            <w:tcMar>
              <w:top w:w="80" w:type="dxa"/>
              <w:left w:w="80" w:type="dxa"/>
              <w:bottom w:w="80" w:type="dxa"/>
              <w:right w:w="80" w:type="dxa"/>
            </w:tcMar>
            <w:vAlign w:val="center"/>
          </w:tcPr>
          <w:p w14:paraId="221C0CE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Probably not</w:t>
            </w:r>
          </w:p>
        </w:tc>
        <w:tc>
          <w:tcPr>
            <w:tcW w:w="1067" w:type="dxa"/>
            <w:tcBorders>
              <w:top w:val="nil"/>
              <w:left w:val="nil"/>
              <w:bottom w:val="nil"/>
              <w:right w:val="nil"/>
            </w:tcBorders>
            <w:shd w:val="clear" w:color="auto" w:fill="auto"/>
            <w:tcMar>
              <w:top w:w="80" w:type="dxa"/>
              <w:left w:w="80" w:type="dxa"/>
              <w:bottom w:w="80" w:type="dxa"/>
              <w:right w:w="80" w:type="dxa"/>
            </w:tcMar>
            <w:vAlign w:val="center"/>
          </w:tcPr>
          <w:p w14:paraId="292705A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0.1</w:t>
            </w:r>
          </w:p>
        </w:tc>
        <w:tc>
          <w:tcPr>
            <w:tcW w:w="849" w:type="dxa"/>
            <w:tcBorders>
              <w:top w:val="nil"/>
              <w:left w:val="nil"/>
              <w:bottom w:val="nil"/>
              <w:right w:val="nil"/>
            </w:tcBorders>
            <w:shd w:val="clear" w:color="auto" w:fill="auto"/>
            <w:tcMar>
              <w:top w:w="80" w:type="dxa"/>
              <w:left w:w="80" w:type="dxa"/>
              <w:bottom w:w="80" w:type="dxa"/>
              <w:right w:w="80" w:type="dxa"/>
            </w:tcMar>
            <w:vAlign w:val="center"/>
          </w:tcPr>
          <w:p w14:paraId="590FCEE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1.7</w:t>
            </w:r>
          </w:p>
        </w:tc>
        <w:tc>
          <w:tcPr>
            <w:tcW w:w="759" w:type="dxa"/>
            <w:gridSpan w:val="2"/>
            <w:tcBorders>
              <w:top w:val="nil"/>
              <w:left w:val="nil"/>
              <w:bottom w:val="nil"/>
              <w:right w:val="nil"/>
            </w:tcBorders>
            <w:shd w:val="clear" w:color="auto" w:fill="auto"/>
            <w:tcMar>
              <w:top w:w="80" w:type="dxa"/>
              <w:left w:w="80" w:type="dxa"/>
              <w:bottom w:w="80" w:type="dxa"/>
              <w:right w:w="80" w:type="dxa"/>
            </w:tcMar>
            <w:vAlign w:val="center"/>
          </w:tcPr>
          <w:p w14:paraId="4E8220F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0.7</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138109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0EE0DDF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3B07BF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4B8FD9EF"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A1A2AD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nil"/>
              <w:right w:val="nil"/>
            </w:tcBorders>
            <w:shd w:val="clear" w:color="auto" w:fill="auto"/>
            <w:tcMar>
              <w:top w:w="80" w:type="dxa"/>
              <w:left w:w="80" w:type="dxa"/>
              <w:bottom w:w="80" w:type="dxa"/>
              <w:right w:w="80" w:type="dxa"/>
            </w:tcMar>
            <w:vAlign w:val="center"/>
          </w:tcPr>
          <w:p w14:paraId="38EB339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Probably yes</w:t>
            </w:r>
          </w:p>
        </w:tc>
        <w:tc>
          <w:tcPr>
            <w:tcW w:w="1067" w:type="dxa"/>
            <w:tcBorders>
              <w:top w:val="nil"/>
              <w:left w:val="nil"/>
              <w:bottom w:val="nil"/>
              <w:right w:val="nil"/>
            </w:tcBorders>
            <w:shd w:val="clear" w:color="auto" w:fill="auto"/>
            <w:tcMar>
              <w:top w:w="80" w:type="dxa"/>
              <w:left w:w="80" w:type="dxa"/>
              <w:bottom w:w="80" w:type="dxa"/>
              <w:right w:w="80" w:type="dxa"/>
            </w:tcMar>
            <w:vAlign w:val="center"/>
          </w:tcPr>
          <w:p w14:paraId="32279A8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6.0</w:t>
            </w:r>
          </w:p>
        </w:tc>
        <w:tc>
          <w:tcPr>
            <w:tcW w:w="849" w:type="dxa"/>
            <w:tcBorders>
              <w:top w:val="nil"/>
              <w:left w:val="nil"/>
              <w:bottom w:val="nil"/>
              <w:right w:val="nil"/>
            </w:tcBorders>
            <w:shd w:val="clear" w:color="auto" w:fill="auto"/>
            <w:tcMar>
              <w:top w:w="80" w:type="dxa"/>
              <w:left w:w="80" w:type="dxa"/>
              <w:bottom w:w="80" w:type="dxa"/>
              <w:right w:w="80" w:type="dxa"/>
            </w:tcMar>
            <w:vAlign w:val="center"/>
          </w:tcPr>
          <w:p w14:paraId="3460D38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19.6</w:t>
            </w:r>
          </w:p>
        </w:tc>
        <w:tc>
          <w:tcPr>
            <w:tcW w:w="759" w:type="dxa"/>
            <w:gridSpan w:val="2"/>
            <w:tcBorders>
              <w:top w:val="nil"/>
              <w:left w:val="nil"/>
              <w:bottom w:val="nil"/>
              <w:right w:val="nil"/>
            </w:tcBorders>
            <w:shd w:val="clear" w:color="auto" w:fill="auto"/>
            <w:tcMar>
              <w:top w:w="80" w:type="dxa"/>
              <w:left w:w="80" w:type="dxa"/>
              <w:bottom w:w="80" w:type="dxa"/>
              <w:right w:w="80" w:type="dxa"/>
            </w:tcMar>
            <w:vAlign w:val="center"/>
          </w:tcPr>
          <w:p w14:paraId="019F1C9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10.6</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01871B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4CF87C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898736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25F9603B"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8A8836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23C627F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Definitely yes</w:t>
            </w:r>
          </w:p>
        </w:tc>
        <w:tc>
          <w:tcPr>
            <w:tcW w:w="1067"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03F7F9E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93,3</w:t>
            </w:r>
          </w:p>
        </w:tc>
        <w:tc>
          <w:tcPr>
            <w:tcW w:w="849"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5B3A340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77.4</w:t>
            </w:r>
          </w:p>
        </w:tc>
        <w:tc>
          <w:tcPr>
            <w:tcW w:w="759" w:type="dxa"/>
            <w:gridSpan w:val="2"/>
            <w:tcBorders>
              <w:top w:val="nil"/>
              <w:left w:val="nil"/>
              <w:bottom w:val="single" w:sz="4" w:space="0" w:color="7F7F7F"/>
              <w:right w:val="nil"/>
            </w:tcBorders>
            <w:shd w:val="clear" w:color="auto" w:fill="auto"/>
            <w:tcMar>
              <w:top w:w="80" w:type="dxa"/>
              <w:left w:w="80" w:type="dxa"/>
              <w:bottom w:w="80" w:type="dxa"/>
              <w:right w:w="80" w:type="dxa"/>
            </w:tcMar>
            <w:vAlign w:val="center"/>
          </w:tcPr>
          <w:p w14:paraId="62EBFEE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87.9</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2A00EB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161279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737E28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6D6B41FF" w14:textId="77777777" w:rsidTr="00AF6894">
        <w:tc>
          <w:tcPr>
            <w:tcW w:w="169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AED8A74" w14:textId="5F7F5B11"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 xml:space="preserve">Do you think exposure to </w:t>
            </w:r>
            <w:proofErr w:type="spellStart"/>
            <w:r w:rsidR="00127DA8">
              <w:rPr>
                <w:rFonts w:eastAsia="Times New Roman"/>
                <w:sz w:val="18"/>
                <w:lang w:eastAsia="en-US"/>
              </w:rPr>
              <w:t>secondhand</w:t>
            </w:r>
            <w:proofErr w:type="spellEnd"/>
            <w:r w:rsidRPr="00FC4DF2">
              <w:rPr>
                <w:rFonts w:eastAsia="Times New Roman"/>
                <w:sz w:val="18"/>
                <w:lang w:eastAsia="en-US"/>
              </w:rPr>
              <w:t xml:space="preserve"> smoke is harmful to your health?</w:t>
            </w:r>
          </w:p>
        </w:tc>
        <w:tc>
          <w:tcPr>
            <w:tcW w:w="1294"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35E567D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Definitely not</w:t>
            </w:r>
          </w:p>
        </w:tc>
        <w:tc>
          <w:tcPr>
            <w:tcW w:w="1067"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3CCEA6D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0.2</w:t>
            </w:r>
          </w:p>
        </w:tc>
        <w:tc>
          <w:tcPr>
            <w:tcW w:w="849"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5EE41F6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1.2</w:t>
            </w:r>
          </w:p>
        </w:tc>
        <w:tc>
          <w:tcPr>
            <w:tcW w:w="759" w:type="dxa"/>
            <w:gridSpan w:val="2"/>
            <w:tcBorders>
              <w:top w:val="single" w:sz="4" w:space="0" w:color="7F7F7F"/>
              <w:left w:val="nil"/>
              <w:bottom w:val="nil"/>
              <w:right w:val="nil"/>
            </w:tcBorders>
            <w:shd w:val="clear" w:color="auto" w:fill="auto"/>
            <w:tcMar>
              <w:top w:w="80" w:type="dxa"/>
              <w:left w:w="80" w:type="dxa"/>
              <w:bottom w:w="80" w:type="dxa"/>
              <w:right w:w="80" w:type="dxa"/>
            </w:tcMar>
            <w:vAlign w:val="center"/>
          </w:tcPr>
          <w:p w14:paraId="7094EE2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0.5</w:t>
            </w:r>
          </w:p>
        </w:tc>
        <w:tc>
          <w:tcPr>
            <w:tcW w:w="1015" w:type="dxa"/>
            <w:gridSpan w:val="2"/>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C81628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72,818</w:t>
            </w:r>
          </w:p>
        </w:tc>
        <w:tc>
          <w:tcPr>
            <w:tcW w:w="46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AADA16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w:t>
            </w:r>
          </w:p>
        </w:tc>
        <w:tc>
          <w:tcPr>
            <w:tcW w:w="717"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2157D0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.000</w:t>
            </w:r>
          </w:p>
        </w:tc>
      </w:tr>
      <w:tr w:rsidR="00FC4DF2" w:rsidRPr="00D83753" w14:paraId="0CFB92FC"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46CFD18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nil"/>
              <w:right w:val="nil"/>
            </w:tcBorders>
            <w:shd w:val="clear" w:color="auto" w:fill="auto"/>
            <w:tcMar>
              <w:top w:w="80" w:type="dxa"/>
              <w:left w:w="80" w:type="dxa"/>
              <w:bottom w:w="80" w:type="dxa"/>
              <w:right w:w="80" w:type="dxa"/>
            </w:tcMar>
            <w:vAlign w:val="center"/>
          </w:tcPr>
          <w:p w14:paraId="2DA594C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Probably not</w:t>
            </w:r>
          </w:p>
        </w:tc>
        <w:tc>
          <w:tcPr>
            <w:tcW w:w="1067" w:type="dxa"/>
            <w:tcBorders>
              <w:top w:val="nil"/>
              <w:left w:val="nil"/>
              <w:bottom w:val="nil"/>
              <w:right w:val="nil"/>
            </w:tcBorders>
            <w:shd w:val="clear" w:color="auto" w:fill="auto"/>
            <w:tcMar>
              <w:top w:w="80" w:type="dxa"/>
              <w:left w:w="80" w:type="dxa"/>
              <w:bottom w:w="80" w:type="dxa"/>
              <w:right w:w="80" w:type="dxa"/>
            </w:tcMar>
            <w:vAlign w:val="center"/>
          </w:tcPr>
          <w:p w14:paraId="4449C91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0.1</w:t>
            </w:r>
          </w:p>
        </w:tc>
        <w:tc>
          <w:tcPr>
            <w:tcW w:w="849" w:type="dxa"/>
            <w:tcBorders>
              <w:top w:val="nil"/>
              <w:left w:val="nil"/>
              <w:bottom w:val="nil"/>
              <w:right w:val="nil"/>
            </w:tcBorders>
            <w:shd w:val="clear" w:color="auto" w:fill="auto"/>
            <w:tcMar>
              <w:top w:w="80" w:type="dxa"/>
              <w:left w:w="80" w:type="dxa"/>
              <w:bottom w:w="80" w:type="dxa"/>
              <w:right w:w="80" w:type="dxa"/>
            </w:tcMar>
            <w:vAlign w:val="center"/>
          </w:tcPr>
          <w:p w14:paraId="5DB3A08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3.5</w:t>
            </w:r>
          </w:p>
        </w:tc>
        <w:tc>
          <w:tcPr>
            <w:tcW w:w="759" w:type="dxa"/>
            <w:gridSpan w:val="2"/>
            <w:tcBorders>
              <w:top w:val="nil"/>
              <w:left w:val="nil"/>
              <w:bottom w:val="nil"/>
              <w:right w:val="nil"/>
            </w:tcBorders>
            <w:shd w:val="clear" w:color="auto" w:fill="auto"/>
            <w:tcMar>
              <w:top w:w="80" w:type="dxa"/>
              <w:left w:w="80" w:type="dxa"/>
              <w:bottom w:w="80" w:type="dxa"/>
              <w:right w:w="80" w:type="dxa"/>
            </w:tcMar>
            <w:vAlign w:val="center"/>
          </w:tcPr>
          <w:p w14:paraId="4F21ADC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1.3</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A14DCF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D6D237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0EF5F66E"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5645FF8B"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A4289C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nil"/>
              <w:right w:val="nil"/>
            </w:tcBorders>
            <w:shd w:val="clear" w:color="auto" w:fill="auto"/>
            <w:tcMar>
              <w:top w:w="80" w:type="dxa"/>
              <w:left w:w="80" w:type="dxa"/>
              <w:bottom w:w="80" w:type="dxa"/>
              <w:right w:w="80" w:type="dxa"/>
            </w:tcMar>
            <w:vAlign w:val="center"/>
          </w:tcPr>
          <w:p w14:paraId="55ACE5B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Probably yes</w:t>
            </w:r>
          </w:p>
        </w:tc>
        <w:tc>
          <w:tcPr>
            <w:tcW w:w="1067" w:type="dxa"/>
            <w:tcBorders>
              <w:top w:val="nil"/>
              <w:left w:val="nil"/>
              <w:bottom w:val="nil"/>
              <w:right w:val="nil"/>
            </w:tcBorders>
            <w:shd w:val="clear" w:color="auto" w:fill="auto"/>
            <w:tcMar>
              <w:top w:w="80" w:type="dxa"/>
              <w:left w:w="80" w:type="dxa"/>
              <w:bottom w:w="80" w:type="dxa"/>
              <w:right w:w="80" w:type="dxa"/>
            </w:tcMar>
            <w:vAlign w:val="center"/>
          </w:tcPr>
          <w:p w14:paraId="64F5ADC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14.1</w:t>
            </w:r>
          </w:p>
        </w:tc>
        <w:tc>
          <w:tcPr>
            <w:tcW w:w="849" w:type="dxa"/>
            <w:tcBorders>
              <w:top w:val="nil"/>
              <w:left w:val="nil"/>
              <w:bottom w:val="nil"/>
              <w:right w:val="nil"/>
            </w:tcBorders>
            <w:shd w:val="clear" w:color="auto" w:fill="auto"/>
            <w:tcMar>
              <w:top w:w="80" w:type="dxa"/>
              <w:left w:w="80" w:type="dxa"/>
              <w:bottom w:w="80" w:type="dxa"/>
              <w:right w:w="80" w:type="dxa"/>
            </w:tcMar>
            <w:vAlign w:val="center"/>
          </w:tcPr>
          <w:p w14:paraId="4019187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29.2</w:t>
            </w:r>
          </w:p>
        </w:tc>
        <w:tc>
          <w:tcPr>
            <w:tcW w:w="759" w:type="dxa"/>
            <w:gridSpan w:val="2"/>
            <w:tcBorders>
              <w:top w:val="nil"/>
              <w:left w:val="nil"/>
              <w:bottom w:val="nil"/>
              <w:right w:val="nil"/>
            </w:tcBorders>
            <w:shd w:val="clear" w:color="auto" w:fill="auto"/>
            <w:tcMar>
              <w:top w:w="80" w:type="dxa"/>
              <w:left w:w="80" w:type="dxa"/>
              <w:bottom w:w="80" w:type="dxa"/>
              <w:right w:w="80" w:type="dxa"/>
            </w:tcMar>
            <w:vAlign w:val="center"/>
          </w:tcPr>
          <w:p w14:paraId="1DCB7CC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19.2</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27E639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5C053E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E5FA4E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153010EA"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669583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226A960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Definitely yes</w:t>
            </w:r>
          </w:p>
        </w:tc>
        <w:tc>
          <w:tcPr>
            <w:tcW w:w="1067"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6E09F55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85.6</w:t>
            </w:r>
          </w:p>
        </w:tc>
        <w:tc>
          <w:tcPr>
            <w:tcW w:w="849"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0F15D4F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66.1</w:t>
            </w:r>
          </w:p>
        </w:tc>
        <w:tc>
          <w:tcPr>
            <w:tcW w:w="759" w:type="dxa"/>
            <w:gridSpan w:val="2"/>
            <w:tcBorders>
              <w:top w:val="nil"/>
              <w:left w:val="nil"/>
              <w:bottom w:val="single" w:sz="4" w:space="0" w:color="7F7F7F"/>
              <w:right w:val="nil"/>
            </w:tcBorders>
            <w:shd w:val="clear" w:color="auto" w:fill="auto"/>
            <w:tcMar>
              <w:top w:w="80" w:type="dxa"/>
              <w:left w:w="80" w:type="dxa"/>
              <w:bottom w:w="80" w:type="dxa"/>
              <w:right w:w="80" w:type="dxa"/>
            </w:tcMar>
            <w:vAlign w:val="center"/>
          </w:tcPr>
          <w:p w14:paraId="5396B5D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79.0</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7CB750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354E7D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B4F886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6B2D88AD" w14:textId="77777777" w:rsidTr="00AF6894">
        <w:tc>
          <w:tcPr>
            <w:tcW w:w="169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005976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Once someone has started smoking tobacco, do you think it will be difficult for them to quit?</w:t>
            </w:r>
          </w:p>
        </w:tc>
        <w:tc>
          <w:tcPr>
            <w:tcW w:w="1294"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218E45A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Definitely not</w:t>
            </w:r>
          </w:p>
        </w:tc>
        <w:tc>
          <w:tcPr>
            <w:tcW w:w="1067"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6A13D00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2.0</w:t>
            </w:r>
          </w:p>
        </w:tc>
        <w:tc>
          <w:tcPr>
            <w:tcW w:w="849"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152119CE"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2.7</w:t>
            </w:r>
          </w:p>
        </w:tc>
        <w:tc>
          <w:tcPr>
            <w:tcW w:w="759" w:type="dxa"/>
            <w:gridSpan w:val="2"/>
            <w:tcBorders>
              <w:top w:val="single" w:sz="4" w:space="0" w:color="7F7F7F"/>
              <w:left w:val="nil"/>
              <w:bottom w:val="nil"/>
              <w:right w:val="nil"/>
            </w:tcBorders>
            <w:shd w:val="clear" w:color="auto" w:fill="auto"/>
            <w:tcMar>
              <w:top w:w="80" w:type="dxa"/>
              <w:left w:w="80" w:type="dxa"/>
              <w:bottom w:w="80" w:type="dxa"/>
              <w:right w:w="80" w:type="dxa"/>
            </w:tcMar>
            <w:vAlign w:val="center"/>
          </w:tcPr>
          <w:p w14:paraId="31E7A53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2,3</w:t>
            </w:r>
          </w:p>
        </w:tc>
        <w:tc>
          <w:tcPr>
            <w:tcW w:w="1015" w:type="dxa"/>
            <w:gridSpan w:val="2"/>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EB9FD5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14,266</w:t>
            </w:r>
          </w:p>
        </w:tc>
        <w:tc>
          <w:tcPr>
            <w:tcW w:w="46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03965B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w:t>
            </w:r>
          </w:p>
        </w:tc>
        <w:tc>
          <w:tcPr>
            <w:tcW w:w="717"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5013A7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.003</w:t>
            </w:r>
          </w:p>
        </w:tc>
      </w:tr>
      <w:tr w:rsidR="00FC4DF2" w:rsidRPr="00D83753" w14:paraId="7F14FC9D"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4CE148B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nil"/>
              <w:right w:val="nil"/>
            </w:tcBorders>
            <w:shd w:val="clear" w:color="auto" w:fill="auto"/>
            <w:tcMar>
              <w:top w:w="80" w:type="dxa"/>
              <w:left w:w="80" w:type="dxa"/>
              <w:bottom w:w="80" w:type="dxa"/>
              <w:right w:w="80" w:type="dxa"/>
            </w:tcMar>
            <w:vAlign w:val="center"/>
          </w:tcPr>
          <w:p w14:paraId="79AE5AE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Probably not</w:t>
            </w:r>
          </w:p>
        </w:tc>
        <w:tc>
          <w:tcPr>
            <w:tcW w:w="1067" w:type="dxa"/>
            <w:tcBorders>
              <w:top w:val="nil"/>
              <w:left w:val="nil"/>
              <w:bottom w:val="nil"/>
              <w:right w:val="nil"/>
            </w:tcBorders>
            <w:shd w:val="clear" w:color="auto" w:fill="auto"/>
            <w:tcMar>
              <w:top w:w="80" w:type="dxa"/>
              <w:left w:w="80" w:type="dxa"/>
              <w:bottom w:w="80" w:type="dxa"/>
              <w:right w:w="80" w:type="dxa"/>
            </w:tcMar>
            <w:vAlign w:val="center"/>
          </w:tcPr>
          <w:p w14:paraId="30E16CD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8.5</w:t>
            </w:r>
          </w:p>
        </w:tc>
        <w:tc>
          <w:tcPr>
            <w:tcW w:w="849" w:type="dxa"/>
            <w:tcBorders>
              <w:top w:val="nil"/>
              <w:left w:val="nil"/>
              <w:bottom w:val="nil"/>
              <w:right w:val="nil"/>
            </w:tcBorders>
            <w:shd w:val="clear" w:color="auto" w:fill="auto"/>
            <w:tcMar>
              <w:top w:w="80" w:type="dxa"/>
              <w:left w:w="80" w:type="dxa"/>
              <w:bottom w:w="80" w:type="dxa"/>
              <w:right w:w="80" w:type="dxa"/>
            </w:tcMar>
            <w:vAlign w:val="center"/>
          </w:tcPr>
          <w:p w14:paraId="531A2F5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14.9</w:t>
            </w:r>
          </w:p>
        </w:tc>
        <w:tc>
          <w:tcPr>
            <w:tcW w:w="759" w:type="dxa"/>
            <w:gridSpan w:val="2"/>
            <w:tcBorders>
              <w:top w:val="nil"/>
              <w:left w:val="nil"/>
              <w:bottom w:val="nil"/>
              <w:right w:val="nil"/>
            </w:tcBorders>
            <w:shd w:val="clear" w:color="auto" w:fill="auto"/>
            <w:tcMar>
              <w:top w:w="80" w:type="dxa"/>
              <w:left w:w="80" w:type="dxa"/>
              <w:bottom w:w="80" w:type="dxa"/>
              <w:right w:w="80" w:type="dxa"/>
            </w:tcMar>
            <w:vAlign w:val="center"/>
          </w:tcPr>
          <w:p w14:paraId="2E96899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10.7</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028A0F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1B5334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F7BE53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66DFBC50"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32C15A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nil"/>
              <w:right w:val="nil"/>
            </w:tcBorders>
            <w:shd w:val="clear" w:color="auto" w:fill="auto"/>
            <w:tcMar>
              <w:top w:w="80" w:type="dxa"/>
              <w:left w:w="80" w:type="dxa"/>
              <w:bottom w:w="80" w:type="dxa"/>
              <w:right w:w="80" w:type="dxa"/>
            </w:tcMar>
            <w:vAlign w:val="center"/>
          </w:tcPr>
          <w:p w14:paraId="2D46D8C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Probably yes</w:t>
            </w:r>
          </w:p>
        </w:tc>
        <w:tc>
          <w:tcPr>
            <w:tcW w:w="1067" w:type="dxa"/>
            <w:tcBorders>
              <w:top w:val="nil"/>
              <w:left w:val="nil"/>
              <w:bottom w:val="nil"/>
              <w:right w:val="nil"/>
            </w:tcBorders>
            <w:shd w:val="clear" w:color="auto" w:fill="auto"/>
            <w:tcMar>
              <w:top w:w="80" w:type="dxa"/>
              <w:left w:w="80" w:type="dxa"/>
              <w:bottom w:w="80" w:type="dxa"/>
              <w:right w:w="80" w:type="dxa"/>
            </w:tcMar>
            <w:vAlign w:val="center"/>
          </w:tcPr>
          <w:p w14:paraId="11F6CD2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65.9</w:t>
            </w:r>
          </w:p>
        </w:tc>
        <w:tc>
          <w:tcPr>
            <w:tcW w:w="849" w:type="dxa"/>
            <w:tcBorders>
              <w:top w:val="nil"/>
              <w:left w:val="nil"/>
              <w:bottom w:val="nil"/>
              <w:right w:val="nil"/>
            </w:tcBorders>
            <w:shd w:val="clear" w:color="auto" w:fill="auto"/>
            <w:tcMar>
              <w:top w:w="80" w:type="dxa"/>
              <w:left w:w="80" w:type="dxa"/>
              <w:bottom w:w="80" w:type="dxa"/>
              <w:right w:w="80" w:type="dxa"/>
            </w:tcMar>
            <w:vAlign w:val="center"/>
          </w:tcPr>
          <w:p w14:paraId="4428B42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64.0</w:t>
            </w:r>
          </w:p>
        </w:tc>
        <w:tc>
          <w:tcPr>
            <w:tcW w:w="759" w:type="dxa"/>
            <w:gridSpan w:val="2"/>
            <w:tcBorders>
              <w:top w:val="nil"/>
              <w:left w:val="nil"/>
              <w:bottom w:val="nil"/>
              <w:right w:val="nil"/>
            </w:tcBorders>
            <w:shd w:val="clear" w:color="auto" w:fill="auto"/>
            <w:tcMar>
              <w:top w:w="80" w:type="dxa"/>
              <w:left w:w="80" w:type="dxa"/>
              <w:bottom w:w="80" w:type="dxa"/>
              <w:right w:w="80" w:type="dxa"/>
            </w:tcMar>
            <w:vAlign w:val="center"/>
          </w:tcPr>
          <w:p w14:paraId="6894CA8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65.2</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F29C4D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071C10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707F21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47CF3613"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048465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5FBF6C6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Definitely yes</w:t>
            </w:r>
          </w:p>
        </w:tc>
        <w:tc>
          <w:tcPr>
            <w:tcW w:w="1067"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4DAF258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23.6</w:t>
            </w:r>
          </w:p>
        </w:tc>
        <w:tc>
          <w:tcPr>
            <w:tcW w:w="849"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533F920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18.4</w:t>
            </w:r>
          </w:p>
        </w:tc>
        <w:tc>
          <w:tcPr>
            <w:tcW w:w="759" w:type="dxa"/>
            <w:gridSpan w:val="2"/>
            <w:tcBorders>
              <w:top w:val="nil"/>
              <w:left w:val="nil"/>
              <w:bottom w:val="single" w:sz="4" w:space="0" w:color="7F7F7F"/>
              <w:right w:val="nil"/>
            </w:tcBorders>
            <w:shd w:val="clear" w:color="auto" w:fill="auto"/>
            <w:tcMar>
              <w:top w:w="80" w:type="dxa"/>
              <w:left w:w="80" w:type="dxa"/>
              <w:bottom w:w="80" w:type="dxa"/>
              <w:right w:w="80" w:type="dxa"/>
            </w:tcMar>
            <w:vAlign w:val="center"/>
          </w:tcPr>
          <w:p w14:paraId="48D1ABD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21.8</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EB9879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E9429D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516D3F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1200B56E" w14:textId="77777777" w:rsidTr="00AF6894">
        <w:tc>
          <w:tcPr>
            <w:tcW w:w="169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35A5456" w14:textId="05DBD176"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 xml:space="preserve">Are you in </w:t>
            </w:r>
            <w:r w:rsidR="00AF6894" w:rsidRPr="00FC4DF2">
              <w:rPr>
                <w:rFonts w:eastAsia="Times New Roman"/>
                <w:sz w:val="18"/>
                <w:lang w:eastAsia="en-US"/>
              </w:rPr>
              <w:t>favour</w:t>
            </w:r>
            <w:r w:rsidRPr="00FC4DF2">
              <w:rPr>
                <w:rFonts w:eastAsia="Times New Roman"/>
                <w:sz w:val="18"/>
                <w:lang w:eastAsia="en-US"/>
              </w:rPr>
              <w:t xml:space="preserve"> of banning smoking at faculties and other education facilities?</w:t>
            </w:r>
          </w:p>
        </w:tc>
        <w:tc>
          <w:tcPr>
            <w:tcW w:w="1294"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6B62547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Yes</w:t>
            </w:r>
          </w:p>
        </w:tc>
        <w:tc>
          <w:tcPr>
            <w:tcW w:w="1067"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365012F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94.9</w:t>
            </w:r>
          </w:p>
        </w:tc>
        <w:tc>
          <w:tcPr>
            <w:tcW w:w="849"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38F408D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75.5</w:t>
            </w:r>
          </w:p>
        </w:tc>
        <w:tc>
          <w:tcPr>
            <w:tcW w:w="759" w:type="dxa"/>
            <w:gridSpan w:val="2"/>
            <w:tcBorders>
              <w:top w:val="single" w:sz="4" w:space="0" w:color="7F7F7F"/>
              <w:left w:val="nil"/>
              <w:bottom w:val="nil"/>
              <w:right w:val="nil"/>
            </w:tcBorders>
            <w:shd w:val="clear" w:color="auto" w:fill="auto"/>
            <w:tcMar>
              <w:top w:w="80" w:type="dxa"/>
              <w:left w:w="80" w:type="dxa"/>
              <w:bottom w:w="80" w:type="dxa"/>
              <w:right w:w="80" w:type="dxa"/>
            </w:tcMar>
            <w:vAlign w:val="center"/>
          </w:tcPr>
          <w:p w14:paraId="0504C12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88.4</w:t>
            </w:r>
          </w:p>
        </w:tc>
        <w:tc>
          <w:tcPr>
            <w:tcW w:w="1015" w:type="dxa"/>
            <w:gridSpan w:val="2"/>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273D2B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98,045</w:t>
            </w:r>
          </w:p>
        </w:tc>
        <w:tc>
          <w:tcPr>
            <w:tcW w:w="46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067512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w:t>
            </w:r>
          </w:p>
        </w:tc>
        <w:tc>
          <w:tcPr>
            <w:tcW w:w="717"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6A1387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.000</w:t>
            </w:r>
          </w:p>
        </w:tc>
      </w:tr>
      <w:tr w:rsidR="00FC4DF2" w:rsidRPr="00D83753" w14:paraId="54F061A7"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403D024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F8CEB9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No</w:t>
            </w:r>
          </w:p>
        </w:tc>
        <w:tc>
          <w:tcPr>
            <w:tcW w:w="1067"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5C3676C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5.1</w:t>
            </w:r>
          </w:p>
        </w:tc>
        <w:tc>
          <w:tcPr>
            <w:tcW w:w="849"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077FE1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24.5</w:t>
            </w:r>
          </w:p>
        </w:tc>
        <w:tc>
          <w:tcPr>
            <w:tcW w:w="759" w:type="dxa"/>
            <w:gridSpan w:val="2"/>
            <w:tcBorders>
              <w:top w:val="nil"/>
              <w:left w:val="nil"/>
              <w:bottom w:val="single" w:sz="4" w:space="0" w:color="000000"/>
              <w:right w:val="nil"/>
            </w:tcBorders>
            <w:shd w:val="clear" w:color="auto" w:fill="auto"/>
            <w:tcMar>
              <w:top w:w="80" w:type="dxa"/>
              <w:left w:w="80" w:type="dxa"/>
              <w:bottom w:w="80" w:type="dxa"/>
              <w:right w:w="80" w:type="dxa"/>
            </w:tcMar>
            <w:vAlign w:val="center"/>
          </w:tcPr>
          <w:p w14:paraId="065CC3D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11.6</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FD16A5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0FE8782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45611A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24A2170A" w14:textId="77777777" w:rsidTr="00AF6894">
        <w:tc>
          <w:tcPr>
            <w:tcW w:w="169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4DF14AB" w14:textId="1041143D"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 xml:space="preserve">Are you in </w:t>
            </w:r>
            <w:r w:rsidR="00AF6894" w:rsidRPr="00FC4DF2">
              <w:rPr>
                <w:rFonts w:eastAsia="Times New Roman"/>
                <w:sz w:val="18"/>
                <w:lang w:eastAsia="en-US"/>
              </w:rPr>
              <w:t>favour</w:t>
            </w:r>
            <w:r w:rsidRPr="00FC4DF2">
              <w:rPr>
                <w:rFonts w:eastAsia="Times New Roman"/>
                <w:sz w:val="18"/>
                <w:lang w:eastAsia="en-US"/>
              </w:rPr>
              <w:t xml:space="preserve"> of banning smoking at restaurants?</w:t>
            </w:r>
          </w:p>
        </w:tc>
        <w:tc>
          <w:tcPr>
            <w:tcW w:w="1294"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1D28A52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Yes</w:t>
            </w:r>
          </w:p>
        </w:tc>
        <w:tc>
          <w:tcPr>
            <w:tcW w:w="106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B54E2D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92.3</w:t>
            </w:r>
          </w:p>
        </w:tc>
        <w:tc>
          <w:tcPr>
            <w:tcW w:w="84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428F673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48.5</w:t>
            </w:r>
          </w:p>
        </w:tc>
        <w:tc>
          <w:tcPr>
            <w:tcW w:w="759" w:type="dxa"/>
            <w:gridSpan w:val="2"/>
            <w:tcBorders>
              <w:top w:val="single" w:sz="4" w:space="0" w:color="000000"/>
              <w:left w:val="nil"/>
              <w:bottom w:val="nil"/>
              <w:right w:val="nil"/>
            </w:tcBorders>
            <w:shd w:val="clear" w:color="auto" w:fill="auto"/>
            <w:tcMar>
              <w:top w:w="80" w:type="dxa"/>
              <w:left w:w="80" w:type="dxa"/>
              <w:bottom w:w="80" w:type="dxa"/>
              <w:right w:w="80" w:type="dxa"/>
            </w:tcMar>
            <w:vAlign w:val="center"/>
          </w:tcPr>
          <w:p w14:paraId="12776E4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77.4</w:t>
            </w:r>
          </w:p>
        </w:tc>
        <w:tc>
          <w:tcPr>
            <w:tcW w:w="1015" w:type="dxa"/>
            <w:gridSpan w:val="2"/>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0ACEE76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368,823</w:t>
            </w:r>
          </w:p>
        </w:tc>
        <w:tc>
          <w:tcPr>
            <w:tcW w:w="46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E8FF7B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w:t>
            </w:r>
          </w:p>
        </w:tc>
        <w:tc>
          <w:tcPr>
            <w:tcW w:w="717"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41F022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.000</w:t>
            </w:r>
          </w:p>
        </w:tc>
      </w:tr>
      <w:tr w:rsidR="00FC4DF2" w:rsidRPr="00D83753" w14:paraId="49D6ED6E"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95AAD0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26ADC46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No</w:t>
            </w:r>
          </w:p>
        </w:tc>
        <w:tc>
          <w:tcPr>
            <w:tcW w:w="1067"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7355A1C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7.7</w:t>
            </w:r>
          </w:p>
        </w:tc>
        <w:tc>
          <w:tcPr>
            <w:tcW w:w="849"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72C25C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51.5</w:t>
            </w:r>
          </w:p>
        </w:tc>
        <w:tc>
          <w:tcPr>
            <w:tcW w:w="759" w:type="dxa"/>
            <w:gridSpan w:val="2"/>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3B174FE"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22.6</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9E2153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15553E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181564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347D0673" w14:textId="77777777" w:rsidTr="00AF6894">
        <w:tc>
          <w:tcPr>
            <w:tcW w:w="169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55F6B6D" w14:textId="44E72BBD"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lastRenderedPageBreak/>
              <w:t xml:space="preserve">Are you in </w:t>
            </w:r>
            <w:r w:rsidR="00AF6894" w:rsidRPr="00FC4DF2">
              <w:rPr>
                <w:rFonts w:eastAsia="Times New Roman"/>
                <w:sz w:val="18"/>
                <w:lang w:eastAsia="en-US"/>
              </w:rPr>
              <w:t>favour</w:t>
            </w:r>
            <w:r w:rsidRPr="00FC4DF2">
              <w:rPr>
                <w:rFonts w:eastAsia="Times New Roman"/>
                <w:sz w:val="18"/>
                <w:lang w:eastAsia="en-US"/>
              </w:rPr>
              <w:t xml:space="preserve"> of banning smoking at cafes and bars?</w:t>
            </w:r>
          </w:p>
        </w:tc>
        <w:tc>
          <w:tcPr>
            <w:tcW w:w="1294"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48A925F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Yes</w:t>
            </w:r>
          </w:p>
        </w:tc>
        <w:tc>
          <w:tcPr>
            <w:tcW w:w="106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1C2247C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80.2</w:t>
            </w:r>
          </w:p>
        </w:tc>
        <w:tc>
          <w:tcPr>
            <w:tcW w:w="84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6A27747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51.5</w:t>
            </w:r>
          </w:p>
        </w:tc>
        <w:tc>
          <w:tcPr>
            <w:tcW w:w="759" w:type="dxa"/>
            <w:gridSpan w:val="2"/>
            <w:tcBorders>
              <w:top w:val="single" w:sz="4" w:space="0" w:color="000000"/>
              <w:left w:val="nil"/>
              <w:bottom w:val="nil"/>
              <w:right w:val="nil"/>
            </w:tcBorders>
            <w:shd w:val="clear" w:color="auto" w:fill="auto"/>
            <w:tcMar>
              <w:top w:w="80" w:type="dxa"/>
              <w:left w:w="80" w:type="dxa"/>
              <w:bottom w:w="80" w:type="dxa"/>
              <w:right w:w="80" w:type="dxa"/>
            </w:tcMar>
            <w:vAlign w:val="center"/>
          </w:tcPr>
          <w:p w14:paraId="06AC637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60.8</w:t>
            </w:r>
          </w:p>
        </w:tc>
        <w:tc>
          <w:tcPr>
            <w:tcW w:w="1015" w:type="dxa"/>
            <w:gridSpan w:val="2"/>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E70520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292,892</w:t>
            </w:r>
          </w:p>
        </w:tc>
        <w:tc>
          <w:tcPr>
            <w:tcW w:w="46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606A35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w:t>
            </w:r>
          </w:p>
        </w:tc>
        <w:tc>
          <w:tcPr>
            <w:tcW w:w="717"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7B421AE"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.000</w:t>
            </w:r>
          </w:p>
        </w:tc>
      </w:tr>
      <w:tr w:rsidR="00FC4DF2" w:rsidRPr="00D83753" w14:paraId="0DCDED27"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B6D356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67A5AEA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No</w:t>
            </w:r>
          </w:p>
        </w:tc>
        <w:tc>
          <w:tcPr>
            <w:tcW w:w="1067"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5A29B2B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19.8</w:t>
            </w:r>
          </w:p>
        </w:tc>
        <w:tc>
          <w:tcPr>
            <w:tcW w:w="849" w:type="dxa"/>
            <w:tcBorders>
              <w:top w:val="nil"/>
              <w:left w:val="nil"/>
              <w:bottom w:val="single" w:sz="4" w:space="0" w:color="7F7F7F"/>
              <w:right w:val="nil"/>
            </w:tcBorders>
            <w:shd w:val="clear" w:color="auto" w:fill="auto"/>
            <w:tcMar>
              <w:top w:w="80" w:type="dxa"/>
              <w:left w:w="80" w:type="dxa"/>
              <w:bottom w:w="80" w:type="dxa"/>
              <w:right w:w="80" w:type="dxa"/>
            </w:tcMar>
            <w:vAlign w:val="center"/>
          </w:tcPr>
          <w:p w14:paraId="0CB9772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100.0</w:t>
            </w:r>
          </w:p>
        </w:tc>
        <w:tc>
          <w:tcPr>
            <w:tcW w:w="759" w:type="dxa"/>
            <w:gridSpan w:val="2"/>
            <w:tcBorders>
              <w:top w:val="nil"/>
              <w:left w:val="nil"/>
              <w:bottom w:val="single" w:sz="4" w:space="0" w:color="7F7F7F"/>
              <w:right w:val="nil"/>
            </w:tcBorders>
            <w:shd w:val="clear" w:color="auto" w:fill="auto"/>
            <w:tcMar>
              <w:top w:w="80" w:type="dxa"/>
              <w:left w:w="80" w:type="dxa"/>
              <w:bottom w:w="80" w:type="dxa"/>
              <w:right w:w="80" w:type="dxa"/>
            </w:tcMar>
            <w:vAlign w:val="center"/>
          </w:tcPr>
          <w:p w14:paraId="421D3C9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39.2</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6A9EE0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01E655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922240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5D5B922B" w14:textId="77777777" w:rsidTr="00AF6894">
        <w:tc>
          <w:tcPr>
            <w:tcW w:w="169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00FB042" w14:textId="1D0426D4"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 xml:space="preserve">Are you in </w:t>
            </w:r>
            <w:r w:rsidR="00AF6894" w:rsidRPr="00FC4DF2">
              <w:rPr>
                <w:rFonts w:eastAsia="Times New Roman"/>
                <w:sz w:val="18"/>
                <w:lang w:eastAsia="en-US"/>
              </w:rPr>
              <w:t>favour</w:t>
            </w:r>
            <w:r w:rsidRPr="00FC4DF2">
              <w:rPr>
                <w:rFonts w:eastAsia="Times New Roman"/>
                <w:sz w:val="18"/>
                <w:lang w:eastAsia="en-US"/>
              </w:rPr>
              <w:t xml:space="preserve"> of banning the advertising of tobacco and tobacco products?</w:t>
            </w:r>
          </w:p>
        </w:tc>
        <w:tc>
          <w:tcPr>
            <w:tcW w:w="1294"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64E9AB9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Yes</w:t>
            </w:r>
          </w:p>
        </w:tc>
        <w:tc>
          <w:tcPr>
            <w:tcW w:w="1067"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7367C07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78.6</w:t>
            </w:r>
          </w:p>
        </w:tc>
        <w:tc>
          <w:tcPr>
            <w:tcW w:w="849" w:type="dxa"/>
            <w:tcBorders>
              <w:top w:val="single" w:sz="4" w:space="0" w:color="7F7F7F"/>
              <w:left w:val="nil"/>
              <w:bottom w:val="nil"/>
              <w:right w:val="nil"/>
            </w:tcBorders>
            <w:shd w:val="clear" w:color="auto" w:fill="auto"/>
            <w:tcMar>
              <w:top w:w="80" w:type="dxa"/>
              <w:left w:w="80" w:type="dxa"/>
              <w:bottom w:w="80" w:type="dxa"/>
              <w:right w:w="80" w:type="dxa"/>
            </w:tcMar>
            <w:vAlign w:val="center"/>
          </w:tcPr>
          <w:p w14:paraId="6E4FEA4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62.5</w:t>
            </w:r>
          </w:p>
        </w:tc>
        <w:tc>
          <w:tcPr>
            <w:tcW w:w="759" w:type="dxa"/>
            <w:gridSpan w:val="2"/>
            <w:tcBorders>
              <w:top w:val="single" w:sz="4" w:space="0" w:color="7F7F7F"/>
              <w:left w:val="nil"/>
              <w:bottom w:val="nil"/>
              <w:right w:val="nil"/>
            </w:tcBorders>
            <w:shd w:val="clear" w:color="auto" w:fill="auto"/>
            <w:tcMar>
              <w:top w:w="80" w:type="dxa"/>
              <w:left w:w="80" w:type="dxa"/>
              <w:bottom w:w="80" w:type="dxa"/>
              <w:right w:w="80" w:type="dxa"/>
            </w:tcMar>
            <w:vAlign w:val="center"/>
          </w:tcPr>
          <w:p w14:paraId="0ADA82A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73.1</w:t>
            </w:r>
          </w:p>
        </w:tc>
        <w:tc>
          <w:tcPr>
            <w:tcW w:w="1015" w:type="dxa"/>
            <w:gridSpan w:val="2"/>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BD3F03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34,836</w:t>
            </w:r>
          </w:p>
        </w:tc>
        <w:tc>
          <w:tcPr>
            <w:tcW w:w="46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0CB2CE1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w:t>
            </w:r>
          </w:p>
        </w:tc>
        <w:tc>
          <w:tcPr>
            <w:tcW w:w="717"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4298074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.000</w:t>
            </w:r>
          </w:p>
        </w:tc>
      </w:tr>
      <w:tr w:rsidR="00FC4DF2" w:rsidRPr="00D83753" w14:paraId="5F36F027"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D036CF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2778F8E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No</w:t>
            </w:r>
          </w:p>
        </w:tc>
        <w:tc>
          <w:tcPr>
            <w:tcW w:w="1067"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66F2A63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21.4</w:t>
            </w:r>
          </w:p>
        </w:tc>
        <w:tc>
          <w:tcPr>
            <w:tcW w:w="849"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05DE769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37.5</w:t>
            </w:r>
          </w:p>
        </w:tc>
        <w:tc>
          <w:tcPr>
            <w:tcW w:w="759" w:type="dxa"/>
            <w:gridSpan w:val="2"/>
            <w:tcBorders>
              <w:top w:val="nil"/>
              <w:left w:val="nil"/>
              <w:bottom w:val="single" w:sz="4" w:space="0" w:color="000000"/>
              <w:right w:val="nil"/>
            </w:tcBorders>
            <w:shd w:val="clear" w:color="auto" w:fill="auto"/>
            <w:tcMar>
              <w:top w:w="80" w:type="dxa"/>
              <w:left w:w="80" w:type="dxa"/>
              <w:bottom w:w="80" w:type="dxa"/>
              <w:right w:w="80" w:type="dxa"/>
            </w:tcMar>
            <w:vAlign w:val="center"/>
          </w:tcPr>
          <w:p w14:paraId="4277B7E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26.9</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05D6CBE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C57F14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4CFB3F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3908E82A" w14:textId="77777777" w:rsidTr="00AF6894">
        <w:tc>
          <w:tcPr>
            <w:tcW w:w="169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59A7ECA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Do you think you will use any tobacco product in the next 12 months?</w:t>
            </w:r>
          </w:p>
        </w:tc>
        <w:tc>
          <w:tcPr>
            <w:tcW w:w="1294"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1A2E660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Definitely not</w:t>
            </w:r>
          </w:p>
        </w:tc>
        <w:tc>
          <w:tcPr>
            <w:tcW w:w="106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010D36E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74.4</w:t>
            </w:r>
          </w:p>
        </w:tc>
        <w:tc>
          <w:tcPr>
            <w:tcW w:w="84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7300B26E"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2.2</w:t>
            </w:r>
          </w:p>
        </w:tc>
        <w:tc>
          <w:tcPr>
            <w:tcW w:w="759" w:type="dxa"/>
            <w:gridSpan w:val="2"/>
            <w:tcBorders>
              <w:top w:val="single" w:sz="4" w:space="0" w:color="000000"/>
              <w:left w:val="nil"/>
              <w:bottom w:val="nil"/>
              <w:right w:val="nil"/>
            </w:tcBorders>
            <w:shd w:val="clear" w:color="auto" w:fill="auto"/>
            <w:tcMar>
              <w:top w:w="80" w:type="dxa"/>
              <w:left w:w="80" w:type="dxa"/>
              <w:bottom w:w="80" w:type="dxa"/>
              <w:right w:w="80" w:type="dxa"/>
            </w:tcMar>
            <w:vAlign w:val="center"/>
          </w:tcPr>
          <w:p w14:paraId="7CCA16B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50.0</w:t>
            </w:r>
          </w:p>
        </w:tc>
        <w:tc>
          <w:tcPr>
            <w:tcW w:w="1015" w:type="dxa"/>
            <w:gridSpan w:val="2"/>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FD6D12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873,565</w:t>
            </w:r>
          </w:p>
        </w:tc>
        <w:tc>
          <w:tcPr>
            <w:tcW w:w="463"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1F23DC6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w:t>
            </w:r>
          </w:p>
        </w:tc>
        <w:tc>
          <w:tcPr>
            <w:tcW w:w="717" w:type="dxa"/>
            <w:vMerge w:val="restart"/>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DCB3DA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.000</w:t>
            </w:r>
          </w:p>
        </w:tc>
      </w:tr>
      <w:tr w:rsidR="00FC4DF2" w:rsidRPr="00D83753" w14:paraId="7DC373AF"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5BF6B73"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nil"/>
              <w:right w:val="nil"/>
            </w:tcBorders>
            <w:shd w:val="clear" w:color="auto" w:fill="auto"/>
            <w:tcMar>
              <w:top w:w="80" w:type="dxa"/>
              <w:left w:w="80" w:type="dxa"/>
              <w:bottom w:w="80" w:type="dxa"/>
              <w:right w:w="80" w:type="dxa"/>
            </w:tcMar>
            <w:vAlign w:val="center"/>
          </w:tcPr>
          <w:p w14:paraId="3B89EC9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Probably not</w:t>
            </w:r>
          </w:p>
        </w:tc>
        <w:tc>
          <w:tcPr>
            <w:tcW w:w="1067" w:type="dxa"/>
            <w:tcBorders>
              <w:top w:val="nil"/>
              <w:left w:val="nil"/>
              <w:bottom w:val="nil"/>
              <w:right w:val="nil"/>
            </w:tcBorders>
            <w:shd w:val="clear" w:color="auto" w:fill="auto"/>
            <w:tcMar>
              <w:top w:w="80" w:type="dxa"/>
              <w:left w:w="80" w:type="dxa"/>
              <w:bottom w:w="80" w:type="dxa"/>
              <w:right w:w="80" w:type="dxa"/>
            </w:tcMar>
            <w:vAlign w:val="center"/>
          </w:tcPr>
          <w:p w14:paraId="354690E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21.2</w:t>
            </w:r>
          </w:p>
        </w:tc>
        <w:tc>
          <w:tcPr>
            <w:tcW w:w="849" w:type="dxa"/>
            <w:tcBorders>
              <w:top w:val="nil"/>
              <w:left w:val="nil"/>
              <w:bottom w:val="nil"/>
              <w:right w:val="nil"/>
            </w:tcBorders>
            <w:shd w:val="clear" w:color="auto" w:fill="auto"/>
            <w:tcMar>
              <w:top w:w="80" w:type="dxa"/>
              <w:left w:w="80" w:type="dxa"/>
              <w:bottom w:w="80" w:type="dxa"/>
              <w:right w:w="80" w:type="dxa"/>
            </w:tcMar>
            <w:vAlign w:val="center"/>
          </w:tcPr>
          <w:p w14:paraId="6F3200A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9.4</w:t>
            </w:r>
          </w:p>
        </w:tc>
        <w:tc>
          <w:tcPr>
            <w:tcW w:w="759" w:type="dxa"/>
            <w:gridSpan w:val="2"/>
            <w:tcBorders>
              <w:top w:val="nil"/>
              <w:left w:val="nil"/>
              <w:bottom w:val="nil"/>
              <w:right w:val="nil"/>
            </w:tcBorders>
            <w:shd w:val="clear" w:color="auto" w:fill="auto"/>
            <w:tcMar>
              <w:top w:w="80" w:type="dxa"/>
              <w:left w:w="80" w:type="dxa"/>
              <w:bottom w:w="80" w:type="dxa"/>
              <w:right w:w="80" w:type="dxa"/>
            </w:tcMar>
            <w:vAlign w:val="center"/>
          </w:tcPr>
          <w:p w14:paraId="6C4EECF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17,2</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2AE6914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A605C3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0DBF44E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6B9FC462" w14:textId="77777777" w:rsidTr="00AF6894">
        <w:tc>
          <w:tcPr>
            <w:tcW w:w="169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4E3A06F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nil"/>
              <w:right w:val="nil"/>
            </w:tcBorders>
            <w:shd w:val="clear" w:color="auto" w:fill="auto"/>
            <w:tcMar>
              <w:top w:w="80" w:type="dxa"/>
              <w:left w:w="80" w:type="dxa"/>
              <w:bottom w:w="80" w:type="dxa"/>
              <w:right w:w="80" w:type="dxa"/>
            </w:tcMar>
            <w:vAlign w:val="center"/>
          </w:tcPr>
          <w:p w14:paraId="232B396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Probably yes</w:t>
            </w:r>
          </w:p>
        </w:tc>
        <w:tc>
          <w:tcPr>
            <w:tcW w:w="1067" w:type="dxa"/>
            <w:tcBorders>
              <w:top w:val="nil"/>
              <w:left w:val="nil"/>
              <w:bottom w:val="nil"/>
              <w:right w:val="nil"/>
            </w:tcBorders>
            <w:shd w:val="clear" w:color="auto" w:fill="auto"/>
            <w:tcMar>
              <w:top w:w="80" w:type="dxa"/>
              <w:left w:w="80" w:type="dxa"/>
              <w:bottom w:w="80" w:type="dxa"/>
              <w:right w:w="80" w:type="dxa"/>
            </w:tcMar>
            <w:vAlign w:val="center"/>
          </w:tcPr>
          <w:p w14:paraId="4C4528C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2.8</w:t>
            </w:r>
          </w:p>
        </w:tc>
        <w:tc>
          <w:tcPr>
            <w:tcW w:w="849" w:type="dxa"/>
            <w:tcBorders>
              <w:top w:val="nil"/>
              <w:left w:val="nil"/>
              <w:bottom w:val="nil"/>
              <w:right w:val="nil"/>
            </w:tcBorders>
            <w:shd w:val="clear" w:color="auto" w:fill="auto"/>
            <w:tcMar>
              <w:top w:w="80" w:type="dxa"/>
              <w:left w:w="80" w:type="dxa"/>
              <w:bottom w:w="80" w:type="dxa"/>
              <w:right w:w="80" w:type="dxa"/>
            </w:tcMar>
            <w:vAlign w:val="center"/>
          </w:tcPr>
          <w:p w14:paraId="143A8C1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44.8</w:t>
            </w:r>
          </w:p>
        </w:tc>
        <w:tc>
          <w:tcPr>
            <w:tcW w:w="759" w:type="dxa"/>
            <w:gridSpan w:val="2"/>
            <w:tcBorders>
              <w:top w:val="nil"/>
              <w:left w:val="nil"/>
              <w:bottom w:val="nil"/>
              <w:right w:val="nil"/>
            </w:tcBorders>
            <w:shd w:val="clear" w:color="auto" w:fill="auto"/>
            <w:tcMar>
              <w:top w:w="80" w:type="dxa"/>
              <w:left w:w="80" w:type="dxa"/>
              <w:bottom w:w="80" w:type="dxa"/>
              <w:right w:w="80" w:type="dxa"/>
            </w:tcMar>
            <w:vAlign w:val="center"/>
          </w:tcPr>
          <w:p w14:paraId="251D7632"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17,0</w:t>
            </w:r>
          </w:p>
        </w:tc>
        <w:tc>
          <w:tcPr>
            <w:tcW w:w="1015" w:type="dxa"/>
            <w:gridSpan w:val="2"/>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764C313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64089E4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4" w:space="0" w:color="7F7F7F"/>
              <w:right w:val="nil"/>
            </w:tcBorders>
            <w:shd w:val="clear" w:color="auto" w:fill="auto"/>
            <w:tcMar>
              <w:top w:w="80" w:type="dxa"/>
              <w:left w:w="80" w:type="dxa"/>
              <w:bottom w:w="80" w:type="dxa"/>
              <w:right w:w="80" w:type="dxa"/>
            </w:tcMar>
            <w:vAlign w:val="center"/>
          </w:tcPr>
          <w:p w14:paraId="39AE37C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r w:rsidR="00FC4DF2" w:rsidRPr="00D83753" w14:paraId="12DEA373" w14:textId="77777777" w:rsidTr="00AF6894">
        <w:tc>
          <w:tcPr>
            <w:tcW w:w="1693" w:type="dxa"/>
            <w:vMerge/>
            <w:tcBorders>
              <w:top w:val="single" w:sz="4" w:space="0" w:color="7F7F7F"/>
              <w:left w:val="nil"/>
              <w:bottom w:val="single" w:sz="8" w:space="0" w:color="auto"/>
              <w:right w:val="nil"/>
            </w:tcBorders>
            <w:shd w:val="clear" w:color="auto" w:fill="auto"/>
            <w:tcMar>
              <w:top w:w="80" w:type="dxa"/>
              <w:left w:w="80" w:type="dxa"/>
              <w:bottom w:w="80" w:type="dxa"/>
              <w:right w:w="80" w:type="dxa"/>
            </w:tcMar>
            <w:vAlign w:val="center"/>
          </w:tcPr>
          <w:p w14:paraId="6B3DC8A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1294" w:type="dxa"/>
            <w:tcBorders>
              <w:top w:val="nil"/>
              <w:left w:val="nil"/>
              <w:bottom w:val="single" w:sz="8" w:space="0" w:color="auto"/>
              <w:right w:val="nil"/>
            </w:tcBorders>
            <w:shd w:val="clear" w:color="auto" w:fill="auto"/>
            <w:tcMar>
              <w:top w:w="80" w:type="dxa"/>
              <w:left w:w="80" w:type="dxa"/>
              <w:bottom w:w="80" w:type="dxa"/>
              <w:right w:w="80" w:type="dxa"/>
            </w:tcMar>
            <w:vAlign w:val="center"/>
          </w:tcPr>
          <w:p w14:paraId="3C48966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Definitely yes</w:t>
            </w:r>
          </w:p>
        </w:tc>
        <w:tc>
          <w:tcPr>
            <w:tcW w:w="1067" w:type="dxa"/>
            <w:tcBorders>
              <w:top w:val="nil"/>
              <w:left w:val="nil"/>
              <w:bottom w:val="single" w:sz="8" w:space="0" w:color="auto"/>
              <w:right w:val="nil"/>
            </w:tcBorders>
            <w:shd w:val="clear" w:color="auto" w:fill="auto"/>
            <w:tcMar>
              <w:top w:w="80" w:type="dxa"/>
              <w:left w:w="80" w:type="dxa"/>
              <w:bottom w:w="80" w:type="dxa"/>
              <w:right w:w="80" w:type="dxa"/>
            </w:tcMar>
            <w:vAlign w:val="center"/>
          </w:tcPr>
          <w:p w14:paraId="47BEA32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1,6</w:t>
            </w:r>
          </w:p>
        </w:tc>
        <w:tc>
          <w:tcPr>
            <w:tcW w:w="849" w:type="dxa"/>
            <w:tcBorders>
              <w:top w:val="nil"/>
              <w:left w:val="nil"/>
              <w:bottom w:val="single" w:sz="8" w:space="0" w:color="auto"/>
              <w:right w:val="nil"/>
            </w:tcBorders>
            <w:shd w:val="clear" w:color="auto" w:fill="auto"/>
            <w:tcMar>
              <w:top w:w="80" w:type="dxa"/>
              <w:left w:w="80" w:type="dxa"/>
              <w:bottom w:w="80" w:type="dxa"/>
              <w:right w:w="80" w:type="dxa"/>
            </w:tcMar>
            <w:vAlign w:val="center"/>
          </w:tcPr>
          <w:p w14:paraId="77857EF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43.6</w:t>
            </w:r>
          </w:p>
        </w:tc>
        <w:tc>
          <w:tcPr>
            <w:tcW w:w="759" w:type="dxa"/>
            <w:gridSpan w:val="2"/>
            <w:tcBorders>
              <w:top w:val="nil"/>
              <w:left w:val="nil"/>
              <w:bottom w:val="single" w:sz="8" w:space="0" w:color="auto"/>
              <w:right w:val="nil"/>
            </w:tcBorders>
            <w:shd w:val="clear" w:color="auto" w:fill="auto"/>
            <w:tcMar>
              <w:top w:w="80" w:type="dxa"/>
              <w:left w:w="80" w:type="dxa"/>
              <w:bottom w:w="80" w:type="dxa"/>
              <w:right w:w="80" w:type="dxa"/>
            </w:tcMar>
            <w:vAlign w:val="center"/>
          </w:tcPr>
          <w:p w14:paraId="57655A65"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15,8</w:t>
            </w:r>
          </w:p>
        </w:tc>
        <w:tc>
          <w:tcPr>
            <w:tcW w:w="1015" w:type="dxa"/>
            <w:gridSpan w:val="2"/>
            <w:vMerge/>
            <w:tcBorders>
              <w:top w:val="single" w:sz="4" w:space="0" w:color="7F7F7F"/>
              <w:left w:val="nil"/>
              <w:bottom w:val="single" w:sz="8" w:space="0" w:color="auto"/>
              <w:right w:val="nil"/>
            </w:tcBorders>
            <w:shd w:val="clear" w:color="auto" w:fill="auto"/>
            <w:tcMar>
              <w:top w:w="80" w:type="dxa"/>
              <w:left w:w="80" w:type="dxa"/>
              <w:bottom w:w="80" w:type="dxa"/>
              <w:right w:w="80" w:type="dxa"/>
            </w:tcMar>
            <w:vAlign w:val="center"/>
          </w:tcPr>
          <w:p w14:paraId="6649AE3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463" w:type="dxa"/>
            <w:vMerge/>
            <w:tcBorders>
              <w:top w:val="single" w:sz="4" w:space="0" w:color="7F7F7F"/>
              <w:left w:val="nil"/>
              <w:bottom w:val="single" w:sz="8" w:space="0" w:color="auto"/>
              <w:right w:val="nil"/>
            </w:tcBorders>
            <w:shd w:val="clear" w:color="auto" w:fill="auto"/>
            <w:tcMar>
              <w:top w:w="80" w:type="dxa"/>
              <w:left w:w="80" w:type="dxa"/>
              <w:bottom w:w="80" w:type="dxa"/>
              <w:right w:w="80" w:type="dxa"/>
            </w:tcMar>
            <w:vAlign w:val="center"/>
          </w:tcPr>
          <w:p w14:paraId="33ADE99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c>
          <w:tcPr>
            <w:tcW w:w="717" w:type="dxa"/>
            <w:vMerge/>
            <w:tcBorders>
              <w:top w:val="single" w:sz="4" w:space="0" w:color="7F7F7F"/>
              <w:left w:val="nil"/>
              <w:bottom w:val="single" w:sz="8" w:space="0" w:color="auto"/>
              <w:right w:val="nil"/>
            </w:tcBorders>
            <w:shd w:val="clear" w:color="auto" w:fill="auto"/>
            <w:tcMar>
              <w:top w:w="80" w:type="dxa"/>
              <w:left w:w="80" w:type="dxa"/>
              <w:bottom w:w="80" w:type="dxa"/>
              <w:right w:w="80" w:type="dxa"/>
            </w:tcMar>
            <w:vAlign w:val="center"/>
          </w:tcPr>
          <w:p w14:paraId="31E7561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p>
        </w:tc>
      </w:tr>
    </w:tbl>
    <w:p w14:paraId="7A6C2579" w14:textId="42C36F67" w:rsidR="00FC4DF2" w:rsidRDefault="00FC4DF2" w:rsidP="008F06B8">
      <w:pPr>
        <w:pStyle w:val="MDPI31text"/>
      </w:pPr>
      <w:r w:rsidRPr="00FC4DF2">
        <w:t>Various factors appear to be associated with smoking cessation among students. They avoided smoking because they wanted to improve their health (50%), to save mo</w:t>
      </w:r>
      <w:r w:rsidR="00254765">
        <w:t>ney</w:t>
      </w:r>
      <w:r w:rsidRPr="00FC4DF2">
        <w:t>, and other reasons th</w:t>
      </w:r>
      <w:r w:rsidR="00254765">
        <w:t>at were personal to them</w:t>
      </w:r>
      <w:r w:rsidRPr="00FC4DF2">
        <w:t>. The majority of students (59.1%) admitted that they have never been advised regarding smoking cessation, while only 2.5% of students have been advised by health care professionals to quit smoking. The majority of students (88%) believed that they could quit smoking if they wished to, and more than 50% had tried to quit within the past 1</w:t>
      </w:r>
      <w:r w:rsidR="00254765">
        <w:t>2 months. More than half</w:t>
      </w:r>
      <w:r w:rsidRPr="00FC4DF2">
        <w:t xml:space="preserve"> of the smokers expressed unwillingness to quit (Table 5).</w:t>
      </w:r>
    </w:p>
    <w:p w14:paraId="463E363C" w14:textId="60F6971C" w:rsidR="00FC4DF2" w:rsidRDefault="00FC4DF2" w:rsidP="00FC4DF2">
      <w:pPr>
        <w:pStyle w:val="MDPI41tablecaption"/>
      </w:pPr>
      <w:r w:rsidRPr="00FC4DF2">
        <w:rPr>
          <w:b/>
        </w:rPr>
        <w:t xml:space="preserve">Table 5. </w:t>
      </w:r>
      <w:r w:rsidRPr="00FC4DF2">
        <w:t>Student’s attitudes related to smoking cessation</w:t>
      </w:r>
      <w:r w:rsidR="00187893">
        <w:t xml:space="preserve"> </w:t>
      </w:r>
      <w:r w:rsidR="00187893" w:rsidRPr="00187893">
        <w:rPr>
          <w:color w:val="FF0000"/>
        </w:rPr>
        <w:t>(N=410)</w:t>
      </w:r>
      <w:r w:rsidRPr="00187893">
        <w:rPr>
          <w:color w:val="FF0000"/>
        </w:rPr>
        <w:t>.</w:t>
      </w:r>
    </w:p>
    <w:tbl>
      <w:tblPr>
        <w:tblW w:w="7857" w:type="dxa"/>
        <w:tblInd w:w="2608" w:type="dxa"/>
        <w:tblBorders>
          <w:top w:val="single" w:sz="8" w:space="0" w:color="auto"/>
          <w:bottom w:val="single" w:sz="8" w:space="0" w:color="auto"/>
          <w:insideH w:val="single" w:sz="4" w:space="0" w:color="7F7F7F"/>
        </w:tblBorders>
        <w:tblLayout w:type="fixed"/>
        <w:tblCellMar>
          <w:left w:w="0" w:type="dxa"/>
          <w:right w:w="0" w:type="dxa"/>
        </w:tblCellMar>
        <w:tblLook w:val="0400" w:firstRow="0" w:lastRow="0" w:firstColumn="0" w:lastColumn="0" w:noHBand="0" w:noVBand="1"/>
      </w:tblPr>
      <w:tblGrid>
        <w:gridCol w:w="2336"/>
        <w:gridCol w:w="1380"/>
        <w:gridCol w:w="1380"/>
        <w:gridCol w:w="1380"/>
        <w:gridCol w:w="1381"/>
      </w:tblGrid>
      <w:tr w:rsidR="0035376B" w:rsidRPr="00D83753" w14:paraId="47C0FCCE" w14:textId="77777777" w:rsidTr="00D83753">
        <w:tc>
          <w:tcPr>
            <w:tcW w:w="3144" w:type="dxa"/>
            <w:tcBorders>
              <w:top w:val="single" w:sz="8" w:space="0" w:color="auto"/>
              <w:bottom w:val="single" w:sz="4" w:space="0" w:color="7F7F7F"/>
            </w:tcBorders>
            <w:shd w:val="clear" w:color="auto" w:fill="DBE5F1"/>
            <w:tcMar>
              <w:top w:w="80" w:type="dxa"/>
              <w:left w:w="80" w:type="dxa"/>
              <w:bottom w:w="80" w:type="dxa"/>
              <w:right w:w="80" w:type="dxa"/>
            </w:tcMar>
            <w:vAlign w:val="center"/>
          </w:tcPr>
          <w:p w14:paraId="0AFE623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FC4DF2">
              <w:rPr>
                <w:rFonts w:eastAsia="Times New Roman"/>
                <w:b/>
                <w:sz w:val="18"/>
                <w:lang w:eastAsia="en-US"/>
              </w:rPr>
              <w:t>Questions</w:t>
            </w:r>
          </w:p>
        </w:tc>
        <w:tc>
          <w:tcPr>
            <w:tcW w:w="1830" w:type="dxa"/>
            <w:tcBorders>
              <w:top w:val="single" w:sz="8" w:space="0" w:color="auto"/>
              <w:bottom w:val="single" w:sz="4" w:space="0" w:color="7F7F7F"/>
            </w:tcBorders>
            <w:shd w:val="clear" w:color="auto" w:fill="DBE5F1"/>
            <w:tcMar>
              <w:top w:w="80" w:type="dxa"/>
              <w:left w:w="80" w:type="dxa"/>
              <w:bottom w:w="80" w:type="dxa"/>
              <w:right w:w="80" w:type="dxa"/>
            </w:tcMar>
            <w:vAlign w:val="center"/>
          </w:tcPr>
          <w:p w14:paraId="5C09732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FC4DF2">
              <w:rPr>
                <w:rFonts w:eastAsia="Times New Roman"/>
                <w:b/>
                <w:sz w:val="18"/>
                <w:lang w:eastAsia="en-US"/>
              </w:rPr>
              <w:t>Yes %</w:t>
            </w:r>
          </w:p>
        </w:tc>
        <w:tc>
          <w:tcPr>
            <w:tcW w:w="1830" w:type="dxa"/>
            <w:tcBorders>
              <w:top w:val="single" w:sz="8" w:space="0" w:color="auto"/>
              <w:bottom w:val="single" w:sz="4" w:space="0" w:color="7F7F7F"/>
            </w:tcBorders>
            <w:shd w:val="clear" w:color="auto" w:fill="DBE5F1"/>
            <w:tcMar>
              <w:top w:w="80" w:type="dxa"/>
              <w:left w:w="80" w:type="dxa"/>
              <w:bottom w:w="80" w:type="dxa"/>
              <w:right w:w="80" w:type="dxa"/>
            </w:tcMar>
            <w:vAlign w:val="center"/>
          </w:tcPr>
          <w:p w14:paraId="71935CF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szCs w:val="24"/>
                <w:lang w:eastAsia="en-US"/>
              </w:rPr>
            </w:pPr>
            <w:r w:rsidRPr="00FC4DF2">
              <w:rPr>
                <w:rFonts w:eastAsia="Times New Roman"/>
                <w:b/>
                <w:sz w:val="18"/>
                <w:lang w:eastAsia="en-US"/>
              </w:rPr>
              <w:t>No %</w:t>
            </w:r>
          </w:p>
        </w:tc>
        <w:tc>
          <w:tcPr>
            <w:tcW w:w="1830" w:type="dxa"/>
            <w:tcBorders>
              <w:top w:val="single" w:sz="8" w:space="0" w:color="auto"/>
              <w:bottom w:val="single" w:sz="4" w:space="0" w:color="7F7F7F"/>
            </w:tcBorders>
            <w:shd w:val="clear" w:color="auto" w:fill="DBE5F1"/>
            <w:tcMar>
              <w:top w:w="80" w:type="dxa"/>
              <w:left w:w="80" w:type="dxa"/>
              <w:bottom w:w="80" w:type="dxa"/>
              <w:right w:w="80" w:type="dxa"/>
            </w:tcMar>
            <w:vAlign w:val="center"/>
          </w:tcPr>
          <w:p w14:paraId="3D6303C4" w14:textId="77777777" w:rsidR="00FC4DF2" w:rsidRPr="00FC4DF2" w:rsidRDefault="00FC4DF2" w:rsidP="00D83753">
            <w:pPr>
              <w:autoSpaceDE w:val="0"/>
              <w:autoSpaceDN w:val="0"/>
              <w:adjustRightInd w:val="0"/>
              <w:snapToGrid w:val="0"/>
              <w:spacing w:line="240" w:lineRule="auto"/>
              <w:jc w:val="center"/>
              <w:rPr>
                <w:rFonts w:eastAsia="Times New Roman"/>
                <w:b/>
                <w:color w:val="auto"/>
                <w:sz w:val="18"/>
                <w:szCs w:val="24"/>
                <w:lang w:eastAsia="en-US"/>
              </w:rPr>
            </w:pPr>
          </w:p>
        </w:tc>
        <w:tc>
          <w:tcPr>
            <w:tcW w:w="1831" w:type="dxa"/>
            <w:tcBorders>
              <w:top w:val="single" w:sz="8" w:space="0" w:color="auto"/>
              <w:bottom w:val="single" w:sz="4" w:space="0" w:color="7F7F7F"/>
            </w:tcBorders>
            <w:shd w:val="clear" w:color="auto" w:fill="DBE5F1"/>
            <w:tcMar>
              <w:top w:w="80" w:type="dxa"/>
              <w:left w:w="80" w:type="dxa"/>
              <w:bottom w:w="80" w:type="dxa"/>
              <w:right w:w="80" w:type="dxa"/>
            </w:tcMar>
            <w:vAlign w:val="center"/>
          </w:tcPr>
          <w:p w14:paraId="1A945657" w14:textId="77777777" w:rsidR="00FC4DF2" w:rsidRPr="00FC4DF2" w:rsidRDefault="00FC4DF2" w:rsidP="00D83753">
            <w:pPr>
              <w:autoSpaceDE w:val="0"/>
              <w:autoSpaceDN w:val="0"/>
              <w:adjustRightInd w:val="0"/>
              <w:snapToGrid w:val="0"/>
              <w:spacing w:line="240" w:lineRule="auto"/>
              <w:jc w:val="center"/>
              <w:rPr>
                <w:rFonts w:eastAsia="Times New Roman"/>
                <w:b/>
                <w:color w:val="auto"/>
                <w:sz w:val="18"/>
                <w:szCs w:val="24"/>
                <w:lang w:eastAsia="en-US"/>
              </w:rPr>
            </w:pPr>
          </w:p>
        </w:tc>
      </w:tr>
      <w:tr w:rsidR="0035376B" w:rsidRPr="00D83753" w14:paraId="3672E0DA" w14:textId="77777777" w:rsidTr="00D83753">
        <w:tc>
          <w:tcPr>
            <w:tcW w:w="3144" w:type="dxa"/>
            <w:tcBorders>
              <w:top w:val="single" w:sz="4" w:space="0" w:color="7F7F7F"/>
            </w:tcBorders>
            <w:shd w:val="clear" w:color="auto" w:fill="auto"/>
            <w:tcMar>
              <w:top w:w="80" w:type="dxa"/>
              <w:left w:w="80" w:type="dxa"/>
              <w:bottom w:w="80" w:type="dxa"/>
              <w:right w:w="80" w:type="dxa"/>
            </w:tcMar>
            <w:vAlign w:val="center"/>
          </w:tcPr>
          <w:p w14:paraId="51AF4353"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Would you like to stop smoking?</w:t>
            </w:r>
          </w:p>
        </w:tc>
        <w:tc>
          <w:tcPr>
            <w:tcW w:w="1830" w:type="dxa"/>
            <w:tcBorders>
              <w:top w:val="single" w:sz="4" w:space="0" w:color="7F7F7F"/>
            </w:tcBorders>
            <w:shd w:val="clear" w:color="auto" w:fill="auto"/>
            <w:tcMar>
              <w:top w:w="80" w:type="dxa"/>
              <w:left w:w="80" w:type="dxa"/>
              <w:bottom w:w="80" w:type="dxa"/>
              <w:right w:w="80" w:type="dxa"/>
            </w:tcMar>
            <w:vAlign w:val="center"/>
          </w:tcPr>
          <w:p w14:paraId="4BB6B4D9"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43.6</w:t>
            </w:r>
          </w:p>
        </w:tc>
        <w:tc>
          <w:tcPr>
            <w:tcW w:w="1830" w:type="dxa"/>
            <w:tcBorders>
              <w:top w:val="single" w:sz="4" w:space="0" w:color="7F7F7F"/>
            </w:tcBorders>
            <w:shd w:val="clear" w:color="auto" w:fill="auto"/>
            <w:tcMar>
              <w:top w:w="80" w:type="dxa"/>
              <w:left w:w="80" w:type="dxa"/>
              <w:bottom w:w="80" w:type="dxa"/>
              <w:right w:w="80" w:type="dxa"/>
            </w:tcMar>
            <w:vAlign w:val="center"/>
          </w:tcPr>
          <w:p w14:paraId="3B44BFAD"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56.4</w:t>
            </w:r>
          </w:p>
        </w:tc>
        <w:tc>
          <w:tcPr>
            <w:tcW w:w="1830" w:type="dxa"/>
            <w:tcBorders>
              <w:top w:val="single" w:sz="4" w:space="0" w:color="7F7F7F"/>
            </w:tcBorders>
            <w:shd w:val="clear" w:color="auto" w:fill="auto"/>
            <w:tcMar>
              <w:top w:w="80" w:type="dxa"/>
              <w:left w:w="80" w:type="dxa"/>
              <w:bottom w:w="80" w:type="dxa"/>
              <w:right w:w="80" w:type="dxa"/>
            </w:tcMar>
            <w:vAlign w:val="center"/>
          </w:tcPr>
          <w:p w14:paraId="577A1754" w14:textId="77777777" w:rsidR="00FC4DF2" w:rsidRPr="00FC4DF2" w:rsidRDefault="00FC4DF2" w:rsidP="00D83753">
            <w:pPr>
              <w:autoSpaceDE w:val="0"/>
              <w:autoSpaceDN w:val="0"/>
              <w:adjustRightInd w:val="0"/>
              <w:snapToGrid w:val="0"/>
              <w:spacing w:line="240" w:lineRule="auto"/>
              <w:jc w:val="center"/>
              <w:rPr>
                <w:rFonts w:eastAsia="Times New Roman"/>
                <w:color w:val="auto"/>
                <w:sz w:val="18"/>
                <w:szCs w:val="24"/>
                <w:lang w:eastAsia="en-US"/>
              </w:rPr>
            </w:pPr>
          </w:p>
        </w:tc>
        <w:tc>
          <w:tcPr>
            <w:tcW w:w="1831" w:type="dxa"/>
            <w:tcBorders>
              <w:top w:val="single" w:sz="4" w:space="0" w:color="7F7F7F"/>
            </w:tcBorders>
            <w:shd w:val="clear" w:color="auto" w:fill="auto"/>
            <w:tcMar>
              <w:top w:w="80" w:type="dxa"/>
              <w:left w:w="80" w:type="dxa"/>
              <w:bottom w:w="80" w:type="dxa"/>
              <w:right w:w="80" w:type="dxa"/>
            </w:tcMar>
            <w:vAlign w:val="center"/>
          </w:tcPr>
          <w:p w14:paraId="01DDD64C" w14:textId="77777777" w:rsidR="00FC4DF2" w:rsidRPr="00FC4DF2" w:rsidRDefault="00FC4DF2" w:rsidP="00D83753">
            <w:pPr>
              <w:autoSpaceDE w:val="0"/>
              <w:autoSpaceDN w:val="0"/>
              <w:adjustRightInd w:val="0"/>
              <w:snapToGrid w:val="0"/>
              <w:spacing w:line="240" w:lineRule="auto"/>
              <w:jc w:val="center"/>
              <w:rPr>
                <w:rFonts w:eastAsia="Times New Roman"/>
                <w:color w:val="auto"/>
                <w:sz w:val="18"/>
                <w:szCs w:val="24"/>
                <w:lang w:eastAsia="en-US"/>
              </w:rPr>
            </w:pPr>
          </w:p>
        </w:tc>
      </w:tr>
      <w:tr w:rsidR="00D83753" w:rsidRPr="00FC4DF2" w14:paraId="78822620" w14:textId="77777777" w:rsidTr="00D83753">
        <w:tc>
          <w:tcPr>
            <w:tcW w:w="3144" w:type="dxa"/>
            <w:shd w:val="clear" w:color="auto" w:fill="auto"/>
            <w:tcMar>
              <w:top w:w="80" w:type="dxa"/>
              <w:left w:w="80" w:type="dxa"/>
              <w:bottom w:w="80" w:type="dxa"/>
              <w:right w:w="80" w:type="dxa"/>
            </w:tcMar>
            <w:vAlign w:val="center"/>
          </w:tcPr>
          <w:p w14:paraId="7028CA5C"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Did you try to stop smoking in the last year?</w:t>
            </w:r>
          </w:p>
        </w:tc>
        <w:tc>
          <w:tcPr>
            <w:tcW w:w="1830" w:type="dxa"/>
            <w:shd w:val="clear" w:color="auto" w:fill="auto"/>
            <w:tcMar>
              <w:top w:w="80" w:type="dxa"/>
              <w:left w:w="80" w:type="dxa"/>
              <w:bottom w:w="80" w:type="dxa"/>
              <w:right w:w="80" w:type="dxa"/>
            </w:tcMar>
            <w:vAlign w:val="center"/>
          </w:tcPr>
          <w:p w14:paraId="67E820F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51</w:t>
            </w:r>
          </w:p>
        </w:tc>
        <w:tc>
          <w:tcPr>
            <w:tcW w:w="1830" w:type="dxa"/>
            <w:shd w:val="clear" w:color="auto" w:fill="auto"/>
            <w:tcMar>
              <w:top w:w="80" w:type="dxa"/>
              <w:left w:w="80" w:type="dxa"/>
              <w:bottom w:w="80" w:type="dxa"/>
              <w:right w:w="80" w:type="dxa"/>
            </w:tcMar>
            <w:vAlign w:val="center"/>
          </w:tcPr>
          <w:p w14:paraId="4F463D3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49</w:t>
            </w:r>
          </w:p>
        </w:tc>
        <w:tc>
          <w:tcPr>
            <w:tcW w:w="1830" w:type="dxa"/>
            <w:shd w:val="clear" w:color="auto" w:fill="auto"/>
            <w:tcMar>
              <w:top w:w="80" w:type="dxa"/>
              <w:left w:w="80" w:type="dxa"/>
              <w:bottom w:w="80" w:type="dxa"/>
              <w:right w:w="80" w:type="dxa"/>
            </w:tcMar>
            <w:vAlign w:val="center"/>
          </w:tcPr>
          <w:p w14:paraId="54A810E5" w14:textId="77777777" w:rsidR="00FC4DF2" w:rsidRPr="00FC4DF2" w:rsidRDefault="00FC4DF2" w:rsidP="00D83753">
            <w:pPr>
              <w:autoSpaceDE w:val="0"/>
              <w:autoSpaceDN w:val="0"/>
              <w:adjustRightInd w:val="0"/>
              <w:snapToGrid w:val="0"/>
              <w:spacing w:line="240" w:lineRule="auto"/>
              <w:jc w:val="center"/>
              <w:rPr>
                <w:rFonts w:eastAsia="Times New Roman"/>
                <w:color w:val="auto"/>
                <w:sz w:val="18"/>
                <w:szCs w:val="24"/>
                <w:lang w:eastAsia="en-US"/>
              </w:rPr>
            </w:pPr>
          </w:p>
        </w:tc>
        <w:tc>
          <w:tcPr>
            <w:tcW w:w="1831" w:type="dxa"/>
            <w:shd w:val="clear" w:color="auto" w:fill="auto"/>
            <w:tcMar>
              <w:top w:w="80" w:type="dxa"/>
              <w:left w:w="80" w:type="dxa"/>
              <w:bottom w:w="80" w:type="dxa"/>
              <w:right w:w="80" w:type="dxa"/>
            </w:tcMar>
            <w:vAlign w:val="center"/>
          </w:tcPr>
          <w:p w14:paraId="4E9D02D3" w14:textId="77777777" w:rsidR="00FC4DF2" w:rsidRPr="00FC4DF2" w:rsidRDefault="00FC4DF2" w:rsidP="00D83753">
            <w:pPr>
              <w:autoSpaceDE w:val="0"/>
              <w:autoSpaceDN w:val="0"/>
              <w:adjustRightInd w:val="0"/>
              <w:snapToGrid w:val="0"/>
              <w:spacing w:line="240" w:lineRule="auto"/>
              <w:jc w:val="center"/>
              <w:rPr>
                <w:rFonts w:eastAsia="Times New Roman"/>
                <w:color w:val="auto"/>
                <w:sz w:val="18"/>
                <w:szCs w:val="24"/>
                <w:lang w:eastAsia="en-US"/>
              </w:rPr>
            </w:pPr>
          </w:p>
        </w:tc>
      </w:tr>
      <w:tr w:rsidR="00D83753" w:rsidRPr="00FC4DF2" w14:paraId="0F475496" w14:textId="77777777" w:rsidTr="00D83753">
        <w:tc>
          <w:tcPr>
            <w:tcW w:w="3144" w:type="dxa"/>
            <w:shd w:val="clear" w:color="auto" w:fill="auto"/>
            <w:tcMar>
              <w:top w:w="80" w:type="dxa"/>
              <w:left w:w="80" w:type="dxa"/>
              <w:bottom w:w="80" w:type="dxa"/>
              <w:right w:w="80" w:type="dxa"/>
            </w:tcMar>
            <w:vAlign w:val="center"/>
          </w:tcPr>
          <w:p w14:paraId="33FD92C9" w14:textId="77777777" w:rsidR="00FC4DF2" w:rsidRPr="00AF6894"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AF6894">
              <w:rPr>
                <w:rFonts w:eastAsia="Times New Roman"/>
                <w:sz w:val="18"/>
                <w:lang w:eastAsia="en-US"/>
              </w:rPr>
              <w:t>Do you believe you will be able to stop smoking when you decide?</w:t>
            </w:r>
          </w:p>
        </w:tc>
        <w:tc>
          <w:tcPr>
            <w:tcW w:w="1830" w:type="dxa"/>
            <w:shd w:val="clear" w:color="auto" w:fill="auto"/>
            <w:tcMar>
              <w:top w:w="80" w:type="dxa"/>
              <w:left w:w="80" w:type="dxa"/>
              <w:bottom w:w="80" w:type="dxa"/>
              <w:right w:w="80" w:type="dxa"/>
            </w:tcMar>
            <w:vAlign w:val="center"/>
          </w:tcPr>
          <w:p w14:paraId="21F4F7E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88</w:t>
            </w:r>
          </w:p>
        </w:tc>
        <w:tc>
          <w:tcPr>
            <w:tcW w:w="1830" w:type="dxa"/>
            <w:shd w:val="clear" w:color="auto" w:fill="auto"/>
            <w:tcMar>
              <w:top w:w="80" w:type="dxa"/>
              <w:left w:w="80" w:type="dxa"/>
              <w:bottom w:w="80" w:type="dxa"/>
              <w:right w:w="80" w:type="dxa"/>
            </w:tcMar>
            <w:vAlign w:val="center"/>
          </w:tcPr>
          <w:p w14:paraId="4DD7D67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12</w:t>
            </w:r>
          </w:p>
        </w:tc>
        <w:tc>
          <w:tcPr>
            <w:tcW w:w="1830" w:type="dxa"/>
            <w:shd w:val="clear" w:color="auto" w:fill="auto"/>
            <w:tcMar>
              <w:top w:w="80" w:type="dxa"/>
              <w:left w:w="80" w:type="dxa"/>
              <w:bottom w:w="80" w:type="dxa"/>
              <w:right w:w="80" w:type="dxa"/>
            </w:tcMar>
            <w:vAlign w:val="center"/>
          </w:tcPr>
          <w:p w14:paraId="6C4BD392" w14:textId="77777777" w:rsidR="00FC4DF2" w:rsidRPr="00FC4DF2" w:rsidRDefault="00FC4DF2" w:rsidP="00D83753">
            <w:pPr>
              <w:autoSpaceDE w:val="0"/>
              <w:autoSpaceDN w:val="0"/>
              <w:adjustRightInd w:val="0"/>
              <w:snapToGrid w:val="0"/>
              <w:spacing w:line="240" w:lineRule="auto"/>
              <w:jc w:val="center"/>
              <w:rPr>
                <w:rFonts w:eastAsia="Times New Roman"/>
                <w:color w:val="auto"/>
                <w:sz w:val="18"/>
                <w:szCs w:val="24"/>
                <w:lang w:eastAsia="en-US"/>
              </w:rPr>
            </w:pPr>
          </w:p>
        </w:tc>
        <w:tc>
          <w:tcPr>
            <w:tcW w:w="1831" w:type="dxa"/>
            <w:shd w:val="clear" w:color="auto" w:fill="auto"/>
            <w:tcMar>
              <w:top w:w="80" w:type="dxa"/>
              <w:left w:w="80" w:type="dxa"/>
              <w:bottom w:w="80" w:type="dxa"/>
              <w:right w:w="80" w:type="dxa"/>
            </w:tcMar>
            <w:vAlign w:val="center"/>
          </w:tcPr>
          <w:p w14:paraId="34006C4B" w14:textId="77777777" w:rsidR="00FC4DF2" w:rsidRPr="00FC4DF2" w:rsidRDefault="00FC4DF2" w:rsidP="00D83753">
            <w:pPr>
              <w:autoSpaceDE w:val="0"/>
              <w:autoSpaceDN w:val="0"/>
              <w:adjustRightInd w:val="0"/>
              <w:snapToGrid w:val="0"/>
              <w:spacing w:line="240" w:lineRule="auto"/>
              <w:jc w:val="center"/>
              <w:rPr>
                <w:rFonts w:eastAsia="Times New Roman"/>
                <w:color w:val="auto"/>
                <w:sz w:val="18"/>
                <w:szCs w:val="24"/>
                <w:lang w:eastAsia="en-US"/>
              </w:rPr>
            </w:pPr>
          </w:p>
        </w:tc>
      </w:tr>
      <w:tr w:rsidR="0035376B" w:rsidRPr="00D83753" w14:paraId="6D59087B" w14:textId="77777777" w:rsidTr="00D83753">
        <w:tc>
          <w:tcPr>
            <w:tcW w:w="3144" w:type="dxa"/>
            <w:shd w:val="clear" w:color="auto" w:fill="DBE5F1"/>
            <w:tcMar>
              <w:top w:w="80" w:type="dxa"/>
              <w:left w:w="80" w:type="dxa"/>
              <w:bottom w:w="80" w:type="dxa"/>
              <w:right w:w="80" w:type="dxa"/>
            </w:tcMar>
            <w:vAlign w:val="center"/>
          </w:tcPr>
          <w:p w14:paraId="3E84C21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The reason why would someone like to stop smoking</w:t>
            </w:r>
          </w:p>
        </w:tc>
        <w:tc>
          <w:tcPr>
            <w:tcW w:w="1830" w:type="dxa"/>
            <w:shd w:val="clear" w:color="auto" w:fill="DBE5F1"/>
            <w:tcMar>
              <w:top w:w="80" w:type="dxa"/>
              <w:left w:w="80" w:type="dxa"/>
              <w:bottom w:w="80" w:type="dxa"/>
              <w:right w:w="80" w:type="dxa"/>
            </w:tcMar>
            <w:vAlign w:val="center"/>
          </w:tcPr>
          <w:p w14:paraId="06164CF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Health %</w:t>
            </w:r>
          </w:p>
        </w:tc>
        <w:tc>
          <w:tcPr>
            <w:tcW w:w="1830" w:type="dxa"/>
            <w:shd w:val="clear" w:color="auto" w:fill="DBE5F1"/>
            <w:tcMar>
              <w:top w:w="80" w:type="dxa"/>
              <w:left w:w="80" w:type="dxa"/>
              <w:bottom w:w="80" w:type="dxa"/>
              <w:right w:w="80" w:type="dxa"/>
            </w:tcMar>
            <w:vAlign w:val="center"/>
          </w:tcPr>
          <w:p w14:paraId="20934F16"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Finances %</w:t>
            </w:r>
          </w:p>
        </w:tc>
        <w:tc>
          <w:tcPr>
            <w:tcW w:w="1830" w:type="dxa"/>
            <w:shd w:val="clear" w:color="auto" w:fill="DBE5F1"/>
            <w:tcMar>
              <w:top w:w="80" w:type="dxa"/>
              <w:left w:w="80" w:type="dxa"/>
              <w:bottom w:w="80" w:type="dxa"/>
              <w:right w:w="80" w:type="dxa"/>
            </w:tcMar>
            <w:vAlign w:val="center"/>
          </w:tcPr>
          <w:p w14:paraId="4E4DD10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Friends do not like it %</w:t>
            </w:r>
          </w:p>
        </w:tc>
        <w:tc>
          <w:tcPr>
            <w:tcW w:w="1831" w:type="dxa"/>
            <w:shd w:val="clear" w:color="auto" w:fill="DBE5F1"/>
            <w:tcMar>
              <w:top w:w="80" w:type="dxa"/>
              <w:left w:w="80" w:type="dxa"/>
              <w:bottom w:w="80" w:type="dxa"/>
              <w:right w:w="80" w:type="dxa"/>
            </w:tcMar>
            <w:vAlign w:val="center"/>
          </w:tcPr>
          <w:p w14:paraId="1A59428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Family does not like it %</w:t>
            </w:r>
          </w:p>
        </w:tc>
      </w:tr>
      <w:tr w:rsidR="00D83753" w:rsidRPr="00FC4DF2" w14:paraId="23437F69" w14:textId="77777777" w:rsidTr="00D83753">
        <w:tc>
          <w:tcPr>
            <w:tcW w:w="3144" w:type="dxa"/>
            <w:shd w:val="clear" w:color="auto" w:fill="auto"/>
            <w:tcMar>
              <w:top w:w="80" w:type="dxa"/>
              <w:left w:w="80" w:type="dxa"/>
              <w:bottom w:w="80" w:type="dxa"/>
              <w:right w:w="80" w:type="dxa"/>
            </w:tcMar>
            <w:vAlign w:val="center"/>
          </w:tcPr>
          <w:p w14:paraId="0BA74AAD" w14:textId="77777777" w:rsidR="00FC4DF2" w:rsidRPr="00FC4DF2" w:rsidRDefault="00FC4DF2" w:rsidP="00D83753">
            <w:pPr>
              <w:autoSpaceDE w:val="0"/>
              <w:autoSpaceDN w:val="0"/>
              <w:adjustRightInd w:val="0"/>
              <w:snapToGrid w:val="0"/>
              <w:spacing w:line="240" w:lineRule="auto"/>
              <w:jc w:val="center"/>
              <w:rPr>
                <w:rFonts w:eastAsia="Times New Roman"/>
                <w:color w:val="auto"/>
                <w:sz w:val="18"/>
                <w:szCs w:val="24"/>
                <w:lang w:eastAsia="en-US"/>
              </w:rPr>
            </w:pPr>
          </w:p>
        </w:tc>
        <w:tc>
          <w:tcPr>
            <w:tcW w:w="1830" w:type="dxa"/>
            <w:shd w:val="clear" w:color="auto" w:fill="auto"/>
            <w:tcMar>
              <w:top w:w="80" w:type="dxa"/>
              <w:left w:w="80" w:type="dxa"/>
              <w:bottom w:w="80" w:type="dxa"/>
              <w:right w:w="80" w:type="dxa"/>
            </w:tcMar>
            <w:vAlign w:val="center"/>
          </w:tcPr>
          <w:p w14:paraId="2BE8893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50.0</w:t>
            </w:r>
          </w:p>
        </w:tc>
        <w:tc>
          <w:tcPr>
            <w:tcW w:w="1830" w:type="dxa"/>
            <w:shd w:val="clear" w:color="auto" w:fill="auto"/>
            <w:tcMar>
              <w:top w:w="80" w:type="dxa"/>
              <w:left w:w="80" w:type="dxa"/>
              <w:bottom w:w="80" w:type="dxa"/>
              <w:right w:w="80" w:type="dxa"/>
            </w:tcMar>
            <w:vAlign w:val="center"/>
          </w:tcPr>
          <w:p w14:paraId="12E4EFEE"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18.8</w:t>
            </w:r>
          </w:p>
        </w:tc>
        <w:tc>
          <w:tcPr>
            <w:tcW w:w="1830" w:type="dxa"/>
            <w:shd w:val="clear" w:color="auto" w:fill="auto"/>
            <w:tcMar>
              <w:top w:w="80" w:type="dxa"/>
              <w:left w:w="80" w:type="dxa"/>
              <w:bottom w:w="80" w:type="dxa"/>
              <w:right w:w="80" w:type="dxa"/>
            </w:tcMar>
            <w:vAlign w:val="center"/>
          </w:tcPr>
          <w:p w14:paraId="73D534F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0.5</w:t>
            </w:r>
          </w:p>
        </w:tc>
        <w:tc>
          <w:tcPr>
            <w:tcW w:w="1831" w:type="dxa"/>
            <w:shd w:val="clear" w:color="auto" w:fill="auto"/>
            <w:tcMar>
              <w:top w:w="80" w:type="dxa"/>
              <w:left w:w="80" w:type="dxa"/>
              <w:bottom w:w="80" w:type="dxa"/>
              <w:right w:w="80" w:type="dxa"/>
            </w:tcMar>
            <w:vAlign w:val="center"/>
          </w:tcPr>
          <w:p w14:paraId="555E71E0"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30.7</w:t>
            </w:r>
          </w:p>
        </w:tc>
      </w:tr>
      <w:tr w:rsidR="0035376B" w:rsidRPr="00D83753" w14:paraId="2AE0031C" w14:textId="77777777" w:rsidTr="00D83753">
        <w:tc>
          <w:tcPr>
            <w:tcW w:w="3144" w:type="dxa"/>
            <w:shd w:val="clear" w:color="auto" w:fill="DBE5F1"/>
            <w:tcMar>
              <w:top w:w="80" w:type="dxa"/>
              <w:left w:w="80" w:type="dxa"/>
              <w:bottom w:w="80" w:type="dxa"/>
              <w:right w:w="80" w:type="dxa"/>
            </w:tcMar>
            <w:vAlign w:val="center"/>
          </w:tcPr>
          <w:p w14:paraId="6F7B9B3C"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Did you receive any help in smoking cessation?</w:t>
            </w:r>
          </w:p>
        </w:tc>
        <w:tc>
          <w:tcPr>
            <w:tcW w:w="1830" w:type="dxa"/>
            <w:shd w:val="clear" w:color="auto" w:fill="DBE5F1"/>
            <w:tcMar>
              <w:top w:w="80" w:type="dxa"/>
              <w:left w:w="80" w:type="dxa"/>
              <w:bottom w:w="80" w:type="dxa"/>
              <w:right w:w="80" w:type="dxa"/>
            </w:tcMar>
            <w:vAlign w:val="center"/>
          </w:tcPr>
          <w:p w14:paraId="73FF408F"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Yes, from a health professional (%)</w:t>
            </w:r>
          </w:p>
        </w:tc>
        <w:tc>
          <w:tcPr>
            <w:tcW w:w="1830" w:type="dxa"/>
            <w:shd w:val="clear" w:color="auto" w:fill="DBE5F1"/>
            <w:tcMar>
              <w:top w:w="80" w:type="dxa"/>
              <w:left w:w="80" w:type="dxa"/>
              <w:bottom w:w="80" w:type="dxa"/>
              <w:right w:w="80" w:type="dxa"/>
            </w:tcMar>
            <w:vAlign w:val="center"/>
          </w:tcPr>
          <w:p w14:paraId="225CA03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Yes, from a friend or family member (%)</w:t>
            </w:r>
          </w:p>
        </w:tc>
        <w:tc>
          <w:tcPr>
            <w:tcW w:w="1830" w:type="dxa"/>
            <w:shd w:val="clear" w:color="auto" w:fill="DBE5F1"/>
            <w:tcMar>
              <w:top w:w="80" w:type="dxa"/>
              <w:left w:w="80" w:type="dxa"/>
              <w:bottom w:w="80" w:type="dxa"/>
              <w:right w:w="80" w:type="dxa"/>
            </w:tcMar>
            <w:vAlign w:val="center"/>
          </w:tcPr>
          <w:p w14:paraId="567B37F8"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Someone else (%)</w:t>
            </w:r>
          </w:p>
        </w:tc>
        <w:tc>
          <w:tcPr>
            <w:tcW w:w="1831" w:type="dxa"/>
            <w:shd w:val="clear" w:color="auto" w:fill="DBE5F1"/>
            <w:tcMar>
              <w:top w:w="80" w:type="dxa"/>
              <w:left w:w="80" w:type="dxa"/>
              <w:bottom w:w="80" w:type="dxa"/>
              <w:right w:w="80" w:type="dxa"/>
            </w:tcMar>
            <w:vAlign w:val="center"/>
          </w:tcPr>
          <w:p w14:paraId="501F04B4"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b/>
                <w:sz w:val="18"/>
                <w:lang w:eastAsia="en-US"/>
              </w:rPr>
            </w:pPr>
            <w:r w:rsidRPr="00FC4DF2">
              <w:rPr>
                <w:rFonts w:eastAsia="Times New Roman"/>
                <w:b/>
                <w:sz w:val="18"/>
                <w:lang w:eastAsia="en-US"/>
              </w:rPr>
              <w:t>No</w:t>
            </w:r>
          </w:p>
          <w:p w14:paraId="51043E8A"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b/>
                <w:sz w:val="18"/>
                <w:lang w:eastAsia="en-US"/>
              </w:rPr>
              <w:t>(%)</w:t>
            </w:r>
          </w:p>
        </w:tc>
      </w:tr>
      <w:tr w:rsidR="00D83753" w:rsidRPr="00FC4DF2" w14:paraId="5EAADF2A" w14:textId="77777777" w:rsidTr="00D83753">
        <w:tc>
          <w:tcPr>
            <w:tcW w:w="3144" w:type="dxa"/>
            <w:shd w:val="clear" w:color="auto" w:fill="auto"/>
            <w:tcMar>
              <w:top w:w="80" w:type="dxa"/>
              <w:left w:w="80" w:type="dxa"/>
              <w:bottom w:w="80" w:type="dxa"/>
              <w:right w:w="80" w:type="dxa"/>
            </w:tcMar>
            <w:vAlign w:val="center"/>
          </w:tcPr>
          <w:p w14:paraId="6EE40DE1" w14:textId="77777777" w:rsidR="00FC4DF2" w:rsidRPr="00FC4DF2" w:rsidRDefault="00FC4DF2" w:rsidP="00D83753">
            <w:pPr>
              <w:autoSpaceDE w:val="0"/>
              <w:autoSpaceDN w:val="0"/>
              <w:adjustRightInd w:val="0"/>
              <w:snapToGrid w:val="0"/>
              <w:spacing w:line="240" w:lineRule="auto"/>
              <w:jc w:val="center"/>
              <w:rPr>
                <w:rFonts w:eastAsia="Times New Roman"/>
                <w:color w:val="auto"/>
                <w:sz w:val="18"/>
                <w:szCs w:val="24"/>
                <w:lang w:eastAsia="en-US"/>
              </w:rPr>
            </w:pPr>
          </w:p>
        </w:tc>
        <w:tc>
          <w:tcPr>
            <w:tcW w:w="1830" w:type="dxa"/>
            <w:shd w:val="clear" w:color="auto" w:fill="auto"/>
            <w:tcMar>
              <w:top w:w="80" w:type="dxa"/>
              <w:left w:w="80" w:type="dxa"/>
              <w:bottom w:w="80" w:type="dxa"/>
              <w:right w:w="80" w:type="dxa"/>
            </w:tcMar>
            <w:vAlign w:val="center"/>
          </w:tcPr>
          <w:p w14:paraId="3DF5603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2.5</w:t>
            </w:r>
          </w:p>
        </w:tc>
        <w:tc>
          <w:tcPr>
            <w:tcW w:w="1830" w:type="dxa"/>
            <w:shd w:val="clear" w:color="auto" w:fill="auto"/>
            <w:tcMar>
              <w:top w:w="80" w:type="dxa"/>
              <w:left w:w="80" w:type="dxa"/>
              <w:bottom w:w="80" w:type="dxa"/>
              <w:right w:w="80" w:type="dxa"/>
            </w:tcMar>
            <w:vAlign w:val="center"/>
          </w:tcPr>
          <w:p w14:paraId="09799C11"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33.1</w:t>
            </w:r>
          </w:p>
        </w:tc>
        <w:tc>
          <w:tcPr>
            <w:tcW w:w="1830" w:type="dxa"/>
            <w:shd w:val="clear" w:color="auto" w:fill="auto"/>
            <w:tcMar>
              <w:top w:w="80" w:type="dxa"/>
              <w:left w:w="80" w:type="dxa"/>
              <w:bottom w:w="80" w:type="dxa"/>
              <w:right w:w="80" w:type="dxa"/>
            </w:tcMar>
            <w:vAlign w:val="center"/>
          </w:tcPr>
          <w:p w14:paraId="1964E97B"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5.3</w:t>
            </w:r>
          </w:p>
        </w:tc>
        <w:tc>
          <w:tcPr>
            <w:tcW w:w="1831" w:type="dxa"/>
            <w:shd w:val="clear" w:color="auto" w:fill="auto"/>
            <w:tcMar>
              <w:top w:w="80" w:type="dxa"/>
              <w:left w:w="80" w:type="dxa"/>
              <w:bottom w:w="80" w:type="dxa"/>
              <w:right w:w="80" w:type="dxa"/>
            </w:tcMar>
            <w:vAlign w:val="center"/>
          </w:tcPr>
          <w:p w14:paraId="4F5DDB17" w14:textId="77777777" w:rsidR="00FC4DF2" w:rsidRPr="00FC4DF2" w:rsidRDefault="00FC4DF2" w:rsidP="00D83753">
            <w:pPr>
              <w:pBdr>
                <w:top w:val="nil"/>
                <w:left w:val="nil"/>
                <w:bottom w:val="nil"/>
                <w:right w:val="nil"/>
                <w:between w:val="nil"/>
              </w:pBdr>
              <w:autoSpaceDE w:val="0"/>
              <w:autoSpaceDN w:val="0"/>
              <w:adjustRightInd w:val="0"/>
              <w:snapToGrid w:val="0"/>
              <w:spacing w:line="240" w:lineRule="auto"/>
              <w:jc w:val="center"/>
              <w:rPr>
                <w:rFonts w:eastAsia="Times New Roman"/>
                <w:sz w:val="18"/>
                <w:szCs w:val="24"/>
                <w:lang w:eastAsia="en-US"/>
              </w:rPr>
            </w:pPr>
            <w:r w:rsidRPr="00FC4DF2">
              <w:rPr>
                <w:rFonts w:eastAsia="Times New Roman"/>
                <w:sz w:val="18"/>
                <w:lang w:eastAsia="en-US"/>
              </w:rPr>
              <w:t>59.1</w:t>
            </w:r>
          </w:p>
        </w:tc>
      </w:tr>
    </w:tbl>
    <w:p w14:paraId="373C7E63" w14:textId="6654E7FD" w:rsidR="00FC4DF2" w:rsidRDefault="0035376B" w:rsidP="008F06B8">
      <w:pPr>
        <w:pStyle w:val="MDPI31text"/>
      </w:pPr>
      <w:r w:rsidRPr="0035376B">
        <w:t xml:space="preserve">We used multivariable logistic regression to examine associated factors that could impact cigarette smoking. The model contained nine independent variables, and among </w:t>
      </w:r>
      <w:r w:rsidRPr="0035376B">
        <w:lastRenderedPageBreak/>
        <w:t>them, six predictors were statistically significant on single factor logistic regression, and five independent variables were statistically significant in multivariable logistic regression (Table 6). The multivariable logistic regression analysis showed that variables such</w:t>
      </w:r>
      <w:r w:rsidR="00254765">
        <w:t xml:space="preserve"> as the study of medicine, available money</w:t>
      </w:r>
      <w:r w:rsidRPr="0035376B">
        <w:t>, sec</w:t>
      </w:r>
      <w:r w:rsidR="00254765">
        <w:t>ondhand smoke at home</w:t>
      </w:r>
      <w:r w:rsidRPr="0035376B">
        <w:t>, second</w:t>
      </w:r>
      <w:r w:rsidR="00254765">
        <w:t>hand smoke at faculty</w:t>
      </w:r>
      <w:r w:rsidRPr="0035376B">
        <w:t>, and secondhand s</w:t>
      </w:r>
      <w:r w:rsidR="00254765">
        <w:t>moke at public spaces</w:t>
      </w:r>
      <w:r w:rsidRPr="0035376B">
        <w:t xml:space="preserve"> can determine whether students smoke or not. The variable ‘</w:t>
      </w:r>
      <w:r w:rsidR="00254765">
        <w:t>medical faculty students’</w:t>
      </w:r>
      <w:r w:rsidRPr="0035376B">
        <w:t xml:space="preserve"> means that: medical students were 27.2% less likely to smoke than students from other faculties. The variable ‘</w:t>
      </w:r>
      <w:r w:rsidR="00254765">
        <w:t>more money available’</w:t>
      </w:r>
      <w:r w:rsidRPr="0035376B">
        <w:t xml:space="preserve"> means that if the students had sufficient income, the possibility of smo</w:t>
      </w:r>
      <w:r w:rsidR="00AC0B32">
        <w:t>king increased by 12.4% (Table 6</w:t>
      </w:r>
      <w:r w:rsidRPr="0035376B">
        <w:t xml:space="preserve">). </w:t>
      </w:r>
    </w:p>
    <w:p w14:paraId="64A983D5" w14:textId="77777777" w:rsidR="00AC0B32" w:rsidRDefault="00AC0B32" w:rsidP="008F06B8">
      <w:pPr>
        <w:pStyle w:val="MDPI31text"/>
      </w:pPr>
    </w:p>
    <w:p w14:paraId="47D3DECD" w14:textId="1DBDC91C" w:rsidR="0035376B" w:rsidRDefault="00AC0B32" w:rsidP="008F06B8">
      <w:pPr>
        <w:pStyle w:val="MDPI31text"/>
      </w:pPr>
      <w:r w:rsidRPr="00ED3695">
        <w:rPr>
          <w:b/>
          <w:color w:val="FF0000"/>
        </w:rPr>
        <w:t>Table 6</w:t>
      </w:r>
      <w:r w:rsidRPr="00ED3695">
        <w:rPr>
          <w:color w:val="FF0000"/>
        </w:rPr>
        <w:t>. L</w:t>
      </w:r>
      <w:r w:rsidR="0035376B" w:rsidRPr="00ED3695">
        <w:rPr>
          <w:color w:val="FF0000"/>
        </w:rPr>
        <w:t xml:space="preserve">ogistic regression </w:t>
      </w:r>
      <w:r w:rsidRPr="00ED3695">
        <w:rPr>
          <w:color w:val="FF0000"/>
        </w:rPr>
        <w:t>analyses</w:t>
      </w:r>
      <w:r w:rsidR="0035376B" w:rsidRPr="00ED3695">
        <w:rPr>
          <w:color w:val="FF0000"/>
        </w:rPr>
        <w:t xml:space="preserve"> </w:t>
      </w:r>
    </w:p>
    <w:tbl>
      <w:tblPr>
        <w:tblW w:w="9090" w:type="dxa"/>
        <w:tblInd w:w="1350"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3510"/>
        <w:gridCol w:w="990"/>
        <w:gridCol w:w="1710"/>
        <w:gridCol w:w="990"/>
        <w:gridCol w:w="1890"/>
      </w:tblGrid>
      <w:tr w:rsidR="00AC0B32" w:rsidRPr="00AC0B32" w14:paraId="5AD535BF" w14:textId="77777777" w:rsidTr="00CB5799">
        <w:tc>
          <w:tcPr>
            <w:tcW w:w="3510" w:type="dxa"/>
            <w:vMerge w:val="restart"/>
            <w:shd w:val="clear" w:color="auto" w:fill="DBE5F1"/>
            <w:tcMar>
              <w:top w:w="15" w:type="dxa"/>
              <w:left w:w="108" w:type="dxa"/>
              <w:bottom w:w="0" w:type="dxa"/>
              <w:right w:w="108" w:type="dxa"/>
            </w:tcMar>
          </w:tcPr>
          <w:p w14:paraId="7B908055" w14:textId="77777777" w:rsidR="00AC0B32" w:rsidRPr="00AC0B32" w:rsidRDefault="00AC0B32" w:rsidP="00364817">
            <w:pPr>
              <w:rPr>
                <w:b/>
              </w:rPr>
            </w:pPr>
            <w:r w:rsidRPr="00AC0B32">
              <w:rPr>
                <w:b/>
              </w:rPr>
              <w:t>Variables</w:t>
            </w:r>
          </w:p>
          <w:p w14:paraId="71983775" w14:textId="77777777" w:rsidR="00AC0B32" w:rsidRPr="00AC0B32" w:rsidRDefault="00AC0B32" w:rsidP="00364817">
            <w:pPr>
              <w:rPr>
                <w:b/>
              </w:rPr>
            </w:pPr>
          </w:p>
        </w:tc>
        <w:tc>
          <w:tcPr>
            <w:tcW w:w="2700" w:type="dxa"/>
            <w:gridSpan w:val="2"/>
            <w:shd w:val="clear" w:color="auto" w:fill="DBE5F1"/>
            <w:tcMar>
              <w:top w:w="15" w:type="dxa"/>
              <w:left w:w="108" w:type="dxa"/>
              <w:bottom w:w="0" w:type="dxa"/>
              <w:right w:w="108" w:type="dxa"/>
            </w:tcMar>
          </w:tcPr>
          <w:p w14:paraId="779489FF" w14:textId="77777777" w:rsidR="00AC0B32" w:rsidRPr="00AC0B32" w:rsidRDefault="00AC0B32" w:rsidP="00CB5799">
            <w:pPr>
              <w:ind w:left="432" w:right="-108"/>
              <w:rPr>
                <w:b/>
              </w:rPr>
            </w:pPr>
            <w:proofErr w:type="spellStart"/>
            <w:r w:rsidRPr="00AC0B32">
              <w:rPr>
                <w:b/>
              </w:rPr>
              <w:t>Univariable</w:t>
            </w:r>
            <w:proofErr w:type="spellEnd"/>
          </w:p>
        </w:tc>
        <w:tc>
          <w:tcPr>
            <w:tcW w:w="2880" w:type="dxa"/>
            <w:gridSpan w:val="2"/>
            <w:shd w:val="clear" w:color="auto" w:fill="DBE5F1"/>
          </w:tcPr>
          <w:p w14:paraId="187EFDA4" w14:textId="77777777" w:rsidR="00AC0B32" w:rsidRPr="00AC0B32" w:rsidRDefault="00AC0B32" w:rsidP="00CB5799">
            <w:pPr>
              <w:ind w:left="450"/>
              <w:rPr>
                <w:b/>
              </w:rPr>
            </w:pPr>
            <w:r w:rsidRPr="00AC0B32">
              <w:rPr>
                <w:b/>
              </w:rPr>
              <w:t>Multivariable</w:t>
            </w:r>
          </w:p>
        </w:tc>
      </w:tr>
      <w:tr w:rsidR="00CB5799" w:rsidRPr="00D83753" w14:paraId="6B1F2559" w14:textId="77777777" w:rsidTr="00CB5799">
        <w:tc>
          <w:tcPr>
            <w:tcW w:w="3510" w:type="dxa"/>
            <w:vMerge/>
            <w:tcBorders>
              <w:bottom w:val="single" w:sz="4" w:space="0" w:color="auto"/>
            </w:tcBorders>
            <w:shd w:val="clear" w:color="auto" w:fill="DBE5F1"/>
            <w:tcMar>
              <w:top w:w="15" w:type="dxa"/>
              <w:left w:w="108" w:type="dxa"/>
              <w:bottom w:w="0" w:type="dxa"/>
              <w:right w:w="108" w:type="dxa"/>
            </w:tcMar>
          </w:tcPr>
          <w:p w14:paraId="407BD0EE" w14:textId="77777777" w:rsidR="00AC0B32" w:rsidRPr="0035376B" w:rsidRDefault="00AC0B32" w:rsidP="00364817">
            <w:pPr>
              <w:autoSpaceDE w:val="0"/>
              <w:autoSpaceDN w:val="0"/>
              <w:adjustRightInd w:val="0"/>
              <w:snapToGrid w:val="0"/>
              <w:spacing w:line="240" w:lineRule="auto"/>
              <w:jc w:val="center"/>
              <w:rPr>
                <w:rFonts w:eastAsia="Times New Roman"/>
                <w:b/>
                <w:color w:val="auto"/>
                <w:sz w:val="18"/>
                <w:lang w:eastAsia="en-US"/>
              </w:rPr>
            </w:pPr>
          </w:p>
        </w:tc>
        <w:tc>
          <w:tcPr>
            <w:tcW w:w="990" w:type="dxa"/>
            <w:tcBorders>
              <w:bottom w:val="single" w:sz="4" w:space="0" w:color="auto"/>
            </w:tcBorders>
            <w:shd w:val="clear" w:color="auto" w:fill="DBE5F1"/>
            <w:tcMar>
              <w:top w:w="15" w:type="dxa"/>
              <w:left w:w="108" w:type="dxa"/>
              <w:bottom w:w="0" w:type="dxa"/>
              <w:right w:w="108" w:type="dxa"/>
            </w:tcMar>
          </w:tcPr>
          <w:p w14:paraId="690B0D8E" w14:textId="77777777" w:rsidR="00AC0B32" w:rsidRPr="00AC0B32" w:rsidRDefault="00AC0B32" w:rsidP="00364817">
            <w:pPr>
              <w:autoSpaceDE w:val="0"/>
              <w:autoSpaceDN w:val="0"/>
              <w:adjustRightInd w:val="0"/>
              <w:snapToGrid w:val="0"/>
              <w:spacing w:line="240" w:lineRule="auto"/>
              <w:jc w:val="center"/>
              <w:rPr>
                <w:rFonts w:eastAsia="Times New Roman"/>
                <w:b/>
                <w:color w:val="auto"/>
                <w:sz w:val="18"/>
                <w:lang w:eastAsia="en-US"/>
              </w:rPr>
            </w:pPr>
            <w:r w:rsidRPr="00AC0B32">
              <w:rPr>
                <w:b/>
              </w:rPr>
              <w:t>P-value</w:t>
            </w:r>
          </w:p>
        </w:tc>
        <w:tc>
          <w:tcPr>
            <w:tcW w:w="1710" w:type="dxa"/>
            <w:tcBorders>
              <w:bottom w:val="single" w:sz="4" w:space="0" w:color="auto"/>
            </w:tcBorders>
            <w:shd w:val="clear" w:color="auto" w:fill="DBE5F1"/>
          </w:tcPr>
          <w:p w14:paraId="6813EB48" w14:textId="77777777" w:rsidR="00AC0B32" w:rsidRPr="00AC0B32" w:rsidRDefault="00AC0B32" w:rsidP="00364817">
            <w:pPr>
              <w:autoSpaceDE w:val="0"/>
              <w:autoSpaceDN w:val="0"/>
              <w:adjustRightInd w:val="0"/>
              <w:snapToGrid w:val="0"/>
              <w:spacing w:line="240" w:lineRule="auto"/>
              <w:jc w:val="center"/>
              <w:rPr>
                <w:rFonts w:eastAsia="Times New Roman"/>
                <w:b/>
                <w:color w:val="auto"/>
                <w:sz w:val="18"/>
                <w:lang w:eastAsia="en-US"/>
              </w:rPr>
            </w:pPr>
            <w:r w:rsidRPr="00AC0B32">
              <w:rPr>
                <w:b/>
              </w:rPr>
              <w:t>OR (95% CI)</w:t>
            </w:r>
          </w:p>
        </w:tc>
        <w:tc>
          <w:tcPr>
            <w:tcW w:w="990" w:type="dxa"/>
            <w:tcBorders>
              <w:bottom w:val="single" w:sz="4" w:space="0" w:color="auto"/>
            </w:tcBorders>
            <w:shd w:val="clear" w:color="auto" w:fill="DBE5F1"/>
            <w:vAlign w:val="center"/>
          </w:tcPr>
          <w:p w14:paraId="5F361C2B" w14:textId="77777777" w:rsidR="00AC0B32" w:rsidRPr="00F67BCE" w:rsidRDefault="00AC0B32" w:rsidP="00364817">
            <w:pPr>
              <w:autoSpaceDE w:val="0"/>
              <w:autoSpaceDN w:val="0"/>
              <w:adjustRightInd w:val="0"/>
              <w:snapToGrid w:val="0"/>
              <w:spacing w:line="240" w:lineRule="auto"/>
              <w:jc w:val="center"/>
              <w:rPr>
                <w:rFonts w:eastAsia="Times New Roman"/>
                <w:b/>
                <w:color w:val="auto"/>
                <w:sz w:val="18"/>
                <w:lang w:eastAsia="en-US"/>
              </w:rPr>
            </w:pPr>
            <w:r w:rsidRPr="00F67BCE">
              <w:rPr>
                <w:rFonts w:eastAsia="Times New Roman"/>
                <w:b/>
                <w:color w:val="auto"/>
                <w:sz w:val="18"/>
                <w:lang w:eastAsia="en-US"/>
              </w:rPr>
              <w:t>P-value</w:t>
            </w:r>
          </w:p>
        </w:tc>
        <w:tc>
          <w:tcPr>
            <w:tcW w:w="1890" w:type="dxa"/>
            <w:tcBorders>
              <w:bottom w:val="single" w:sz="4" w:space="0" w:color="auto"/>
            </w:tcBorders>
            <w:shd w:val="clear" w:color="auto" w:fill="DBE5F1"/>
            <w:vAlign w:val="center"/>
          </w:tcPr>
          <w:p w14:paraId="39E396DB" w14:textId="77777777" w:rsidR="00AC0B32" w:rsidRPr="00F67BCE" w:rsidRDefault="00AC0B32" w:rsidP="00364817">
            <w:pPr>
              <w:autoSpaceDE w:val="0"/>
              <w:autoSpaceDN w:val="0"/>
              <w:adjustRightInd w:val="0"/>
              <w:snapToGrid w:val="0"/>
              <w:spacing w:line="240" w:lineRule="auto"/>
              <w:jc w:val="center"/>
              <w:rPr>
                <w:rFonts w:eastAsia="Times New Roman"/>
                <w:b/>
                <w:color w:val="auto"/>
                <w:sz w:val="18"/>
                <w:lang w:eastAsia="en-US"/>
              </w:rPr>
            </w:pPr>
            <w:r w:rsidRPr="00F67BCE">
              <w:rPr>
                <w:rFonts w:eastAsia="Times New Roman"/>
                <w:b/>
                <w:color w:val="auto"/>
                <w:sz w:val="18"/>
                <w:lang w:eastAsia="en-US"/>
              </w:rPr>
              <w:t>OR (95% CI)</w:t>
            </w:r>
          </w:p>
        </w:tc>
      </w:tr>
      <w:tr w:rsidR="00CB5799" w:rsidRPr="00D83753" w14:paraId="47214ABD" w14:textId="77777777" w:rsidTr="00CB5799">
        <w:tc>
          <w:tcPr>
            <w:tcW w:w="3510" w:type="dxa"/>
            <w:tcBorders>
              <w:bottom w:val="nil"/>
            </w:tcBorders>
            <w:shd w:val="clear" w:color="auto" w:fill="FFFFFF"/>
            <w:tcMar>
              <w:top w:w="15" w:type="dxa"/>
              <w:left w:w="108" w:type="dxa"/>
              <w:bottom w:w="0" w:type="dxa"/>
              <w:right w:w="108" w:type="dxa"/>
            </w:tcMar>
          </w:tcPr>
          <w:p w14:paraId="24E8C6B6" w14:textId="77777777" w:rsidR="00AC0B32" w:rsidRPr="00ED3695" w:rsidRDefault="00AC0B32" w:rsidP="00364817">
            <w:pPr>
              <w:rPr>
                <w:color w:val="FF0000"/>
              </w:rPr>
            </w:pPr>
            <w:r w:rsidRPr="00ED3695">
              <w:rPr>
                <w:color w:val="FF0000"/>
              </w:rPr>
              <w:t>Gender</w:t>
            </w:r>
          </w:p>
        </w:tc>
        <w:tc>
          <w:tcPr>
            <w:tcW w:w="990" w:type="dxa"/>
            <w:tcBorders>
              <w:bottom w:val="nil"/>
            </w:tcBorders>
            <w:shd w:val="clear" w:color="auto" w:fill="FFFFFF"/>
            <w:tcMar>
              <w:top w:w="15" w:type="dxa"/>
              <w:left w:w="108" w:type="dxa"/>
              <w:bottom w:w="0" w:type="dxa"/>
              <w:right w:w="108" w:type="dxa"/>
            </w:tcMar>
          </w:tcPr>
          <w:p w14:paraId="111C05DE" w14:textId="77777777" w:rsidR="00AC0B32" w:rsidRPr="00ED3695" w:rsidRDefault="00AC0B32" w:rsidP="00CB5799">
            <w:pPr>
              <w:jc w:val="center"/>
              <w:rPr>
                <w:color w:val="FF0000"/>
              </w:rPr>
            </w:pPr>
            <w:r w:rsidRPr="00ED3695">
              <w:rPr>
                <w:color w:val="FF0000"/>
              </w:rPr>
              <w:t>0.777</w:t>
            </w:r>
          </w:p>
        </w:tc>
        <w:tc>
          <w:tcPr>
            <w:tcW w:w="1710" w:type="dxa"/>
            <w:tcBorders>
              <w:bottom w:val="nil"/>
            </w:tcBorders>
            <w:shd w:val="clear" w:color="auto" w:fill="FFFFFF"/>
          </w:tcPr>
          <w:p w14:paraId="7B19CFA4" w14:textId="77777777" w:rsidR="00AC0B32" w:rsidRPr="00ED3695" w:rsidRDefault="00AC0B32" w:rsidP="00CB5799">
            <w:pPr>
              <w:jc w:val="center"/>
              <w:rPr>
                <w:color w:val="FF0000"/>
              </w:rPr>
            </w:pPr>
            <w:r w:rsidRPr="00ED3695">
              <w:rPr>
                <w:color w:val="FF0000"/>
              </w:rPr>
              <w:t>0.964 (0.746-1.245)</w:t>
            </w:r>
          </w:p>
        </w:tc>
        <w:tc>
          <w:tcPr>
            <w:tcW w:w="990" w:type="dxa"/>
            <w:tcBorders>
              <w:bottom w:val="nil"/>
            </w:tcBorders>
            <w:shd w:val="clear" w:color="auto" w:fill="FFFFFF"/>
            <w:vAlign w:val="center"/>
          </w:tcPr>
          <w:p w14:paraId="283FB70C" w14:textId="77777777" w:rsidR="00AC0B32" w:rsidRPr="00ED3695" w:rsidRDefault="00AC0B32" w:rsidP="00364817">
            <w:pPr>
              <w:autoSpaceDE w:val="0"/>
              <w:autoSpaceDN w:val="0"/>
              <w:adjustRightInd w:val="0"/>
              <w:snapToGrid w:val="0"/>
              <w:spacing w:line="240" w:lineRule="auto"/>
              <w:jc w:val="center"/>
              <w:rPr>
                <w:rFonts w:eastAsia="Times New Roman"/>
                <w:b/>
                <w:color w:val="FF0000"/>
                <w:sz w:val="18"/>
                <w:lang w:eastAsia="en-US"/>
              </w:rPr>
            </w:pPr>
          </w:p>
        </w:tc>
        <w:tc>
          <w:tcPr>
            <w:tcW w:w="1890" w:type="dxa"/>
            <w:tcBorders>
              <w:bottom w:val="nil"/>
            </w:tcBorders>
            <w:shd w:val="clear" w:color="auto" w:fill="FFFFFF"/>
            <w:vAlign w:val="center"/>
          </w:tcPr>
          <w:p w14:paraId="2F5E1390" w14:textId="77777777" w:rsidR="00AC0B32" w:rsidRPr="00ED3695" w:rsidRDefault="00AC0B32" w:rsidP="00364817">
            <w:pPr>
              <w:autoSpaceDE w:val="0"/>
              <w:autoSpaceDN w:val="0"/>
              <w:adjustRightInd w:val="0"/>
              <w:snapToGrid w:val="0"/>
              <w:spacing w:line="240" w:lineRule="auto"/>
              <w:jc w:val="center"/>
              <w:rPr>
                <w:rFonts w:eastAsia="Times New Roman"/>
                <w:b/>
                <w:color w:val="FF0000"/>
                <w:sz w:val="18"/>
                <w:lang w:eastAsia="en-US"/>
              </w:rPr>
            </w:pPr>
          </w:p>
        </w:tc>
      </w:tr>
      <w:tr w:rsidR="00CB5799" w:rsidRPr="00D83753" w14:paraId="3042B396" w14:textId="77777777" w:rsidTr="00CB5799">
        <w:tc>
          <w:tcPr>
            <w:tcW w:w="3510" w:type="dxa"/>
            <w:tcBorders>
              <w:top w:val="nil"/>
              <w:bottom w:val="nil"/>
            </w:tcBorders>
            <w:shd w:val="clear" w:color="auto" w:fill="FFFFFF"/>
            <w:tcMar>
              <w:top w:w="15" w:type="dxa"/>
              <w:left w:w="108" w:type="dxa"/>
              <w:bottom w:w="0" w:type="dxa"/>
              <w:right w:w="108" w:type="dxa"/>
            </w:tcMar>
          </w:tcPr>
          <w:p w14:paraId="633CFCD0" w14:textId="77777777" w:rsidR="00AC0B32" w:rsidRPr="00ED3695" w:rsidRDefault="00AC0B32" w:rsidP="00364817">
            <w:pPr>
              <w:rPr>
                <w:color w:val="FF0000"/>
              </w:rPr>
            </w:pPr>
            <w:r w:rsidRPr="00ED3695">
              <w:rPr>
                <w:color w:val="FF0000"/>
              </w:rPr>
              <w:t>Age</w:t>
            </w:r>
          </w:p>
        </w:tc>
        <w:tc>
          <w:tcPr>
            <w:tcW w:w="990" w:type="dxa"/>
            <w:tcBorders>
              <w:top w:val="nil"/>
              <w:bottom w:val="nil"/>
            </w:tcBorders>
            <w:shd w:val="clear" w:color="auto" w:fill="FFFFFF"/>
            <w:tcMar>
              <w:top w:w="15" w:type="dxa"/>
              <w:left w:w="108" w:type="dxa"/>
              <w:bottom w:w="0" w:type="dxa"/>
              <w:right w:w="108" w:type="dxa"/>
            </w:tcMar>
          </w:tcPr>
          <w:p w14:paraId="35BBB4B2" w14:textId="77777777" w:rsidR="00AC0B32" w:rsidRPr="00ED3695" w:rsidRDefault="00AC0B32" w:rsidP="00CB5799">
            <w:pPr>
              <w:jc w:val="center"/>
              <w:rPr>
                <w:color w:val="FF0000"/>
              </w:rPr>
            </w:pPr>
            <w:r w:rsidRPr="00ED3695">
              <w:rPr>
                <w:color w:val="FF0000"/>
              </w:rPr>
              <w:t>0.362</w:t>
            </w:r>
          </w:p>
        </w:tc>
        <w:tc>
          <w:tcPr>
            <w:tcW w:w="1710" w:type="dxa"/>
            <w:tcBorders>
              <w:top w:val="nil"/>
              <w:bottom w:val="nil"/>
            </w:tcBorders>
            <w:shd w:val="clear" w:color="auto" w:fill="FFFFFF"/>
          </w:tcPr>
          <w:p w14:paraId="7D0FD12D" w14:textId="77777777" w:rsidR="00AC0B32" w:rsidRPr="00ED3695" w:rsidRDefault="00AC0B32" w:rsidP="00CB5799">
            <w:pPr>
              <w:jc w:val="center"/>
              <w:rPr>
                <w:color w:val="FF0000"/>
              </w:rPr>
            </w:pPr>
            <w:r w:rsidRPr="00ED3695">
              <w:rPr>
                <w:color w:val="FF0000"/>
              </w:rPr>
              <w:t>1.08 (0.915-1.276)</w:t>
            </w:r>
          </w:p>
        </w:tc>
        <w:tc>
          <w:tcPr>
            <w:tcW w:w="990" w:type="dxa"/>
            <w:tcBorders>
              <w:top w:val="nil"/>
              <w:bottom w:val="nil"/>
            </w:tcBorders>
            <w:shd w:val="clear" w:color="auto" w:fill="FFFFFF"/>
            <w:vAlign w:val="center"/>
          </w:tcPr>
          <w:p w14:paraId="62D8943F"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lang w:eastAsia="en-US"/>
              </w:rPr>
            </w:pPr>
          </w:p>
        </w:tc>
        <w:tc>
          <w:tcPr>
            <w:tcW w:w="1890" w:type="dxa"/>
            <w:tcBorders>
              <w:top w:val="nil"/>
              <w:bottom w:val="nil"/>
            </w:tcBorders>
            <w:shd w:val="clear" w:color="auto" w:fill="FFFFFF"/>
            <w:vAlign w:val="center"/>
          </w:tcPr>
          <w:p w14:paraId="29BC1A1E"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lang w:eastAsia="en-US"/>
              </w:rPr>
            </w:pPr>
          </w:p>
        </w:tc>
      </w:tr>
      <w:tr w:rsidR="00CB5799" w:rsidRPr="00D83753" w14:paraId="073D34B8" w14:textId="77777777" w:rsidTr="00CB5799">
        <w:tc>
          <w:tcPr>
            <w:tcW w:w="3510" w:type="dxa"/>
            <w:tcBorders>
              <w:top w:val="nil"/>
              <w:bottom w:val="nil"/>
            </w:tcBorders>
            <w:shd w:val="clear" w:color="auto" w:fill="FFFFFF"/>
            <w:tcMar>
              <w:top w:w="15" w:type="dxa"/>
              <w:left w:w="108" w:type="dxa"/>
              <w:bottom w:w="0" w:type="dxa"/>
              <w:right w:w="108" w:type="dxa"/>
            </w:tcMar>
          </w:tcPr>
          <w:p w14:paraId="09F04E4C" w14:textId="77777777" w:rsidR="00AC0B32" w:rsidRPr="00ED3695" w:rsidRDefault="00AC0B32" w:rsidP="00364817">
            <w:pPr>
              <w:rPr>
                <w:color w:val="FF0000"/>
              </w:rPr>
            </w:pPr>
            <w:r w:rsidRPr="00ED3695">
              <w:rPr>
                <w:color w:val="FF0000"/>
              </w:rPr>
              <w:t>Year of faculty</w:t>
            </w:r>
          </w:p>
        </w:tc>
        <w:tc>
          <w:tcPr>
            <w:tcW w:w="990" w:type="dxa"/>
            <w:tcBorders>
              <w:top w:val="nil"/>
              <w:bottom w:val="nil"/>
            </w:tcBorders>
            <w:shd w:val="clear" w:color="auto" w:fill="FFFFFF"/>
            <w:tcMar>
              <w:top w:w="15" w:type="dxa"/>
              <w:left w:w="108" w:type="dxa"/>
              <w:bottom w:w="0" w:type="dxa"/>
              <w:right w:w="108" w:type="dxa"/>
            </w:tcMar>
          </w:tcPr>
          <w:p w14:paraId="62F8740D" w14:textId="77777777" w:rsidR="00AC0B32" w:rsidRPr="00ED3695" w:rsidRDefault="00AC0B32" w:rsidP="00CB5799">
            <w:pPr>
              <w:jc w:val="center"/>
              <w:rPr>
                <w:color w:val="FF0000"/>
              </w:rPr>
            </w:pPr>
            <w:r w:rsidRPr="00ED3695">
              <w:rPr>
                <w:color w:val="FF0000"/>
              </w:rPr>
              <w:t>0.995</w:t>
            </w:r>
          </w:p>
        </w:tc>
        <w:tc>
          <w:tcPr>
            <w:tcW w:w="1710" w:type="dxa"/>
            <w:tcBorders>
              <w:top w:val="nil"/>
              <w:bottom w:val="nil"/>
            </w:tcBorders>
            <w:shd w:val="clear" w:color="auto" w:fill="FFFFFF"/>
          </w:tcPr>
          <w:p w14:paraId="70890AA2" w14:textId="77777777" w:rsidR="00AC0B32" w:rsidRPr="00ED3695" w:rsidRDefault="00AC0B32" w:rsidP="00CB5799">
            <w:pPr>
              <w:jc w:val="center"/>
              <w:rPr>
                <w:color w:val="FF0000"/>
              </w:rPr>
            </w:pPr>
            <w:r w:rsidRPr="00ED3695">
              <w:rPr>
                <w:color w:val="FF0000"/>
              </w:rPr>
              <w:t>1.00 (0.910-1.099)</w:t>
            </w:r>
          </w:p>
        </w:tc>
        <w:tc>
          <w:tcPr>
            <w:tcW w:w="990" w:type="dxa"/>
            <w:tcBorders>
              <w:top w:val="nil"/>
              <w:bottom w:val="nil"/>
            </w:tcBorders>
            <w:shd w:val="clear" w:color="auto" w:fill="FFFFFF"/>
            <w:vAlign w:val="center"/>
          </w:tcPr>
          <w:p w14:paraId="5469E8FA"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lang w:eastAsia="en-US"/>
              </w:rPr>
            </w:pPr>
          </w:p>
        </w:tc>
        <w:tc>
          <w:tcPr>
            <w:tcW w:w="1890" w:type="dxa"/>
            <w:tcBorders>
              <w:top w:val="nil"/>
              <w:bottom w:val="nil"/>
            </w:tcBorders>
            <w:shd w:val="clear" w:color="auto" w:fill="FFFFFF"/>
            <w:vAlign w:val="center"/>
          </w:tcPr>
          <w:p w14:paraId="7E1BB009"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lang w:eastAsia="en-US"/>
              </w:rPr>
            </w:pPr>
          </w:p>
        </w:tc>
      </w:tr>
      <w:tr w:rsidR="00CB5799" w:rsidRPr="00D83753" w14:paraId="27B72018" w14:textId="77777777" w:rsidTr="00CB5799">
        <w:tc>
          <w:tcPr>
            <w:tcW w:w="3510" w:type="dxa"/>
            <w:tcBorders>
              <w:top w:val="nil"/>
              <w:bottom w:val="nil"/>
            </w:tcBorders>
            <w:shd w:val="clear" w:color="auto" w:fill="FFFFFF"/>
            <w:tcMar>
              <w:top w:w="15" w:type="dxa"/>
              <w:left w:w="108" w:type="dxa"/>
              <w:bottom w:w="0" w:type="dxa"/>
              <w:right w:w="108" w:type="dxa"/>
            </w:tcMar>
          </w:tcPr>
          <w:p w14:paraId="521C3C9A" w14:textId="77777777" w:rsidR="00AC0B32" w:rsidRPr="00ED3695" w:rsidRDefault="00AC0B32" w:rsidP="00364817">
            <w:pPr>
              <w:rPr>
                <w:color w:val="FF0000"/>
              </w:rPr>
            </w:pPr>
            <w:r w:rsidRPr="00ED3695">
              <w:rPr>
                <w:color w:val="FF0000"/>
              </w:rPr>
              <w:t>Medical students</w:t>
            </w:r>
          </w:p>
        </w:tc>
        <w:tc>
          <w:tcPr>
            <w:tcW w:w="990" w:type="dxa"/>
            <w:tcBorders>
              <w:top w:val="nil"/>
              <w:bottom w:val="nil"/>
            </w:tcBorders>
            <w:shd w:val="clear" w:color="auto" w:fill="FFFFFF"/>
            <w:tcMar>
              <w:top w:w="15" w:type="dxa"/>
              <w:left w:w="108" w:type="dxa"/>
              <w:bottom w:w="0" w:type="dxa"/>
              <w:right w:w="108" w:type="dxa"/>
            </w:tcMar>
          </w:tcPr>
          <w:p w14:paraId="204DBDE8" w14:textId="77777777" w:rsidR="00AC0B32" w:rsidRPr="00ED3695" w:rsidRDefault="00AC0B32" w:rsidP="00CB5799">
            <w:pPr>
              <w:jc w:val="center"/>
              <w:rPr>
                <w:color w:val="FF0000"/>
              </w:rPr>
            </w:pPr>
            <w:r w:rsidRPr="00ED3695">
              <w:rPr>
                <w:color w:val="FF0000"/>
              </w:rPr>
              <w:t>&lt;0.001</w:t>
            </w:r>
          </w:p>
        </w:tc>
        <w:tc>
          <w:tcPr>
            <w:tcW w:w="1710" w:type="dxa"/>
            <w:tcBorders>
              <w:top w:val="nil"/>
              <w:bottom w:val="nil"/>
            </w:tcBorders>
            <w:shd w:val="clear" w:color="auto" w:fill="FFFFFF"/>
          </w:tcPr>
          <w:p w14:paraId="617B3E94" w14:textId="77777777" w:rsidR="00AC0B32" w:rsidRPr="00ED3695" w:rsidRDefault="00AC0B32" w:rsidP="00CB5799">
            <w:pPr>
              <w:jc w:val="center"/>
              <w:rPr>
                <w:color w:val="FF0000"/>
              </w:rPr>
            </w:pPr>
            <w:r w:rsidRPr="00ED3695">
              <w:rPr>
                <w:color w:val="FF0000"/>
              </w:rPr>
              <w:t>0.613 (0.478-0.785)</w:t>
            </w:r>
          </w:p>
        </w:tc>
        <w:tc>
          <w:tcPr>
            <w:tcW w:w="990" w:type="dxa"/>
            <w:tcBorders>
              <w:top w:val="nil"/>
              <w:bottom w:val="nil"/>
            </w:tcBorders>
            <w:shd w:val="clear" w:color="auto" w:fill="FFFFFF"/>
            <w:vAlign w:val="center"/>
          </w:tcPr>
          <w:p w14:paraId="501C90AD" w14:textId="77777777" w:rsidR="00AC0B32" w:rsidRPr="00ED3695" w:rsidRDefault="00AC0B32" w:rsidP="00364817">
            <w:pPr>
              <w:autoSpaceDE w:val="0"/>
              <w:autoSpaceDN w:val="0"/>
              <w:adjustRightInd w:val="0"/>
              <w:snapToGrid w:val="0"/>
              <w:spacing w:line="240" w:lineRule="auto"/>
              <w:jc w:val="center"/>
              <w:rPr>
                <w:rFonts w:eastAsia="Times New Roman"/>
                <w:b/>
                <w:color w:val="FF0000"/>
                <w:sz w:val="18"/>
                <w:highlight w:val="red"/>
                <w:lang w:eastAsia="en-US"/>
              </w:rPr>
            </w:pPr>
            <w:r w:rsidRPr="00ED3695">
              <w:rPr>
                <w:rFonts w:eastAsia="Times New Roman"/>
                <w:color w:val="FF0000"/>
                <w:sz w:val="18"/>
                <w:lang w:eastAsia="en-US"/>
              </w:rPr>
              <w:t>0.023</w:t>
            </w:r>
          </w:p>
        </w:tc>
        <w:tc>
          <w:tcPr>
            <w:tcW w:w="1890" w:type="dxa"/>
            <w:tcBorders>
              <w:top w:val="nil"/>
              <w:bottom w:val="nil"/>
            </w:tcBorders>
            <w:shd w:val="clear" w:color="auto" w:fill="FFFFFF"/>
            <w:vAlign w:val="center"/>
          </w:tcPr>
          <w:p w14:paraId="72E71FAD" w14:textId="77777777" w:rsidR="00AC0B32" w:rsidRPr="00ED3695" w:rsidRDefault="00AC0B32" w:rsidP="00364817">
            <w:pPr>
              <w:autoSpaceDE w:val="0"/>
              <w:autoSpaceDN w:val="0"/>
              <w:adjustRightInd w:val="0"/>
              <w:snapToGrid w:val="0"/>
              <w:spacing w:line="240" w:lineRule="auto"/>
              <w:jc w:val="center"/>
              <w:rPr>
                <w:rFonts w:eastAsia="Times New Roman"/>
                <w:b/>
                <w:color w:val="FF0000"/>
                <w:sz w:val="18"/>
                <w:lang w:eastAsia="en-US"/>
              </w:rPr>
            </w:pPr>
            <w:r w:rsidRPr="00ED3695">
              <w:rPr>
                <w:rFonts w:eastAsia="Times New Roman"/>
                <w:color w:val="FF0000"/>
                <w:sz w:val="18"/>
                <w:lang w:eastAsia="en-US"/>
              </w:rPr>
              <w:t>0.728  (0.554-0.957)</w:t>
            </w:r>
          </w:p>
        </w:tc>
      </w:tr>
      <w:tr w:rsidR="00CB5799" w:rsidRPr="00D83753" w14:paraId="5F0AEE6D" w14:textId="77777777" w:rsidTr="00CB5799">
        <w:tc>
          <w:tcPr>
            <w:tcW w:w="3510" w:type="dxa"/>
            <w:tcBorders>
              <w:top w:val="nil"/>
              <w:bottom w:val="nil"/>
            </w:tcBorders>
            <w:shd w:val="clear" w:color="auto" w:fill="FFFFFF"/>
            <w:tcMar>
              <w:top w:w="15" w:type="dxa"/>
              <w:left w:w="108" w:type="dxa"/>
              <w:bottom w:w="0" w:type="dxa"/>
              <w:right w:w="108" w:type="dxa"/>
            </w:tcMar>
          </w:tcPr>
          <w:p w14:paraId="3756F017" w14:textId="77777777" w:rsidR="00AC0B32" w:rsidRPr="00ED3695" w:rsidRDefault="00AC0B32" w:rsidP="00364817">
            <w:pPr>
              <w:rPr>
                <w:color w:val="FF0000"/>
              </w:rPr>
            </w:pPr>
            <w:r w:rsidRPr="00ED3695">
              <w:rPr>
                <w:color w:val="FF0000"/>
              </w:rPr>
              <w:t>More money available</w:t>
            </w:r>
          </w:p>
        </w:tc>
        <w:tc>
          <w:tcPr>
            <w:tcW w:w="990" w:type="dxa"/>
            <w:tcBorders>
              <w:top w:val="nil"/>
              <w:bottom w:val="nil"/>
            </w:tcBorders>
            <w:shd w:val="clear" w:color="auto" w:fill="FFFFFF"/>
            <w:tcMar>
              <w:top w:w="15" w:type="dxa"/>
              <w:left w:w="108" w:type="dxa"/>
              <w:bottom w:w="0" w:type="dxa"/>
              <w:right w:w="108" w:type="dxa"/>
            </w:tcMar>
          </w:tcPr>
          <w:p w14:paraId="1D45851D" w14:textId="77777777" w:rsidR="00AC0B32" w:rsidRPr="00ED3695" w:rsidRDefault="00AC0B32" w:rsidP="00CB5799">
            <w:pPr>
              <w:jc w:val="center"/>
              <w:rPr>
                <w:color w:val="FF0000"/>
              </w:rPr>
            </w:pPr>
            <w:r w:rsidRPr="00ED3695">
              <w:rPr>
                <w:color w:val="FF0000"/>
              </w:rPr>
              <w:t>&lt;0.001</w:t>
            </w:r>
          </w:p>
        </w:tc>
        <w:tc>
          <w:tcPr>
            <w:tcW w:w="1710" w:type="dxa"/>
            <w:tcBorders>
              <w:top w:val="nil"/>
              <w:bottom w:val="nil"/>
            </w:tcBorders>
            <w:shd w:val="clear" w:color="auto" w:fill="FFFFFF"/>
          </w:tcPr>
          <w:p w14:paraId="0F106C73" w14:textId="77777777" w:rsidR="00AC0B32" w:rsidRPr="00ED3695" w:rsidRDefault="00AC0B32" w:rsidP="00CB5799">
            <w:pPr>
              <w:jc w:val="center"/>
              <w:rPr>
                <w:color w:val="FF0000"/>
              </w:rPr>
            </w:pPr>
            <w:r w:rsidRPr="00ED3695">
              <w:rPr>
                <w:color w:val="FF0000"/>
              </w:rPr>
              <w:t>1.340 (1.201-1.494)</w:t>
            </w:r>
          </w:p>
        </w:tc>
        <w:tc>
          <w:tcPr>
            <w:tcW w:w="990" w:type="dxa"/>
            <w:tcBorders>
              <w:top w:val="nil"/>
              <w:bottom w:val="nil"/>
            </w:tcBorders>
            <w:shd w:val="clear" w:color="auto" w:fill="FFFFFF"/>
            <w:vAlign w:val="center"/>
          </w:tcPr>
          <w:p w14:paraId="041D3320" w14:textId="77777777" w:rsidR="00AC0B32" w:rsidRPr="00ED3695" w:rsidRDefault="00AC0B32" w:rsidP="00364817">
            <w:pPr>
              <w:autoSpaceDE w:val="0"/>
              <w:autoSpaceDN w:val="0"/>
              <w:adjustRightInd w:val="0"/>
              <w:snapToGrid w:val="0"/>
              <w:spacing w:line="240" w:lineRule="auto"/>
              <w:jc w:val="center"/>
              <w:rPr>
                <w:rFonts w:eastAsia="Times New Roman"/>
                <w:b/>
                <w:color w:val="FF0000"/>
                <w:sz w:val="18"/>
                <w:highlight w:val="red"/>
                <w:lang w:eastAsia="en-US"/>
              </w:rPr>
            </w:pPr>
            <w:r w:rsidRPr="00ED3695">
              <w:rPr>
                <w:rFonts w:eastAsia="Times New Roman"/>
                <w:color w:val="FF0000"/>
                <w:sz w:val="18"/>
                <w:lang w:eastAsia="en-US"/>
              </w:rPr>
              <w:t>0.004</w:t>
            </w:r>
          </w:p>
        </w:tc>
        <w:tc>
          <w:tcPr>
            <w:tcW w:w="1890" w:type="dxa"/>
            <w:tcBorders>
              <w:top w:val="nil"/>
              <w:bottom w:val="nil"/>
            </w:tcBorders>
            <w:shd w:val="clear" w:color="auto" w:fill="FFFFFF"/>
            <w:vAlign w:val="center"/>
          </w:tcPr>
          <w:p w14:paraId="6F3F00B4" w14:textId="77777777" w:rsidR="00AC0B32" w:rsidRPr="00ED3695" w:rsidRDefault="00AC0B32" w:rsidP="00364817">
            <w:pPr>
              <w:autoSpaceDE w:val="0"/>
              <w:autoSpaceDN w:val="0"/>
              <w:adjustRightInd w:val="0"/>
              <w:snapToGrid w:val="0"/>
              <w:spacing w:line="240" w:lineRule="auto"/>
              <w:jc w:val="center"/>
              <w:rPr>
                <w:rFonts w:eastAsia="Times New Roman"/>
                <w:b/>
                <w:color w:val="FF0000"/>
                <w:sz w:val="18"/>
                <w:lang w:eastAsia="en-US"/>
              </w:rPr>
            </w:pPr>
            <w:r w:rsidRPr="00ED3695">
              <w:rPr>
                <w:rFonts w:eastAsia="Times New Roman"/>
                <w:color w:val="FF0000"/>
                <w:sz w:val="18"/>
                <w:lang w:eastAsia="en-US"/>
              </w:rPr>
              <w:t>1.193  (1.058-1.346)</w:t>
            </w:r>
          </w:p>
        </w:tc>
      </w:tr>
      <w:tr w:rsidR="00CB5799" w:rsidRPr="00D83753" w14:paraId="186196E4" w14:textId="77777777" w:rsidTr="00CB5799">
        <w:tc>
          <w:tcPr>
            <w:tcW w:w="3510" w:type="dxa"/>
            <w:tcBorders>
              <w:top w:val="nil"/>
              <w:bottom w:val="nil"/>
            </w:tcBorders>
            <w:shd w:val="clear" w:color="auto" w:fill="FFFFFF"/>
            <w:tcMar>
              <w:top w:w="15" w:type="dxa"/>
              <w:left w:w="108" w:type="dxa"/>
              <w:bottom w:w="0" w:type="dxa"/>
              <w:right w:w="108" w:type="dxa"/>
            </w:tcMar>
          </w:tcPr>
          <w:p w14:paraId="4169C14F" w14:textId="77777777" w:rsidR="00AC0B32" w:rsidRPr="00ED3695" w:rsidRDefault="00AC0B32" w:rsidP="00364817">
            <w:pPr>
              <w:rPr>
                <w:color w:val="FF0000"/>
              </w:rPr>
            </w:pPr>
            <w:proofErr w:type="spellStart"/>
            <w:r w:rsidRPr="00ED3695">
              <w:rPr>
                <w:color w:val="FF0000"/>
              </w:rPr>
              <w:t>Secondhand</w:t>
            </w:r>
            <w:proofErr w:type="spellEnd"/>
            <w:r w:rsidRPr="00ED3695">
              <w:rPr>
                <w:color w:val="FF0000"/>
              </w:rPr>
              <w:t xml:space="preserve"> smoke at home</w:t>
            </w:r>
          </w:p>
        </w:tc>
        <w:tc>
          <w:tcPr>
            <w:tcW w:w="990" w:type="dxa"/>
            <w:tcBorders>
              <w:top w:val="nil"/>
              <w:bottom w:val="nil"/>
            </w:tcBorders>
            <w:shd w:val="clear" w:color="auto" w:fill="FFFFFF"/>
            <w:tcMar>
              <w:top w:w="15" w:type="dxa"/>
              <w:left w:w="108" w:type="dxa"/>
              <w:bottom w:w="0" w:type="dxa"/>
              <w:right w:w="108" w:type="dxa"/>
            </w:tcMar>
          </w:tcPr>
          <w:p w14:paraId="1129DB41" w14:textId="77777777" w:rsidR="00AC0B32" w:rsidRPr="00ED3695" w:rsidRDefault="00AC0B32" w:rsidP="00CB5799">
            <w:pPr>
              <w:jc w:val="center"/>
              <w:rPr>
                <w:color w:val="FF0000"/>
              </w:rPr>
            </w:pPr>
            <w:r w:rsidRPr="00ED3695">
              <w:rPr>
                <w:color w:val="FF0000"/>
              </w:rPr>
              <w:t>&lt;0.001</w:t>
            </w:r>
          </w:p>
        </w:tc>
        <w:tc>
          <w:tcPr>
            <w:tcW w:w="1710" w:type="dxa"/>
            <w:tcBorders>
              <w:top w:val="nil"/>
              <w:bottom w:val="nil"/>
            </w:tcBorders>
            <w:shd w:val="clear" w:color="auto" w:fill="FFFFFF"/>
          </w:tcPr>
          <w:p w14:paraId="0DCD0124" w14:textId="77777777" w:rsidR="00AC0B32" w:rsidRPr="00ED3695" w:rsidRDefault="00AC0B32" w:rsidP="00CB5799">
            <w:pPr>
              <w:jc w:val="center"/>
              <w:rPr>
                <w:color w:val="FF0000"/>
              </w:rPr>
            </w:pPr>
            <w:r w:rsidRPr="00ED3695">
              <w:rPr>
                <w:color w:val="FF0000"/>
              </w:rPr>
              <w:t>1.385 (1.284-1.494)</w:t>
            </w:r>
          </w:p>
        </w:tc>
        <w:tc>
          <w:tcPr>
            <w:tcW w:w="990" w:type="dxa"/>
            <w:tcBorders>
              <w:top w:val="nil"/>
              <w:bottom w:val="nil"/>
            </w:tcBorders>
            <w:shd w:val="clear" w:color="auto" w:fill="FFFFFF"/>
            <w:vAlign w:val="center"/>
          </w:tcPr>
          <w:p w14:paraId="0CB18238"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highlight w:val="red"/>
                <w:lang w:eastAsia="en-US"/>
              </w:rPr>
            </w:pPr>
            <w:r w:rsidRPr="00ED3695">
              <w:rPr>
                <w:rFonts w:eastAsia="Times New Roman"/>
                <w:color w:val="FF0000"/>
                <w:sz w:val="18"/>
                <w:lang w:eastAsia="en-US"/>
              </w:rPr>
              <w:t>&lt;0.001</w:t>
            </w:r>
          </w:p>
        </w:tc>
        <w:tc>
          <w:tcPr>
            <w:tcW w:w="1890" w:type="dxa"/>
            <w:tcBorders>
              <w:top w:val="nil"/>
              <w:bottom w:val="nil"/>
            </w:tcBorders>
            <w:shd w:val="clear" w:color="auto" w:fill="FFFFFF"/>
            <w:vAlign w:val="center"/>
          </w:tcPr>
          <w:p w14:paraId="10DD6468"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lang w:eastAsia="en-US"/>
              </w:rPr>
            </w:pPr>
            <w:r w:rsidRPr="00ED3695">
              <w:rPr>
                <w:rFonts w:eastAsia="Times New Roman"/>
                <w:color w:val="FF0000"/>
                <w:sz w:val="18"/>
                <w:lang w:eastAsia="en-US"/>
              </w:rPr>
              <w:t>1.195  (1.099-1.300)</w:t>
            </w:r>
          </w:p>
        </w:tc>
      </w:tr>
      <w:tr w:rsidR="00CB5799" w:rsidRPr="00D83753" w14:paraId="4A873690" w14:textId="77777777" w:rsidTr="00CB5799">
        <w:tc>
          <w:tcPr>
            <w:tcW w:w="3510" w:type="dxa"/>
            <w:tcBorders>
              <w:top w:val="nil"/>
              <w:bottom w:val="nil"/>
            </w:tcBorders>
            <w:shd w:val="clear" w:color="auto" w:fill="FFFFFF"/>
            <w:tcMar>
              <w:top w:w="15" w:type="dxa"/>
              <w:left w:w="108" w:type="dxa"/>
              <w:bottom w:w="0" w:type="dxa"/>
              <w:right w:w="108" w:type="dxa"/>
            </w:tcMar>
          </w:tcPr>
          <w:p w14:paraId="72E669A3" w14:textId="77777777" w:rsidR="00AC0B32" w:rsidRPr="00ED3695" w:rsidRDefault="00AC0B32" w:rsidP="00364817">
            <w:pPr>
              <w:rPr>
                <w:color w:val="FF0000"/>
              </w:rPr>
            </w:pPr>
            <w:proofErr w:type="spellStart"/>
            <w:r w:rsidRPr="00ED3695">
              <w:rPr>
                <w:color w:val="FF0000"/>
              </w:rPr>
              <w:t>Secondhand</w:t>
            </w:r>
            <w:proofErr w:type="spellEnd"/>
            <w:r w:rsidRPr="00ED3695">
              <w:rPr>
                <w:color w:val="FF0000"/>
              </w:rPr>
              <w:t xml:space="preserve"> smoke at faculty</w:t>
            </w:r>
          </w:p>
        </w:tc>
        <w:tc>
          <w:tcPr>
            <w:tcW w:w="990" w:type="dxa"/>
            <w:tcBorders>
              <w:top w:val="nil"/>
              <w:bottom w:val="nil"/>
            </w:tcBorders>
            <w:shd w:val="clear" w:color="auto" w:fill="FFFFFF"/>
            <w:tcMar>
              <w:top w:w="15" w:type="dxa"/>
              <w:left w:w="108" w:type="dxa"/>
              <w:bottom w:w="0" w:type="dxa"/>
              <w:right w:w="108" w:type="dxa"/>
            </w:tcMar>
          </w:tcPr>
          <w:p w14:paraId="0C6F96FE" w14:textId="77777777" w:rsidR="00AC0B32" w:rsidRPr="00ED3695" w:rsidRDefault="00AC0B32" w:rsidP="00CB5799">
            <w:pPr>
              <w:jc w:val="center"/>
              <w:rPr>
                <w:color w:val="FF0000"/>
              </w:rPr>
            </w:pPr>
            <w:r w:rsidRPr="00ED3695">
              <w:rPr>
                <w:color w:val="FF0000"/>
              </w:rPr>
              <w:t>&lt;0.001</w:t>
            </w:r>
          </w:p>
        </w:tc>
        <w:tc>
          <w:tcPr>
            <w:tcW w:w="1710" w:type="dxa"/>
            <w:tcBorders>
              <w:top w:val="nil"/>
              <w:bottom w:val="nil"/>
            </w:tcBorders>
            <w:shd w:val="clear" w:color="auto" w:fill="FFFFFF"/>
          </w:tcPr>
          <w:p w14:paraId="30003CA8" w14:textId="77777777" w:rsidR="00AC0B32" w:rsidRPr="00ED3695" w:rsidRDefault="00AC0B32" w:rsidP="00CB5799">
            <w:pPr>
              <w:jc w:val="center"/>
              <w:rPr>
                <w:color w:val="FF0000"/>
              </w:rPr>
            </w:pPr>
            <w:r w:rsidRPr="00ED3695">
              <w:rPr>
                <w:color w:val="FF0000"/>
              </w:rPr>
              <w:t>1.575 (1.429-1.736)</w:t>
            </w:r>
          </w:p>
        </w:tc>
        <w:tc>
          <w:tcPr>
            <w:tcW w:w="990" w:type="dxa"/>
            <w:tcBorders>
              <w:top w:val="nil"/>
              <w:bottom w:val="nil"/>
            </w:tcBorders>
            <w:shd w:val="clear" w:color="auto" w:fill="FFFFFF"/>
            <w:vAlign w:val="center"/>
          </w:tcPr>
          <w:p w14:paraId="1423BD38"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lang w:eastAsia="en-US"/>
              </w:rPr>
            </w:pPr>
            <w:r w:rsidRPr="00ED3695">
              <w:rPr>
                <w:rFonts w:eastAsia="Times New Roman"/>
                <w:color w:val="FF0000"/>
                <w:sz w:val="18"/>
                <w:lang w:eastAsia="en-US"/>
              </w:rPr>
              <w:t>0.004</w:t>
            </w:r>
          </w:p>
        </w:tc>
        <w:tc>
          <w:tcPr>
            <w:tcW w:w="1890" w:type="dxa"/>
            <w:tcBorders>
              <w:top w:val="nil"/>
              <w:bottom w:val="nil"/>
            </w:tcBorders>
            <w:shd w:val="clear" w:color="auto" w:fill="FFFFFF"/>
            <w:vAlign w:val="center"/>
          </w:tcPr>
          <w:p w14:paraId="3A1ECC0F"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lang w:eastAsia="en-US"/>
              </w:rPr>
            </w:pPr>
            <w:r w:rsidRPr="00ED3695">
              <w:rPr>
                <w:rFonts w:eastAsia="Times New Roman"/>
                <w:color w:val="FF0000"/>
                <w:sz w:val="18"/>
                <w:lang w:eastAsia="en-US"/>
              </w:rPr>
              <w:t>1.182  (1.056-1.323)</w:t>
            </w:r>
          </w:p>
        </w:tc>
      </w:tr>
      <w:tr w:rsidR="00CB5799" w:rsidRPr="00D83753" w14:paraId="22261F1A" w14:textId="77777777" w:rsidTr="00CB5799">
        <w:tc>
          <w:tcPr>
            <w:tcW w:w="3510" w:type="dxa"/>
            <w:tcBorders>
              <w:top w:val="nil"/>
              <w:bottom w:val="nil"/>
            </w:tcBorders>
            <w:shd w:val="clear" w:color="auto" w:fill="FFFFFF"/>
            <w:tcMar>
              <w:top w:w="15" w:type="dxa"/>
              <w:left w:w="108" w:type="dxa"/>
              <w:bottom w:w="0" w:type="dxa"/>
              <w:right w:w="108" w:type="dxa"/>
            </w:tcMar>
          </w:tcPr>
          <w:p w14:paraId="4045075B" w14:textId="77777777" w:rsidR="00AC0B32" w:rsidRPr="00ED3695" w:rsidRDefault="00AC0B32" w:rsidP="00364817">
            <w:pPr>
              <w:rPr>
                <w:color w:val="FF0000"/>
              </w:rPr>
            </w:pPr>
            <w:proofErr w:type="spellStart"/>
            <w:r w:rsidRPr="00ED3695">
              <w:rPr>
                <w:color w:val="FF0000"/>
              </w:rPr>
              <w:t>Secondhand</w:t>
            </w:r>
            <w:proofErr w:type="spellEnd"/>
            <w:r w:rsidRPr="00ED3695">
              <w:rPr>
                <w:color w:val="FF0000"/>
              </w:rPr>
              <w:t xml:space="preserve"> smoke in public spaces</w:t>
            </w:r>
          </w:p>
        </w:tc>
        <w:tc>
          <w:tcPr>
            <w:tcW w:w="990" w:type="dxa"/>
            <w:tcBorders>
              <w:top w:val="nil"/>
              <w:bottom w:val="nil"/>
            </w:tcBorders>
            <w:shd w:val="clear" w:color="auto" w:fill="FFFFFF"/>
            <w:tcMar>
              <w:top w:w="15" w:type="dxa"/>
              <w:left w:w="108" w:type="dxa"/>
              <w:bottom w:w="0" w:type="dxa"/>
              <w:right w:w="108" w:type="dxa"/>
            </w:tcMar>
          </w:tcPr>
          <w:p w14:paraId="33380E1E" w14:textId="77777777" w:rsidR="00AC0B32" w:rsidRPr="00ED3695" w:rsidRDefault="00AC0B32" w:rsidP="00CB5799">
            <w:pPr>
              <w:jc w:val="center"/>
              <w:rPr>
                <w:color w:val="FF0000"/>
              </w:rPr>
            </w:pPr>
            <w:r w:rsidRPr="00ED3695">
              <w:rPr>
                <w:color w:val="FF0000"/>
              </w:rPr>
              <w:t>&lt;0.001</w:t>
            </w:r>
          </w:p>
        </w:tc>
        <w:tc>
          <w:tcPr>
            <w:tcW w:w="1710" w:type="dxa"/>
            <w:tcBorders>
              <w:top w:val="nil"/>
              <w:bottom w:val="nil"/>
            </w:tcBorders>
            <w:shd w:val="clear" w:color="auto" w:fill="FFFFFF"/>
          </w:tcPr>
          <w:p w14:paraId="0882697F" w14:textId="77777777" w:rsidR="00AC0B32" w:rsidRPr="00ED3695" w:rsidRDefault="00AC0B32" w:rsidP="00CB5799">
            <w:pPr>
              <w:jc w:val="center"/>
              <w:rPr>
                <w:color w:val="FF0000"/>
              </w:rPr>
            </w:pPr>
            <w:r w:rsidRPr="00ED3695">
              <w:rPr>
                <w:color w:val="FF0000"/>
              </w:rPr>
              <w:t>1.946 (1.745-2.169)</w:t>
            </w:r>
          </w:p>
        </w:tc>
        <w:tc>
          <w:tcPr>
            <w:tcW w:w="990" w:type="dxa"/>
            <w:tcBorders>
              <w:top w:val="nil"/>
              <w:bottom w:val="nil"/>
            </w:tcBorders>
            <w:shd w:val="clear" w:color="auto" w:fill="FFFFFF"/>
            <w:vAlign w:val="center"/>
          </w:tcPr>
          <w:p w14:paraId="0E15E363" w14:textId="77777777" w:rsidR="00AC0B32" w:rsidRPr="00ED3695" w:rsidRDefault="00AC0B32" w:rsidP="00364817">
            <w:pPr>
              <w:autoSpaceDE w:val="0"/>
              <w:autoSpaceDN w:val="0"/>
              <w:adjustRightInd w:val="0"/>
              <w:snapToGrid w:val="0"/>
              <w:spacing w:line="240" w:lineRule="auto"/>
              <w:jc w:val="center"/>
              <w:rPr>
                <w:rFonts w:eastAsia="Times New Roman"/>
                <w:b/>
                <w:color w:val="FF0000"/>
                <w:sz w:val="18"/>
                <w:lang w:eastAsia="en-US"/>
              </w:rPr>
            </w:pPr>
            <w:r w:rsidRPr="00ED3695">
              <w:rPr>
                <w:rFonts w:eastAsia="Times New Roman"/>
                <w:color w:val="FF0000"/>
                <w:sz w:val="18"/>
                <w:lang w:eastAsia="en-US"/>
              </w:rPr>
              <w:t>&lt;0.001</w:t>
            </w:r>
          </w:p>
        </w:tc>
        <w:tc>
          <w:tcPr>
            <w:tcW w:w="1890" w:type="dxa"/>
            <w:tcBorders>
              <w:top w:val="nil"/>
              <w:bottom w:val="nil"/>
            </w:tcBorders>
            <w:shd w:val="clear" w:color="auto" w:fill="FFFFFF"/>
            <w:vAlign w:val="center"/>
          </w:tcPr>
          <w:p w14:paraId="78C113EB" w14:textId="77777777" w:rsidR="00AC0B32" w:rsidRPr="00ED3695" w:rsidRDefault="00AC0B32" w:rsidP="00364817">
            <w:pPr>
              <w:autoSpaceDE w:val="0"/>
              <w:autoSpaceDN w:val="0"/>
              <w:adjustRightInd w:val="0"/>
              <w:snapToGrid w:val="0"/>
              <w:spacing w:line="240" w:lineRule="auto"/>
              <w:jc w:val="center"/>
              <w:rPr>
                <w:rFonts w:eastAsia="Times New Roman"/>
                <w:b/>
                <w:color w:val="FF0000"/>
                <w:sz w:val="18"/>
                <w:lang w:eastAsia="en-US"/>
              </w:rPr>
            </w:pPr>
            <w:r w:rsidRPr="00ED3695">
              <w:rPr>
                <w:rFonts w:eastAsia="Times New Roman"/>
                <w:color w:val="FF0000"/>
                <w:sz w:val="18"/>
                <w:lang w:eastAsia="en-US"/>
              </w:rPr>
              <w:t>1.623  (1.435-1.837)</w:t>
            </w:r>
          </w:p>
        </w:tc>
      </w:tr>
      <w:tr w:rsidR="00CB5799" w:rsidRPr="00D83753" w14:paraId="5D66A562" w14:textId="77777777" w:rsidTr="00CB5799">
        <w:tc>
          <w:tcPr>
            <w:tcW w:w="3510" w:type="dxa"/>
            <w:tcBorders>
              <w:top w:val="nil"/>
            </w:tcBorders>
            <w:shd w:val="clear" w:color="auto" w:fill="FFFFFF"/>
            <w:tcMar>
              <w:top w:w="15" w:type="dxa"/>
              <w:left w:w="108" w:type="dxa"/>
              <w:bottom w:w="0" w:type="dxa"/>
              <w:right w:w="108" w:type="dxa"/>
            </w:tcMar>
          </w:tcPr>
          <w:p w14:paraId="2B83DE52" w14:textId="77777777" w:rsidR="00AC0B32" w:rsidRPr="00ED3695" w:rsidRDefault="00AC0B32" w:rsidP="00364817">
            <w:pPr>
              <w:rPr>
                <w:color w:val="FF0000"/>
              </w:rPr>
            </w:pPr>
            <w:r w:rsidRPr="00ED3695">
              <w:rPr>
                <w:color w:val="FF0000"/>
              </w:rPr>
              <w:t>Banning smoking in buildings</w:t>
            </w:r>
          </w:p>
        </w:tc>
        <w:tc>
          <w:tcPr>
            <w:tcW w:w="990" w:type="dxa"/>
            <w:tcBorders>
              <w:top w:val="nil"/>
            </w:tcBorders>
            <w:shd w:val="clear" w:color="auto" w:fill="FFFFFF"/>
            <w:tcMar>
              <w:top w:w="15" w:type="dxa"/>
              <w:left w:w="108" w:type="dxa"/>
              <w:bottom w:w="0" w:type="dxa"/>
              <w:right w:w="108" w:type="dxa"/>
            </w:tcMar>
          </w:tcPr>
          <w:p w14:paraId="7CF4BA44" w14:textId="77777777" w:rsidR="00AC0B32" w:rsidRPr="00ED3695" w:rsidRDefault="00AC0B32" w:rsidP="00CB5799">
            <w:pPr>
              <w:jc w:val="center"/>
              <w:rPr>
                <w:color w:val="FF0000"/>
              </w:rPr>
            </w:pPr>
            <w:r w:rsidRPr="00ED3695">
              <w:rPr>
                <w:color w:val="FF0000"/>
              </w:rPr>
              <w:t>0.007</w:t>
            </w:r>
          </w:p>
        </w:tc>
        <w:tc>
          <w:tcPr>
            <w:tcW w:w="1710" w:type="dxa"/>
            <w:tcBorders>
              <w:top w:val="nil"/>
            </w:tcBorders>
            <w:shd w:val="clear" w:color="auto" w:fill="FFFFFF"/>
          </w:tcPr>
          <w:p w14:paraId="539AB1AC" w14:textId="77777777" w:rsidR="00AC0B32" w:rsidRPr="00ED3695" w:rsidRDefault="00AC0B32" w:rsidP="00CB5799">
            <w:pPr>
              <w:jc w:val="center"/>
              <w:rPr>
                <w:color w:val="FF0000"/>
              </w:rPr>
            </w:pPr>
            <w:r w:rsidRPr="00ED3695">
              <w:rPr>
                <w:color w:val="FF0000"/>
              </w:rPr>
              <w:t>1.409 (1.096-1.811)</w:t>
            </w:r>
          </w:p>
        </w:tc>
        <w:tc>
          <w:tcPr>
            <w:tcW w:w="990" w:type="dxa"/>
            <w:tcBorders>
              <w:top w:val="nil"/>
            </w:tcBorders>
            <w:shd w:val="clear" w:color="auto" w:fill="FFFFFF"/>
            <w:vAlign w:val="center"/>
          </w:tcPr>
          <w:p w14:paraId="709EEDC5"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lang w:eastAsia="en-US"/>
              </w:rPr>
            </w:pPr>
          </w:p>
        </w:tc>
        <w:tc>
          <w:tcPr>
            <w:tcW w:w="1890" w:type="dxa"/>
            <w:tcBorders>
              <w:top w:val="nil"/>
            </w:tcBorders>
            <w:shd w:val="clear" w:color="auto" w:fill="FFFFFF"/>
            <w:vAlign w:val="center"/>
          </w:tcPr>
          <w:p w14:paraId="1C149A0D" w14:textId="77777777" w:rsidR="00AC0B32" w:rsidRPr="00ED3695" w:rsidRDefault="00AC0B32" w:rsidP="00364817">
            <w:pPr>
              <w:autoSpaceDE w:val="0"/>
              <w:autoSpaceDN w:val="0"/>
              <w:adjustRightInd w:val="0"/>
              <w:snapToGrid w:val="0"/>
              <w:spacing w:line="240" w:lineRule="auto"/>
              <w:jc w:val="center"/>
              <w:rPr>
                <w:rFonts w:eastAsia="Times New Roman"/>
                <w:color w:val="FF0000"/>
                <w:sz w:val="18"/>
                <w:lang w:eastAsia="en-US"/>
              </w:rPr>
            </w:pPr>
          </w:p>
        </w:tc>
      </w:tr>
    </w:tbl>
    <w:p w14:paraId="541049DA" w14:textId="77777777" w:rsidR="00AC0B32" w:rsidRDefault="00AC0B32" w:rsidP="00554A5B">
      <w:pPr>
        <w:pStyle w:val="MDPI21heading1"/>
      </w:pPr>
    </w:p>
    <w:p w14:paraId="1C190DC4" w14:textId="77777777" w:rsidR="00554A5B" w:rsidRPr="00325902" w:rsidRDefault="00554A5B" w:rsidP="00554A5B">
      <w:pPr>
        <w:pStyle w:val="MDPI21heading1"/>
      </w:pPr>
      <w:r w:rsidRPr="00325902">
        <w:t>4. Discussion</w:t>
      </w:r>
    </w:p>
    <w:p w14:paraId="6F90EA3E" w14:textId="77777777" w:rsidR="0092520D" w:rsidRDefault="0092520D" w:rsidP="0092520D">
      <w:pPr>
        <w:pStyle w:val="MDPI31text"/>
      </w:pPr>
      <w:r>
        <w:t xml:space="preserve">The results of this study showed that the prevalence of cigarette smoking among the students within the last thirty days was 34.1%. The most important independent factors associated with cigarette smoking in the present study were the exposure to secondhand smoke, sufficient income, and the type of study students were engaged in. Additionally, this survey revealed that 74.9% of the participants have ever tried or experimented with cigarette smoking, which is similar to studies from Lithuania, Poland, and Slovakia but higher than in Belarus and Russia [15]. Our own data relates to students’ attitudes and beliefs regarding tobacco and tobacco product use and indicates that most (87.9%) of our cohort admitted that cigarette smoking is very harmful to their health, similar to the Polish study [16].  </w:t>
      </w:r>
    </w:p>
    <w:p w14:paraId="25772D1C" w14:textId="77777777" w:rsidR="0092520D" w:rsidRDefault="0092520D" w:rsidP="0092520D">
      <w:pPr>
        <w:pStyle w:val="MDPI31text"/>
      </w:pPr>
      <w:r>
        <w:t xml:space="preserve">Whatever the leading risk factor is, the prevalence is higher than in the general population in the Republic of </w:t>
      </w:r>
      <w:proofErr w:type="spellStart"/>
      <w:r>
        <w:t>Srpska</w:t>
      </w:r>
      <w:proofErr w:type="spellEnd"/>
      <w:r>
        <w:t xml:space="preserve"> (24.6%) and among school-age children (9.1%) [7,8]. However, it should be noted that the above-mentioned studies by others involved people of a wider range, including adults 15 to 65 years, and adolescents of 13 to 15 years, while our study was limited to university students aged 18 to 26 years. The present study also suggested an increased odds of age with smoking. Specifically, there was a higher prevalence among students aged 16–18 years when they first tried cigarettes, followed by those aged 11–15 years, as well as a significant number of students experimenting with cigarette smoking at the age when they entered the university. These results are consistent with other studies conducted in Yemen [17], Turkey [18], </w:t>
      </w:r>
      <w:proofErr w:type="spellStart"/>
      <w:r>
        <w:t>Brasil</w:t>
      </w:r>
      <w:proofErr w:type="spellEnd"/>
      <w:r>
        <w:t xml:space="preserve"> [19], Ethiopia [20], Greece [21], and Serbia [22] where an association of age with cigarette smoking was noticed. The strongest association with cigarette smoking in our study was the exposure to secondhand smoke at home, faculties, and closed public places, which have increased the possibility </w:t>
      </w:r>
      <w:r>
        <w:lastRenderedPageBreak/>
        <w:t>of smoking by 62</w:t>
      </w:r>
      <w:proofErr w:type="gramStart"/>
      <w:r>
        <w:t>,3</w:t>
      </w:r>
      <w:proofErr w:type="gramEnd"/>
      <w:r>
        <w:t xml:space="preserve">%. Our results are consistent with previous studies that showed a significantly higher occurrence of smoking amongst students exposed to secondhand smoke [23-25]. </w:t>
      </w:r>
    </w:p>
    <w:p w14:paraId="680A43E4" w14:textId="77777777" w:rsidR="0092520D" w:rsidRDefault="0092520D" w:rsidP="0092520D">
      <w:pPr>
        <w:pStyle w:val="MDPI31text"/>
      </w:pPr>
      <w:r>
        <w:t>Another interesting finding of our study clearly showed that students with sufficient money are more likely to smoke cigarettes, increasing the possibility of smoking by 12</w:t>
      </w:r>
      <w:proofErr w:type="gramStart"/>
      <w:r>
        <w:t>,4</w:t>
      </w:r>
      <w:proofErr w:type="gramEnd"/>
      <w:r>
        <w:t>%. This is similar to the results of the study in Yemen, a low-income country where family income is a significant predictor of smoking among university students [17]. Additionally, the study conducted in Turkey found a direct relationship between cigarette smoking and socioeconomic status [26]. In most studies, teens from families of better socio-economic status were at additional risk for cigarette, alcohol, and substance use than those from households of lower socio-financial status [17</w:t>
      </w:r>
      <w:proofErr w:type="gramStart"/>
      <w:r>
        <w:t>,26</w:t>
      </w:r>
      <w:proofErr w:type="gramEnd"/>
      <w:r>
        <w:t xml:space="preserve">]. On the contrary, in developed countries like Germany and Hungary, it was found that the financial situation had no association with any tobacco consumption among students [27].  </w:t>
      </w:r>
    </w:p>
    <w:p w14:paraId="6CDB6EEC" w14:textId="77777777" w:rsidR="0092520D" w:rsidRDefault="0092520D" w:rsidP="0092520D">
      <w:pPr>
        <w:pStyle w:val="MDPI31text"/>
      </w:pPr>
      <w:r>
        <w:t>In contrast, we found that the smoking prevalence among medical students was statistically lower (27.2%) than from other faculties (38.5%) but similar to results among university students in Serbia23 and Greece [15</w:t>
      </w:r>
      <w:proofErr w:type="gramStart"/>
      <w:r>
        <w:t>,28</w:t>
      </w:r>
      <w:proofErr w:type="gramEnd"/>
      <w:r>
        <w:t xml:space="preserve">]. The systematic international review of tobacco smoking habits among medical students showed that low smoking rates were found in Australia and the United States of America (USA), while Spain and Turkey reported higher rates [29]. Medical students in Italy had a higher prevalence (37%) than students in the USA (6%) [30]. In China, a remarkable variance was found between rates of smoking by the general population (66%) and medical students (3–6%) [31]. </w:t>
      </w:r>
    </w:p>
    <w:p w14:paraId="393B3F8F" w14:textId="77777777" w:rsidR="0092520D" w:rsidRDefault="0092520D" w:rsidP="0092520D">
      <w:pPr>
        <w:pStyle w:val="MDPI31text"/>
      </w:pPr>
      <w:r>
        <w:t xml:space="preserve">This study showed a higher smoking prevalence with almost equal proportions among both genders. On the contrary, the studies from Yemen [17], Cameroon [32], Saudi Arabia [33], Ethiopia [34], </w:t>
      </w:r>
      <w:proofErr w:type="gramStart"/>
      <w:r>
        <w:t>Greece</w:t>
      </w:r>
      <w:proofErr w:type="gramEnd"/>
      <w:r>
        <w:t xml:space="preserve"> [21] found that most tobacco consumers were males, especially influenced by their peers. Similarly, in China, the tobacco use by boys (16.5%) was significantly higher than by girls (1.9%) [35]. A Georgian investigation  showed high smoking prevalence, with significant gender difference – male smokers 65% and females 35% [36]. Female medical students have a lower smoking rate due to various factors such as religion, cultural and ethnic specificity, or socio-demographic differences, like in Asia or Africa where smoking is considered socially unacceptable for women, or in some Muslim countries, like Bahrain or Saudi Arabia, where it is considered as an insult to custom.29 On the contrary, the results of the GYTS study from Pakistan found that females were more likely than males to be susceptible to smoking [37]. The finding that female students are increasingly prone to cigarettes is important to understand an evolving gender role associated with smoking initiation among adolescents. WHO reported that the prevalence of smoking among females is increasing and women are a major target of opportunity for the tobacco industry [38]. </w:t>
      </w:r>
    </w:p>
    <w:p w14:paraId="3102131D" w14:textId="5B81837A" w:rsidR="0092520D" w:rsidRDefault="0092520D" w:rsidP="0092520D">
      <w:pPr>
        <w:pStyle w:val="MDPI31text"/>
      </w:pPr>
      <w:r>
        <w:t>Although many studies investigated the prevalence and risk factors associated with cigarette smoking like age, gender, or peer influence, only a few studies addressed more than one risk factor sim</w:t>
      </w:r>
      <w:r w:rsidR="00EE4712">
        <w:t>ultaneously in their research, t</w:t>
      </w:r>
      <w:r>
        <w:t xml:space="preserve">he exceptions included studies from Gambia [39], Bangladesh [40], Cameroon [32], Saudi Arabia [33] and Ethiopia [34]. Some of the main predictors of cigarette smoking in those studies included peer influence, male gender, age, parental influence (smoking allowed at home), awareness/attitudes/beliefs (poor knowledge of the harmful effects of smoking), intellectual pressure, sufficient pocket money, superiority complex, mass advertisement, attending grant-aided schools, and religion (non-Muslims). </w:t>
      </w:r>
    </w:p>
    <w:p w14:paraId="51689B82" w14:textId="77777777" w:rsidR="00E7477A" w:rsidRDefault="0092520D" w:rsidP="00E7477A">
      <w:pPr>
        <w:pStyle w:val="MDPI31text"/>
      </w:pPr>
      <w:r>
        <w:t xml:space="preserve">It is interesting to notice that most of our students had never been advised about smoking cessation. Despite several anti-smoking activities regularly performed by the medical students at our University in collaboration with the Public health Institute of the Republic of </w:t>
      </w:r>
      <w:proofErr w:type="spellStart"/>
      <w:r>
        <w:t>Srpska</w:t>
      </w:r>
      <w:proofErr w:type="spellEnd"/>
      <w:r>
        <w:t xml:space="preserve">, such as a National Day Without a Cigarette (January 31st), World No-Tobacco Day (May 31st), and other measures, the rate of smoking remains high, and smoking is socially acceptable in this European region [41]. Since some non-medical and medical students start smoking during their first year at the university, that is the time when </w:t>
      </w:r>
      <w:r>
        <w:lastRenderedPageBreak/>
        <w:t>anti-smoking activity should be maximally activated. This is in line with previous worldwide findings that medical students smoke more lately than in the earlier years of study [42]. Therefore, the prevalence of better knowledge did not lessen the rate of smoking. Despite all antismoking actions and policies in developing countries, smoking prevalence remains high, with electronic cigarettes contributing additionally [22]. Because teenagers, in general, ignore any kind of antismoking information, a more effective approach might include strategies to support smoke-free environments</w:t>
      </w:r>
      <w:r w:rsidR="00554A5B" w:rsidRPr="00325902">
        <w:t>.</w:t>
      </w:r>
      <w:r w:rsidR="00E7477A" w:rsidRPr="00E7477A">
        <w:t xml:space="preserve"> </w:t>
      </w:r>
    </w:p>
    <w:p w14:paraId="25BA7FEF" w14:textId="39AE298D" w:rsidR="009A7896" w:rsidRDefault="00E7477A" w:rsidP="00E7477A">
      <w:pPr>
        <w:pStyle w:val="MDPI31text"/>
        <w:rPr>
          <w:color w:val="FF0000"/>
        </w:rPr>
      </w:pPr>
      <w:r w:rsidRPr="0092520D">
        <w:t>In addition, tobacco control programs and prevention strategies should be oriented toward the student population. From a public health perspective, as well, students should become familiar with prevention measures. In order to reduce the number of smokers, university health authorities and medical students should develop a specific plan, including the creation of a Stop Smoking Center (Cessation Center) within the university healthcare system</w:t>
      </w:r>
      <w:r w:rsidRPr="00153272">
        <w:t>.</w:t>
      </w:r>
      <w:r w:rsidR="009A7896">
        <w:t xml:space="preserve"> </w:t>
      </w:r>
      <w:r w:rsidR="009A7896" w:rsidRPr="009A7896">
        <w:rPr>
          <w:color w:val="FF0000"/>
        </w:rPr>
        <w:t xml:space="preserve">This study should be used as a toll to force </w:t>
      </w:r>
      <w:r w:rsidR="005010C0">
        <w:rPr>
          <w:color w:val="FF0000"/>
        </w:rPr>
        <w:t xml:space="preserve">national </w:t>
      </w:r>
      <w:r w:rsidR="009A7896" w:rsidRPr="009A7896">
        <w:rPr>
          <w:color w:val="FF0000"/>
        </w:rPr>
        <w:t xml:space="preserve">health authorities for final adoption of the Low to ban </w:t>
      </w:r>
      <w:r w:rsidR="00517F0B">
        <w:rPr>
          <w:color w:val="FF0000"/>
        </w:rPr>
        <w:t>tobacco</w:t>
      </w:r>
      <w:r w:rsidR="009A7896" w:rsidRPr="009A7896">
        <w:rPr>
          <w:color w:val="FF0000"/>
        </w:rPr>
        <w:t xml:space="preserve"> smoking at public places. Pursuant to Article 3 of the Law, </w:t>
      </w:r>
      <w:r w:rsidR="005010C0">
        <w:rPr>
          <w:color w:val="FF0000"/>
        </w:rPr>
        <w:t>i</w:t>
      </w:r>
      <w:r w:rsidR="009A7896" w:rsidRPr="009A7896">
        <w:rPr>
          <w:color w:val="FF0000"/>
        </w:rPr>
        <w:t>t has been clearly stated that the legislator imposed a general prohibition of tobacco smoking in public spaces including educational institutions, any institution used by children, school students, and university students, health care institutions and care providers, social institutions, and any other public institution</w:t>
      </w:r>
      <w:r w:rsidR="009A7896">
        <w:rPr>
          <w:color w:val="FF0000"/>
        </w:rPr>
        <w:t xml:space="preserve">. </w:t>
      </w:r>
    </w:p>
    <w:p w14:paraId="4B961C44" w14:textId="4F054E87" w:rsidR="00494477" w:rsidRPr="00A5572F" w:rsidRDefault="00364817" w:rsidP="00494477">
      <w:pPr>
        <w:pStyle w:val="MDPI31text"/>
        <w:rPr>
          <w:color w:val="0070C0"/>
        </w:rPr>
      </w:pPr>
      <w:r w:rsidRPr="00A5572F">
        <w:rPr>
          <w:color w:val="0070C0"/>
        </w:rPr>
        <w:t xml:space="preserve">Our study has several limitations. First of all, this </w:t>
      </w:r>
      <w:r w:rsidR="00494477" w:rsidRPr="00A5572F">
        <w:rPr>
          <w:color w:val="0070C0"/>
        </w:rPr>
        <w:t xml:space="preserve">cross-sectional </w:t>
      </w:r>
      <w:r w:rsidRPr="00A5572F">
        <w:rPr>
          <w:color w:val="0070C0"/>
        </w:rPr>
        <w:t xml:space="preserve">study on students is not representative for students of the University of </w:t>
      </w:r>
      <w:proofErr w:type="spellStart"/>
      <w:r w:rsidRPr="00A5572F">
        <w:rPr>
          <w:color w:val="0070C0"/>
        </w:rPr>
        <w:t>Banja</w:t>
      </w:r>
      <w:proofErr w:type="spellEnd"/>
      <w:r w:rsidRPr="00A5572F">
        <w:rPr>
          <w:color w:val="0070C0"/>
        </w:rPr>
        <w:t xml:space="preserve"> Luka since the majority of interviewed participants were me</w:t>
      </w:r>
      <w:r w:rsidR="00494477" w:rsidRPr="00A5572F">
        <w:rPr>
          <w:color w:val="0070C0"/>
        </w:rPr>
        <w:t xml:space="preserve">dical students. </w:t>
      </w:r>
      <w:r w:rsidR="00CE3BDC" w:rsidRPr="00A5572F">
        <w:rPr>
          <w:color w:val="0070C0"/>
        </w:rPr>
        <w:t>Second</w:t>
      </w:r>
      <w:r w:rsidR="00494477" w:rsidRPr="00A5572F">
        <w:rPr>
          <w:color w:val="0070C0"/>
        </w:rPr>
        <w:t xml:space="preserve"> limitation of this study is that it relies on self-reporting smoking behavior which is subject to recall bias.</w:t>
      </w:r>
      <w:r w:rsidR="00CE3BDC" w:rsidRPr="00A5572F">
        <w:rPr>
          <w:color w:val="0070C0"/>
        </w:rPr>
        <w:t xml:space="preserve"> Third, the study has focused only on tobacco smoking; no detailed information were collected about non-smoking tobacco use or illicit drug use, and this needs to be explored in the future.  </w:t>
      </w:r>
    </w:p>
    <w:p w14:paraId="6F501FBD" w14:textId="77777777" w:rsidR="00494477" w:rsidRDefault="00494477" w:rsidP="00494477">
      <w:pPr>
        <w:pStyle w:val="MDPI31text"/>
        <w:rPr>
          <w:szCs w:val="20"/>
        </w:rPr>
      </w:pPr>
    </w:p>
    <w:p w14:paraId="7BE666C8" w14:textId="58C72BFA" w:rsidR="00554A5B" w:rsidRPr="00494477" w:rsidRDefault="00554A5B" w:rsidP="00494477">
      <w:pPr>
        <w:pStyle w:val="MDPI31text"/>
        <w:rPr>
          <w:b/>
        </w:rPr>
      </w:pPr>
      <w:r w:rsidRPr="00494477">
        <w:rPr>
          <w:b/>
        </w:rPr>
        <w:t>5. Conclusions</w:t>
      </w:r>
    </w:p>
    <w:p w14:paraId="3DA65BFA" w14:textId="4735505B" w:rsidR="00EE4712" w:rsidRPr="00EE4712" w:rsidRDefault="00EE4712" w:rsidP="00EE4712">
      <w:pPr>
        <w:pStyle w:val="MDPI31text"/>
        <w:rPr>
          <w:color w:val="FF0000"/>
        </w:rPr>
      </w:pPr>
      <w:r w:rsidRPr="00EE4712">
        <w:rPr>
          <w:color w:val="FF0000"/>
        </w:rPr>
        <w:t xml:space="preserve">Our study showed that there is a very high prevalence of cigarette smoking amongst the students at the University of </w:t>
      </w:r>
      <w:proofErr w:type="spellStart"/>
      <w:r w:rsidRPr="00EE4712">
        <w:rPr>
          <w:color w:val="FF0000"/>
        </w:rPr>
        <w:t>Banja</w:t>
      </w:r>
      <w:proofErr w:type="spellEnd"/>
      <w:r w:rsidRPr="00EE4712">
        <w:rPr>
          <w:color w:val="FF0000"/>
        </w:rPr>
        <w:t xml:space="preserve"> Luka with almost equal proportions among both genders. Smoking prevalence among medical students was significantly lower than from other faculties. The prevalence </w:t>
      </w:r>
      <w:r w:rsidR="0092520D" w:rsidRPr="00EE4712">
        <w:rPr>
          <w:color w:val="FF0000"/>
        </w:rPr>
        <w:t xml:space="preserve">appears closely related to the availability of pocket money, as well as to the particular faculty (medical vs. non-medical students), and exposure to secondhand smoking. </w:t>
      </w:r>
      <w:r w:rsidRPr="00EE4712">
        <w:rPr>
          <w:color w:val="FF0000"/>
        </w:rPr>
        <w:t xml:space="preserve">Large majority of the cohort admitted that cigarette smoking is very harmful to their health, but most of our students had never been advised about smoking cessation. </w:t>
      </w:r>
      <w:r w:rsidR="0092520D" w:rsidRPr="00EE4712">
        <w:rPr>
          <w:color w:val="FF0000"/>
        </w:rPr>
        <w:t xml:space="preserve">These findings emphasize the importance of implementing policies, strategies and action plans related to supporting a smoke-free environment. </w:t>
      </w:r>
    </w:p>
    <w:p w14:paraId="1B68CF66" w14:textId="4DEFF04D" w:rsidR="00554A5B" w:rsidRPr="00613B31" w:rsidRDefault="00FF536E" w:rsidP="00FF536E">
      <w:pPr>
        <w:pStyle w:val="MDPI62BackMatter"/>
        <w:spacing w:before="240"/>
      </w:pPr>
      <w:r w:rsidRPr="00FF536E">
        <w:rPr>
          <w:b/>
        </w:rPr>
        <w:t>Author Contribution</w:t>
      </w:r>
      <w:r w:rsidR="00554A5B" w:rsidRPr="00FF536E">
        <w:rPr>
          <w:b/>
        </w:rPr>
        <w:t xml:space="preserve">s: </w:t>
      </w:r>
      <w:r w:rsidR="006D272B" w:rsidRPr="006D272B">
        <w:t xml:space="preserve">Conceptualization, R.Š., S.S.Š., S.S. R.I.; methodology, S.S., R.Š., R.I., F.C.; software, A.G.J., N.S., I.T., P.S., F.C.; ; formal analysis, I.T., S.S., A.G.J., R.Š. S.S.Š., R.I., S.M.; investigation, S.K., I.T., S.M., P.S., R.I, F.C..; data </w:t>
      </w:r>
      <w:proofErr w:type="spellStart"/>
      <w:r w:rsidR="006D272B" w:rsidRPr="006D272B">
        <w:t>curation</w:t>
      </w:r>
      <w:proofErr w:type="spellEnd"/>
      <w:r w:rsidR="006D272B" w:rsidRPr="006D272B">
        <w:t>, I.T., S.S., N.S., A.G.J., S.S.Š., S.K.; writing—original draft preparation, I.T., S.K., P.S., A.G.J., N.S., S.M., R.Š.; writing—review and editing, S.S., S.M., R.Š., S.S.Š., N.S., R.I., F.C.; visualization, I.T., P.S., N.S., A.G.J., S.K., R.Š., S.M., F.C.; supervision, S.S., R.Š., S.S.Š., R.I.; project administration, P.S., I.T., S.S., A.G.J., S.K., S.M., S.S.Š., F.C. All authors have read and agreed to the published version of the manuscript</w:t>
      </w:r>
      <w:r w:rsidR="00554A5B" w:rsidRPr="00613B31">
        <w:t>.</w:t>
      </w:r>
    </w:p>
    <w:p w14:paraId="1EE93F1E" w14:textId="79E86886" w:rsidR="00554A5B" w:rsidRPr="00613B31" w:rsidRDefault="00554A5B" w:rsidP="00FF536E">
      <w:pPr>
        <w:pStyle w:val="MDPI62BackMatter"/>
      </w:pPr>
      <w:r w:rsidRPr="00FF536E">
        <w:rPr>
          <w:b/>
        </w:rPr>
        <w:t xml:space="preserve">Funding: </w:t>
      </w:r>
      <w:r w:rsidRPr="00613B31">
        <w:t>This research received no external funding.</w:t>
      </w:r>
    </w:p>
    <w:p w14:paraId="75272B2D" w14:textId="2021F07C" w:rsidR="003749F1" w:rsidRPr="007D75A8" w:rsidRDefault="003749F1" w:rsidP="00FF536E">
      <w:pPr>
        <w:pStyle w:val="MDPI62BackMatter"/>
        <w:rPr>
          <w:b/>
        </w:rPr>
      </w:pPr>
      <w:bookmarkStart w:id="1" w:name="_Hlk60054323"/>
      <w:r w:rsidRPr="00FF536E">
        <w:rPr>
          <w:b/>
        </w:rPr>
        <w:t xml:space="preserve">Institutional Review Board Statement: </w:t>
      </w:r>
      <w:r w:rsidR="006D272B" w:rsidRPr="006D272B">
        <w:t xml:space="preserve">The study was conducted according to the guidelines of the Declaration of Helsinki and approved by the Institutional Ethics Committee of the Faculty of Medicine, University of </w:t>
      </w:r>
      <w:proofErr w:type="spellStart"/>
      <w:r w:rsidR="006D272B" w:rsidRPr="006D272B">
        <w:t>Banja</w:t>
      </w:r>
      <w:proofErr w:type="spellEnd"/>
      <w:r w:rsidR="006D272B" w:rsidRPr="006D272B">
        <w:t xml:space="preserve"> Luka (Decision No 18/4.17/19, date of approval: 01/03/2019)</w:t>
      </w:r>
      <w:r w:rsidRPr="007D75A8">
        <w:t>.</w:t>
      </w:r>
    </w:p>
    <w:p w14:paraId="58F69381" w14:textId="07C34BD2" w:rsidR="003749F1" w:rsidRPr="007D75A8" w:rsidRDefault="003749F1" w:rsidP="00FF536E">
      <w:pPr>
        <w:pStyle w:val="MDPI62BackMatter"/>
      </w:pPr>
      <w:r w:rsidRPr="00FF536E">
        <w:rPr>
          <w:b/>
        </w:rPr>
        <w:t xml:space="preserve">Informed Consent Statement: </w:t>
      </w:r>
      <w:r w:rsidR="006D272B" w:rsidRPr="006D272B">
        <w:t>This is a non-interventional study, and all participants were fully informed that the anonymity is assured, why the research is being conducted, how their data will be used and that there are no risks associated with participation in this study</w:t>
      </w:r>
      <w:r w:rsidRPr="007D75A8">
        <w:t>.</w:t>
      </w:r>
    </w:p>
    <w:p w14:paraId="0685B16E" w14:textId="0A36A0F5" w:rsidR="003749F1" w:rsidRPr="00613B31" w:rsidRDefault="003749F1" w:rsidP="00FF536E">
      <w:pPr>
        <w:pStyle w:val="MDPI62BackMatter"/>
      </w:pPr>
      <w:r w:rsidRPr="00FF536E">
        <w:rPr>
          <w:b/>
        </w:rPr>
        <w:t xml:space="preserve">Data Availability Statement: </w:t>
      </w:r>
      <w:r w:rsidR="006D272B" w:rsidRPr="006D272B">
        <w:t>All data presented in this study is available upon request.</w:t>
      </w:r>
    </w:p>
    <w:bookmarkEnd w:id="1"/>
    <w:p w14:paraId="51F47C36" w14:textId="77777777" w:rsidR="00554A5B" w:rsidRPr="00613B31" w:rsidRDefault="00554A5B" w:rsidP="00FF536E">
      <w:pPr>
        <w:pStyle w:val="MDPI62BackMatter"/>
      </w:pPr>
      <w:r w:rsidRPr="00FF536E">
        <w:rPr>
          <w:b/>
        </w:rPr>
        <w:lastRenderedPageBreak/>
        <w:t>Acknowledgments:</w:t>
      </w:r>
      <w:r w:rsidRPr="00613B31">
        <w:t xml:space="preserve"> </w:t>
      </w:r>
      <w:r w:rsidR="00BC548D">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2B4E06C0" w14:textId="3F40D3ED" w:rsidR="00554A5B" w:rsidRPr="00613B31" w:rsidRDefault="00554A5B" w:rsidP="00FF536E">
      <w:pPr>
        <w:pStyle w:val="MDPI62BackMatter"/>
      </w:pPr>
      <w:r w:rsidRPr="00FF536E">
        <w:rPr>
          <w:b/>
        </w:rPr>
        <w:t xml:space="preserve">Conflicts of Interest: </w:t>
      </w:r>
      <w:r w:rsidR="006D272B" w:rsidRPr="006D272B">
        <w:t>The authors declare no conflicts of interests.</w:t>
      </w:r>
    </w:p>
    <w:p w14:paraId="3506589D" w14:textId="77777777" w:rsidR="00554A5B" w:rsidRPr="00FA04F1" w:rsidRDefault="00554A5B" w:rsidP="00523C6D">
      <w:pPr>
        <w:pStyle w:val="MDPI21heading1"/>
        <w:ind w:left="0"/>
      </w:pPr>
      <w:r w:rsidRPr="00FA04F1">
        <w:t>References</w:t>
      </w:r>
    </w:p>
    <w:p w14:paraId="15EC7773" w14:textId="0E376445" w:rsidR="00FF536E" w:rsidRPr="00FF536E" w:rsidRDefault="00FF536E" w:rsidP="00FF536E">
      <w:pPr>
        <w:pStyle w:val="MDPI71References"/>
      </w:pPr>
      <w:r w:rsidRPr="00FF536E">
        <w:t>Smoking and Health: Report of the Advisory Committee to the Surgeon General of the Public Health Service. U.S. Department of Health, Education, and Welfare. Public Health Service Publication No. 1103. Washington DC, USA, 1964. Available online: https://www.unav.edu/documents/16089811/16155256/Smoking+and+Health+the+Surgeon+General+Report+1964.pdf (accessed on 01/02/2022)</w:t>
      </w:r>
    </w:p>
    <w:p w14:paraId="2BAF338C" w14:textId="70E30164" w:rsidR="00FF536E" w:rsidRPr="00FF536E" w:rsidRDefault="00FF536E" w:rsidP="00FF536E">
      <w:pPr>
        <w:pStyle w:val="MDPI71References"/>
      </w:pPr>
      <w:r w:rsidRPr="00FF536E">
        <w:t xml:space="preserve">World Health </w:t>
      </w:r>
      <w:proofErr w:type="spellStart"/>
      <w:r w:rsidRPr="00FF536E">
        <w:t>Organisation</w:t>
      </w:r>
      <w:proofErr w:type="spellEnd"/>
      <w:r w:rsidRPr="00FF536E">
        <w:t>. Tobacco Fact Sheet. Available online:  https://www.who.int/news-room/fact-sheets/detail/tobacco (accessed on 01/02/2022).</w:t>
      </w:r>
    </w:p>
    <w:p w14:paraId="7B59413F" w14:textId="79881441" w:rsidR="00FF536E" w:rsidRPr="00FF536E" w:rsidRDefault="00FF536E" w:rsidP="00FF536E">
      <w:pPr>
        <w:pStyle w:val="MDPI71References"/>
      </w:pPr>
      <w:proofErr w:type="spellStart"/>
      <w:r w:rsidRPr="00FF536E">
        <w:t>Schuller</w:t>
      </w:r>
      <w:proofErr w:type="spellEnd"/>
      <w:r w:rsidRPr="00FF536E">
        <w:t xml:space="preserve">, H. M. The impact of smoking and the influence of other factors on lung cancer. Expert Rev </w:t>
      </w:r>
      <w:proofErr w:type="spellStart"/>
      <w:r w:rsidRPr="00FF536E">
        <w:t>Respir</w:t>
      </w:r>
      <w:proofErr w:type="spellEnd"/>
      <w:r w:rsidRPr="00FF536E">
        <w:t xml:space="preserve"> Med 2019, 13(8), 761–769.</w:t>
      </w:r>
    </w:p>
    <w:p w14:paraId="2A29015A" w14:textId="6649620F" w:rsidR="00FF536E" w:rsidRPr="00FF536E" w:rsidRDefault="00FF536E" w:rsidP="00FF536E">
      <w:pPr>
        <w:pStyle w:val="MDPI71References"/>
      </w:pPr>
      <w:r w:rsidRPr="00FF536E">
        <w:t>The Health Consequences of Smoking—50 Years of Progress: A Report of the Surgeon General. U.S. Department of Health and Human Services. Rockville, Maryland, USA, 2014. Available online: https://www.hhs.gov/sites/default/files/consequences-smoking-exec-summary.pdf (accessed on: 01/02/2022)</w:t>
      </w:r>
    </w:p>
    <w:p w14:paraId="0225B017" w14:textId="446D0E4B" w:rsidR="00FF536E" w:rsidRPr="00FF536E" w:rsidRDefault="00FF536E" w:rsidP="00FF536E">
      <w:pPr>
        <w:pStyle w:val="MDPI71References"/>
      </w:pPr>
      <w:r w:rsidRPr="00FF536E">
        <w:t>Centers for Disease Control and Prevention (US); National Center for Chronic Disease Prevention and Health Promotion (US); Office on Smoking and Health (US). How Tobacco Smoke Causes Disease: The Biology and Behavioral Basis for Smoking-Attributable Disease: A Report of the Surgeon General. Atlanta (GA): Centers for Disease Control and Prevention (US); 2010. Available from: https://www.ncbi.nlm.nih.gov/books/NBK53017/ (accessed on 01/02/2022)</w:t>
      </w:r>
    </w:p>
    <w:p w14:paraId="7AE12663" w14:textId="58419496" w:rsidR="00FF536E" w:rsidRPr="00FF536E" w:rsidRDefault="00FF536E" w:rsidP="00FF536E">
      <w:pPr>
        <w:pStyle w:val="MDPI71References"/>
      </w:pPr>
      <w:r w:rsidRPr="00FF536E">
        <w:t>U.S. Department of Health and Human Services. Women and Smoking: A Report of the Surgeon General. 2017. Available from: https://www.cdc.gov/tobacco/data_statistics/sgr/2001/complete_report/index.htm (accessed on 01/02/2022)</w:t>
      </w:r>
    </w:p>
    <w:p w14:paraId="2A8AA179" w14:textId="77126ACD" w:rsidR="00FF536E" w:rsidRPr="00FF536E" w:rsidRDefault="00FF536E" w:rsidP="00FF536E">
      <w:pPr>
        <w:pStyle w:val="MDPI71References"/>
      </w:pPr>
      <w:r w:rsidRPr="00FF536E">
        <w:t xml:space="preserve">Public Health Institute of the Republic of </w:t>
      </w:r>
      <w:proofErr w:type="spellStart"/>
      <w:r w:rsidRPr="00FF536E">
        <w:t>Srpska</w:t>
      </w:r>
      <w:proofErr w:type="spellEnd"/>
      <w:r w:rsidRPr="00FF536E">
        <w:t xml:space="preserve">. Health Risk Factors for Non-Communicable Disease (NDC) - Implications for Policy and Practice. </w:t>
      </w:r>
      <w:proofErr w:type="spellStart"/>
      <w:r w:rsidRPr="00FF536E">
        <w:t>Banja</w:t>
      </w:r>
      <w:proofErr w:type="spellEnd"/>
      <w:r w:rsidRPr="00FF536E">
        <w:t xml:space="preserve"> Luka, </w:t>
      </w:r>
      <w:proofErr w:type="gramStart"/>
      <w:r w:rsidRPr="00FF536E">
        <w:t>The</w:t>
      </w:r>
      <w:proofErr w:type="gramEnd"/>
      <w:r w:rsidRPr="00FF536E">
        <w:t xml:space="preserve"> Republic of </w:t>
      </w:r>
      <w:proofErr w:type="spellStart"/>
      <w:r w:rsidRPr="00FF536E">
        <w:t>Srpska</w:t>
      </w:r>
      <w:proofErr w:type="spellEnd"/>
      <w:r w:rsidRPr="00FF536E">
        <w:t xml:space="preserve">, Bosnia and Herzegovina 2015. </w:t>
      </w:r>
    </w:p>
    <w:p w14:paraId="236172F4" w14:textId="0FD8549C" w:rsidR="00FF536E" w:rsidRPr="00FF536E" w:rsidRDefault="00FF536E" w:rsidP="00FF536E">
      <w:pPr>
        <w:pStyle w:val="MDPI71References"/>
      </w:pPr>
      <w:r w:rsidRPr="00FF536E">
        <w:t xml:space="preserve">Global Youth Tobacco Survey among school children in the Republic of </w:t>
      </w:r>
      <w:proofErr w:type="spellStart"/>
      <w:r w:rsidRPr="00FF536E">
        <w:t>Srpska</w:t>
      </w:r>
      <w:proofErr w:type="spellEnd"/>
      <w:r w:rsidRPr="00FF536E">
        <w:t xml:space="preserve">. </w:t>
      </w:r>
      <w:proofErr w:type="spellStart"/>
      <w:r w:rsidRPr="00FF536E">
        <w:t>Banja</w:t>
      </w:r>
      <w:proofErr w:type="spellEnd"/>
      <w:r w:rsidRPr="00FF536E">
        <w:t xml:space="preserve"> Luka; 2019. </w:t>
      </w:r>
    </w:p>
    <w:p w14:paraId="6C83C5DE" w14:textId="3E58A9A6" w:rsidR="00FF536E" w:rsidRPr="00FF536E" w:rsidRDefault="00FF536E" w:rsidP="00FF536E">
      <w:pPr>
        <w:pStyle w:val="MDPI71References"/>
      </w:pPr>
      <w:proofErr w:type="spellStart"/>
      <w:r w:rsidRPr="00FF536E">
        <w:t>Polańska</w:t>
      </w:r>
      <w:proofErr w:type="spellEnd"/>
      <w:r w:rsidRPr="00FF536E">
        <w:t xml:space="preserve">, K.; </w:t>
      </w:r>
      <w:proofErr w:type="spellStart"/>
      <w:r w:rsidRPr="00FF536E">
        <w:t>Wojtysiak</w:t>
      </w:r>
      <w:proofErr w:type="spellEnd"/>
      <w:r w:rsidRPr="00FF536E">
        <w:t xml:space="preserve">, P.; </w:t>
      </w:r>
      <w:proofErr w:type="spellStart"/>
      <w:r w:rsidRPr="00FF536E">
        <w:t>Bąk-Romaniszyn</w:t>
      </w:r>
      <w:proofErr w:type="spellEnd"/>
      <w:r w:rsidRPr="00FF536E">
        <w:t xml:space="preserve">, L.; </w:t>
      </w:r>
      <w:proofErr w:type="spellStart"/>
      <w:r w:rsidRPr="00FF536E">
        <w:t>Kaleta</w:t>
      </w:r>
      <w:proofErr w:type="spellEnd"/>
      <w:r w:rsidRPr="00FF536E">
        <w:t xml:space="preserve">, D. Susceptibility to cigarette smoking among secondary and high school students from a socially disadvantaged rural area in Poland. </w:t>
      </w:r>
      <w:proofErr w:type="spellStart"/>
      <w:r w:rsidRPr="00FF536E">
        <w:t>Tob</w:t>
      </w:r>
      <w:proofErr w:type="spellEnd"/>
      <w:r w:rsidRPr="00FF536E">
        <w:t xml:space="preserve"> </w:t>
      </w:r>
      <w:proofErr w:type="spellStart"/>
      <w:r w:rsidRPr="00FF536E">
        <w:t>Induc</w:t>
      </w:r>
      <w:proofErr w:type="spellEnd"/>
      <w:r w:rsidRPr="00FF536E">
        <w:t xml:space="preserve"> Dis 2016, 14(1):1–11. </w:t>
      </w:r>
    </w:p>
    <w:p w14:paraId="164ABD94" w14:textId="759FCD44" w:rsidR="00FF536E" w:rsidRPr="00FF536E" w:rsidRDefault="00FF536E" w:rsidP="00FF536E">
      <w:pPr>
        <w:pStyle w:val="MDPI71References"/>
      </w:pPr>
      <w:proofErr w:type="spellStart"/>
      <w:r w:rsidRPr="00FF536E">
        <w:t>Pengpid</w:t>
      </w:r>
      <w:proofErr w:type="spellEnd"/>
      <w:r w:rsidRPr="00FF536E">
        <w:t xml:space="preserve">, S.; </w:t>
      </w:r>
      <w:proofErr w:type="spellStart"/>
      <w:r w:rsidRPr="00FF536E">
        <w:t>Peltzer</w:t>
      </w:r>
      <w:proofErr w:type="spellEnd"/>
      <w:r w:rsidRPr="00FF536E">
        <w:t xml:space="preserve">, K. Tobacco use and associated health risk </w:t>
      </w:r>
      <w:proofErr w:type="spellStart"/>
      <w:r w:rsidRPr="00FF536E">
        <w:t>behaviours</w:t>
      </w:r>
      <w:proofErr w:type="spellEnd"/>
      <w:r w:rsidRPr="00FF536E">
        <w:t xml:space="preserve"> among university students in 27 countries. </w:t>
      </w:r>
      <w:proofErr w:type="spellStart"/>
      <w:r w:rsidRPr="00FF536E">
        <w:t>Int</w:t>
      </w:r>
      <w:proofErr w:type="spellEnd"/>
      <w:r w:rsidRPr="00FF536E">
        <w:t xml:space="preserve"> J </w:t>
      </w:r>
      <w:proofErr w:type="spellStart"/>
      <w:r w:rsidRPr="00FF536E">
        <w:t>Adolesc</w:t>
      </w:r>
      <w:proofErr w:type="spellEnd"/>
      <w:r w:rsidRPr="00FF536E">
        <w:t xml:space="preserve"> Med Health, 2020. Advance online publication.</w:t>
      </w:r>
    </w:p>
    <w:p w14:paraId="4C5787D8" w14:textId="3C830621" w:rsidR="00FF536E" w:rsidRPr="00FF536E" w:rsidRDefault="00FF536E" w:rsidP="00FF536E">
      <w:pPr>
        <w:pStyle w:val="MDPI71References"/>
      </w:pPr>
      <w:r w:rsidRPr="00FF536E">
        <w:t>Global Youth Tobacco Survey (GYTS) Questionnaire. Available online: https://www.who.int/teams/noncommunicable-diseases/surveillance/systems-tools/global-youth-tobacco-survey/questionnaire (accessed on 24/01/2022).</w:t>
      </w:r>
    </w:p>
    <w:p w14:paraId="55034255" w14:textId="5FD500BF" w:rsidR="00FF536E" w:rsidRPr="00FF536E" w:rsidRDefault="00FF536E" w:rsidP="00FF536E">
      <w:pPr>
        <w:pStyle w:val="MDPI71References"/>
      </w:pPr>
      <w:r w:rsidRPr="00FF536E">
        <w:t>Centers for Disease Control and Prevention. Global Tobacco Surveillance System Data. Global Health Professions Students Survey Protocol 2008. Available online: https://nccd.cdc.gov/GTSSDataSurveyResources/Ancillary/Documentation.aspx?SUID=3&amp;DOCT=1 (accessed 24/01/2022).</w:t>
      </w:r>
    </w:p>
    <w:p w14:paraId="7914A10D" w14:textId="151E348E" w:rsidR="00FF536E" w:rsidRPr="00FF536E" w:rsidRDefault="00FF536E" w:rsidP="00FF536E">
      <w:pPr>
        <w:pStyle w:val="MDPI71References"/>
      </w:pPr>
      <w:proofErr w:type="spellStart"/>
      <w:r w:rsidRPr="00FF536E">
        <w:t>Kirchherr</w:t>
      </w:r>
      <w:proofErr w:type="spellEnd"/>
      <w:r w:rsidRPr="00FF536E">
        <w:t xml:space="preserve">, J.; Charles, K. Enhancing the sample diversity of snowball samples: Recommendations from a research project on anti-dam movements in Southeast Asia. PLOS ONE 2018, 13(8). </w:t>
      </w:r>
    </w:p>
    <w:p w14:paraId="27735853" w14:textId="20D6147D" w:rsidR="00FF536E" w:rsidRPr="00FF536E" w:rsidRDefault="00FF536E" w:rsidP="00FF536E">
      <w:pPr>
        <w:pStyle w:val="MDPI71References"/>
      </w:pPr>
      <w:r w:rsidRPr="00FF536E">
        <w:t>World Medical Association. World Medical Association Declaration of Helsinki: ethical principles for medical research involving human subjects. JAMA, 2013, 310(20), 2191–2194.</w:t>
      </w:r>
    </w:p>
    <w:p w14:paraId="0F103183" w14:textId="704558F3" w:rsidR="00FF536E" w:rsidRPr="00FF536E" w:rsidRDefault="00FF536E" w:rsidP="00FF536E">
      <w:pPr>
        <w:pStyle w:val="MDPI71References"/>
      </w:pPr>
      <w:proofErr w:type="spellStart"/>
      <w:r w:rsidRPr="00FF536E">
        <w:t>Brożek</w:t>
      </w:r>
      <w:proofErr w:type="spellEnd"/>
      <w:r w:rsidRPr="00FF536E">
        <w:t xml:space="preserve">, G.M.; Jankowski, M.; Lawson, J.A.; </w:t>
      </w:r>
      <w:proofErr w:type="spellStart"/>
      <w:r w:rsidRPr="00FF536E">
        <w:t>Shpakou</w:t>
      </w:r>
      <w:proofErr w:type="spellEnd"/>
      <w:r w:rsidRPr="00FF536E">
        <w:t xml:space="preserve">, A.; </w:t>
      </w:r>
      <w:proofErr w:type="spellStart"/>
      <w:r w:rsidRPr="00FF536E">
        <w:t>Poznański</w:t>
      </w:r>
      <w:proofErr w:type="spellEnd"/>
      <w:r w:rsidRPr="00FF536E">
        <w:t xml:space="preserve">, M.; </w:t>
      </w:r>
      <w:proofErr w:type="spellStart"/>
      <w:r w:rsidRPr="00FF536E">
        <w:t>Zielonka</w:t>
      </w:r>
      <w:proofErr w:type="spellEnd"/>
      <w:r w:rsidRPr="00FF536E">
        <w:t xml:space="preserve">, T.M. et al. The prevalence of cigarette and e-cigarette smoking among students in central and </w:t>
      </w:r>
      <w:proofErr w:type="gramStart"/>
      <w:r w:rsidRPr="00FF536E">
        <w:t xml:space="preserve">eastern </w:t>
      </w:r>
      <w:proofErr w:type="spellStart"/>
      <w:r w:rsidRPr="00FF536E">
        <w:t>europe</w:t>
      </w:r>
      <w:proofErr w:type="spellEnd"/>
      <w:r w:rsidRPr="00FF536E">
        <w:t>—</w:t>
      </w:r>
      <w:proofErr w:type="gramEnd"/>
      <w:r w:rsidRPr="00FF536E">
        <w:t xml:space="preserve">results of the YUPESS study. </w:t>
      </w:r>
      <w:proofErr w:type="spellStart"/>
      <w:r w:rsidRPr="00FF536E">
        <w:t>Int</w:t>
      </w:r>
      <w:proofErr w:type="spellEnd"/>
      <w:r w:rsidRPr="00FF536E">
        <w:t xml:space="preserve"> J Environ Res Public Health 2019, 16(13):2297. </w:t>
      </w:r>
    </w:p>
    <w:p w14:paraId="7B481B65" w14:textId="425F3FA6" w:rsidR="00FF536E" w:rsidRPr="00FF536E" w:rsidRDefault="00FF536E" w:rsidP="00FF536E">
      <w:pPr>
        <w:pStyle w:val="MDPI71References"/>
      </w:pPr>
      <w:proofErr w:type="spellStart"/>
      <w:r w:rsidRPr="00FF536E">
        <w:t>Kaleta</w:t>
      </w:r>
      <w:proofErr w:type="spellEnd"/>
      <w:r w:rsidRPr="00FF536E">
        <w:t xml:space="preserve">, D.; </w:t>
      </w:r>
      <w:proofErr w:type="spellStart"/>
      <w:r w:rsidRPr="00FF536E">
        <w:t>Polanska</w:t>
      </w:r>
      <w:proofErr w:type="spellEnd"/>
      <w:r w:rsidRPr="00FF536E">
        <w:t xml:space="preserve">, K.; </w:t>
      </w:r>
      <w:proofErr w:type="spellStart"/>
      <w:r w:rsidRPr="00FF536E">
        <w:t>Wojtysiak</w:t>
      </w:r>
      <w:proofErr w:type="spellEnd"/>
      <w:r w:rsidRPr="00FF536E">
        <w:t xml:space="preserve">, P.; </w:t>
      </w:r>
      <w:proofErr w:type="spellStart"/>
      <w:r w:rsidRPr="00FF536E">
        <w:t>Szatko</w:t>
      </w:r>
      <w:proofErr w:type="spellEnd"/>
      <w:r w:rsidRPr="00FF536E">
        <w:t xml:space="preserve">, F. Involuntary smoking in adolescents, their awareness of its harmfulness, and attitudes towards smoking in the presence of non-smokers. </w:t>
      </w:r>
      <w:proofErr w:type="spellStart"/>
      <w:proofErr w:type="gramStart"/>
      <w:r w:rsidRPr="00FF536E">
        <w:t>Int</w:t>
      </w:r>
      <w:proofErr w:type="spellEnd"/>
      <w:r w:rsidRPr="00FF536E">
        <w:t xml:space="preserve">  J</w:t>
      </w:r>
      <w:proofErr w:type="gramEnd"/>
      <w:r w:rsidRPr="00FF536E">
        <w:t xml:space="preserve">  Environ Res Public Health 2017, 14(10):1095. </w:t>
      </w:r>
    </w:p>
    <w:p w14:paraId="184FE35C" w14:textId="705F9BA2" w:rsidR="00FF536E" w:rsidRPr="00FF536E" w:rsidRDefault="00FF536E" w:rsidP="00FF536E">
      <w:pPr>
        <w:pStyle w:val="MDPI71References"/>
      </w:pPr>
      <w:r w:rsidRPr="00FF536E">
        <w:t xml:space="preserve">Nasser, A.M.A.; Salah, B.A.M.; </w:t>
      </w:r>
      <w:proofErr w:type="spellStart"/>
      <w:r w:rsidRPr="00FF536E">
        <w:t>Regassa</w:t>
      </w:r>
      <w:proofErr w:type="spellEnd"/>
      <w:r w:rsidRPr="00FF536E">
        <w:t xml:space="preserve">, L.T.; </w:t>
      </w:r>
      <w:proofErr w:type="spellStart"/>
      <w:r w:rsidRPr="00FF536E">
        <w:t>Alhakimy</w:t>
      </w:r>
      <w:proofErr w:type="spellEnd"/>
      <w:r w:rsidRPr="00FF536E">
        <w:t xml:space="preserve">, A.A.S.; Zhang, X. Smoking prevalence, attitudes and associated factors among students in health-related Departments of Community College in rural Yemen. </w:t>
      </w:r>
      <w:proofErr w:type="spellStart"/>
      <w:r w:rsidRPr="00FF536E">
        <w:t>Tob</w:t>
      </w:r>
      <w:proofErr w:type="spellEnd"/>
      <w:r w:rsidRPr="00FF536E">
        <w:t xml:space="preserve"> Induced Dis 2018, 16(July), 31. </w:t>
      </w:r>
    </w:p>
    <w:p w14:paraId="4BD20907" w14:textId="5D1F1D6A" w:rsidR="00FF536E" w:rsidRPr="00FF536E" w:rsidRDefault="00FF536E" w:rsidP="00FF536E">
      <w:pPr>
        <w:pStyle w:val="MDPI71References"/>
      </w:pPr>
      <w:proofErr w:type="spellStart"/>
      <w:r w:rsidRPr="00FF536E">
        <w:t>Karadoğan</w:t>
      </w:r>
      <w:proofErr w:type="spellEnd"/>
      <w:r w:rsidRPr="00FF536E">
        <w:t xml:space="preserve">, D.; </w:t>
      </w:r>
      <w:proofErr w:type="spellStart"/>
      <w:r w:rsidRPr="00FF536E">
        <w:t>Önal</w:t>
      </w:r>
      <w:proofErr w:type="spellEnd"/>
      <w:r w:rsidRPr="00FF536E">
        <w:t xml:space="preserve">, </w:t>
      </w:r>
      <w:proofErr w:type="gramStart"/>
      <w:r w:rsidRPr="00FF536E">
        <w:t>Ö.;</w:t>
      </w:r>
      <w:proofErr w:type="gramEnd"/>
      <w:r w:rsidRPr="00FF536E">
        <w:t xml:space="preserve"> </w:t>
      </w:r>
      <w:proofErr w:type="spellStart"/>
      <w:r w:rsidRPr="00FF536E">
        <w:t>Kanbay</w:t>
      </w:r>
      <w:proofErr w:type="spellEnd"/>
      <w:r w:rsidRPr="00FF536E">
        <w:t xml:space="preserve">, Y. Prevalence and determinants of smoking status among university students: </w:t>
      </w:r>
      <w:proofErr w:type="spellStart"/>
      <w:r w:rsidRPr="00FF536E">
        <w:t>Artvin</w:t>
      </w:r>
      <w:proofErr w:type="spellEnd"/>
      <w:r w:rsidRPr="00FF536E">
        <w:t xml:space="preserve"> </w:t>
      </w:r>
      <w:proofErr w:type="spellStart"/>
      <w:r w:rsidRPr="00FF536E">
        <w:t>Çoruh</w:t>
      </w:r>
      <w:proofErr w:type="spellEnd"/>
      <w:r w:rsidRPr="00FF536E">
        <w:t xml:space="preserve"> University sample. </w:t>
      </w:r>
      <w:proofErr w:type="spellStart"/>
      <w:r w:rsidRPr="00FF536E">
        <w:t>PloS</w:t>
      </w:r>
      <w:proofErr w:type="spellEnd"/>
      <w:r w:rsidRPr="00FF536E">
        <w:t xml:space="preserve"> one 2018, 13(12), e0200671.</w:t>
      </w:r>
    </w:p>
    <w:p w14:paraId="53B12BC1" w14:textId="572C3B96" w:rsidR="00FF536E" w:rsidRPr="00FF536E" w:rsidRDefault="00FF536E" w:rsidP="00FF536E">
      <w:pPr>
        <w:pStyle w:val="MDPI71References"/>
      </w:pPr>
      <w:r w:rsidRPr="00FF536E">
        <w:t xml:space="preserve">Sanchez, Z.M.; </w:t>
      </w:r>
      <w:proofErr w:type="spellStart"/>
      <w:r w:rsidRPr="00FF536E">
        <w:t>Opaleye</w:t>
      </w:r>
      <w:proofErr w:type="spellEnd"/>
      <w:r w:rsidRPr="00FF536E">
        <w:t xml:space="preserve">, E.S.; Martins, S.S.; Ahluwalia, J.S.; </w:t>
      </w:r>
      <w:proofErr w:type="spellStart"/>
      <w:r w:rsidRPr="00FF536E">
        <w:t>Noto</w:t>
      </w:r>
      <w:proofErr w:type="spellEnd"/>
      <w:r w:rsidRPr="00FF536E">
        <w:t xml:space="preserve">, A.R. Adolescent gender differences in the determinants of tobacco smoking: A cross sectional survey among high school students in São Paulo. BMC Public Health 2010, 10:748. </w:t>
      </w:r>
    </w:p>
    <w:p w14:paraId="4EE87FA0" w14:textId="6EF9A567" w:rsidR="00FF536E" w:rsidRPr="00FF536E" w:rsidRDefault="00FF536E" w:rsidP="00FF536E">
      <w:pPr>
        <w:pStyle w:val="MDPI71References"/>
      </w:pPr>
      <w:proofErr w:type="spellStart"/>
      <w:r w:rsidRPr="00FF536E">
        <w:t>Reda</w:t>
      </w:r>
      <w:proofErr w:type="spellEnd"/>
      <w:r w:rsidRPr="00FF536E">
        <w:t xml:space="preserve">, A.A.; </w:t>
      </w:r>
      <w:proofErr w:type="spellStart"/>
      <w:r w:rsidRPr="00FF536E">
        <w:t>Moges</w:t>
      </w:r>
      <w:proofErr w:type="spellEnd"/>
      <w:r w:rsidRPr="00FF536E">
        <w:t xml:space="preserve">, A.; </w:t>
      </w:r>
      <w:proofErr w:type="spellStart"/>
      <w:r w:rsidRPr="00FF536E">
        <w:t>Yazew</w:t>
      </w:r>
      <w:proofErr w:type="spellEnd"/>
      <w:r w:rsidRPr="00FF536E">
        <w:t xml:space="preserve">, B.; </w:t>
      </w:r>
      <w:proofErr w:type="spellStart"/>
      <w:r w:rsidRPr="00FF536E">
        <w:t>Biadgilign</w:t>
      </w:r>
      <w:proofErr w:type="spellEnd"/>
      <w:r w:rsidRPr="00FF536E">
        <w:t xml:space="preserve">, S. Determinants of cigarette smoking among school adolescents in eastern Ethiopia: a cross-sectional study. Harm </w:t>
      </w:r>
      <w:proofErr w:type="spellStart"/>
      <w:r w:rsidRPr="00FF536E">
        <w:t>Reduct</w:t>
      </w:r>
      <w:proofErr w:type="spellEnd"/>
      <w:r w:rsidRPr="00FF536E">
        <w:t xml:space="preserve"> J 2012, 9:39.</w:t>
      </w:r>
    </w:p>
    <w:p w14:paraId="48750846" w14:textId="2E59AC91" w:rsidR="00FF536E" w:rsidRPr="00FF536E" w:rsidRDefault="00FF536E" w:rsidP="00FF536E">
      <w:pPr>
        <w:pStyle w:val="MDPI71References"/>
      </w:pPr>
      <w:r w:rsidRPr="00FF536E">
        <w:t xml:space="preserve">Rachiotis, G.; </w:t>
      </w:r>
      <w:proofErr w:type="spellStart"/>
      <w:r w:rsidRPr="00FF536E">
        <w:t>Muula</w:t>
      </w:r>
      <w:proofErr w:type="spellEnd"/>
      <w:r w:rsidRPr="00FF536E">
        <w:t xml:space="preserve">, A.S.; </w:t>
      </w:r>
      <w:proofErr w:type="spellStart"/>
      <w:r w:rsidRPr="00FF536E">
        <w:t>Rudatsikira</w:t>
      </w:r>
      <w:proofErr w:type="spellEnd"/>
      <w:r w:rsidRPr="00FF536E">
        <w:t xml:space="preserve">, E.; </w:t>
      </w:r>
      <w:proofErr w:type="spellStart"/>
      <w:r w:rsidRPr="00FF536E">
        <w:t>Siziya</w:t>
      </w:r>
      <w:proofErr w:type="spellEnd"/>
      <w:r w:rsidRPr="00FF536E">
        <w:t xml:space="preserve">, S.; </w:t>
      </w:r>
      <w:proofErr w:type="spellStart"/>
      <w:r w:rsidRPr="00FF536E">
        <w:t>Kyrlesi</w:t>
      </w:r>
      <w:proofErr w:type="spellEnd"/>
      <w:r w:rsidRPr="00FF536E">
        <w:t xml:space="preserve">, A.; </w:t>
      </w:r>
      <w:proofErr w:type="spellStart"/>
      <w:r w:rsidRPr="00FF536E">
        <w:t>Gourgoulianis</w:t>
      </w:r>
      <w:proofErr w:type="spellEnd"/>
      <w:r w:rsidRPr="00FF536E">
        <w:t xml:space="preserve">, K. et al. Factors associated with adolescent cigarette smoking in Greece: Results from a cross sectional study (GYTS Study). BMC Public Health, 2008, 8:313. </w:t>
      </w:r>
    </w:p>
    <w:p w14:paraId="4CCB3587" w14:textId="7DF9B608" w:rsidR="00FF536E" w:rsidRPr="00FF536E" w:rsidRDefault="00FF536E" w:rsidP="00FF536E">
      <w:pPr>
        <w:pStyle w:val="MDPI71References"/>
      </w:pPr>
      <w:proofErr w:type="spellStart"/>
      <w:r w:rsidRPr="00FF536E">
        <w:t>Boričić</w:t>
      </w:r>
      <w:proofErr w:type="spellEnd"/>
      <w:r w:rsidRPr="00FF536E">
        <w:t xml:space="preserve"> K.; </w:t>
      </w:r>
      <w:proofErr w:type="spellStart"/>
      <w:r w:rsidRPr="00FF536E">
        <w:t>Vasić</w:t>
      </w:r>
      <w:proofErr w:type="spellEnd"/>
      <w:r w:rsidRPr="00FF536E">
        <w:t xml:space="preserve"> M.; </w:t>
      </w:r>
      <w:proofErr w:type="spellStart"/>
      <w:r w:rsidRPr="00FF536E">
        <w:t>Grozdanov</w:t>
      </w:r>
      <w:proofErr w:type="spellEnd"/>
      <w:r w:rsidRPr="00FF536E">
        <w:t xml:space="preserve"> J.; </w:t>
      </w:r>
      <w:proofErr w:type="spellStart"/>
      <w:r w:rsidRPr="00FF536E">
        <w:t>Rakić</w:t>
      </w:r>
      <w:proofErr w:type="spellEnd"/>
      <w:r w:rsidRPr="00FF536E">
        <w:t xml:space="preserve"> J.G.; </w:t>
      </w:r>
      <w:proofErr w:type="spellStart"/>
      <w:r w:rsidRPr="00FF536E">
        <w:t>Šulović</w:t>
      </w:r>
      <w:proofErr w:type="spellEnd"/>
      <w:r w:rsidRPr="00FF536E">
        <w:t xml:space="preserve"> M.Ž.; </w:t>
      </w:r>
      <w:proofErr w:type="spellStart"/>
      <w:r w:rsidRPr="00FF536E">
        <w:t>Knežević</w:t>
      </w:r>
      <w:proofErr w:type="spellEnd"/>
      <w:r w:rsidRPr="00FF536E">
        <w:t xml:space="preserve"> N.J. et al. Results of the national health survey of the Republic of Serbia: 2013. Belgrade: The Institute of Public Health of Serbia ''</w:t>
      </w:r>
      <w:proofErr w:type="spellStart"/>
      <w:r w:rsidRPr="00FF536E">
        <w:t>Dr</w:t>
      </w:r>
      <w:proofErr w:type="spellEnd"/>
      <w:r w:rsidRPr="00FF536E">
        <w:t xml:space="preserve"> Milan </w:t>
      </w:r>
      <w:proofErr w:type="spellStart"/>
      <w:r w:rsidRPr="00FF536E">
        <w:t>Jovanović</w:t>
      </w:r>
      <w:proofErr w:type="spellEnd"/>
      <w:r w:rsidRPr="00FF536E">
        <w:t xml:space="preserve"> </w:t>
      </w:r>
      <w:proofErr w:type="spellStart"/>
      <w:r w:rsidRPr="00FF536E">
        <w:t>Batut</w:t>
      </w:r>
      <w:proofErr w:type="spellEnd"/>
      <w:r w:rsidRPr="00FF536E">
        <w:t xml:space="preserve">". 2014; </w:t>
      </w:r>
    </w:p>
    <w:p w14:paraId="2AD15C8D" w14:textId="31F1C075" w:rsidR="00FF536E" w:rsidRPr="00FF536E" w:rsidRDefault="00FF536E" w:rsidP="00FF536E">
      <w:pPr>
        <w:pStyle w:val="MDPI71References"/>
      </w:pPr>
      <w:proofErr w:type="spellStart"/>
      <w:r w:rsidRPr="00FF536E">
        <w:t>Milošević</w:t>
      </w:r>
      <w:proofErr w:type="spellEnd"/>
      <w:r w:rsidRPr="00FF536E">
        <w:t xml:space="preserve"> </w:t>
      </w:r>
      <w:proofErr w:type="spellStart"/>
      <w:r w:rsidRPr="00FF536E">
        <w:t>Georgiev</w:t>
      </w:r>
      <w:proofErr w:type="spellEnd"/>
      <w:r w:rsidRPr="00FF536E">
        <w:t xml:space="preserve"> A.; </w:t>
      </w:r>
      <w:proofErr w:type="spellStart"/>
      <w:r w:rsidRPr="00FF536E">
        <w:t>Kotur-Stevuljević</w:t>
      </w:r>
      <w:proofErr w:type="spellEnd"/>
      <w:r w:rsidRPr="00FF536E">
        <w:t xml:space="preserve"> J.; </w:t>
      </w:r>
      <w:proofErr w:type="spellStart"/>
      <w:r w:rsidRPr="00FF536E">
        <w:t>Krajnović</w:t>
      </w:r>
      <w:proofErr w:type="spellEnd"/>
      <w:r w:rsidRPr="00FF536E">
        <w:t xml:space="preserve"> D. Socio-demographic factors associated with smoking habits among university students in Belgrade, Serbia. </w:t>
      </w:r>
      <w:proofErr w:type="spellStart"/>
      <w:r w:rsidRPr="00FF536E">
        <w:t>Zdravstveno</w:t>
      </w:r>
      <w:proofErr w:type="spellEnd"/>
      <w:r w:rsidRPr="00FF536E">
        <w:t xml:space="preserve"> </w:t>
      </w:r>
      <w:proofErr w:type="spellStart"/>
      <w:r w:rsidRPr="00FF536E">
        <w:t>Varstvo</w:t>
      </w:r>
      <w:proofErr w:type="spellEnd"/>
      <w:r w:rsidRPr="00FF536E">
        <w:t xml:space="preserve"> 2019, 58(1), 11-20.</w:t>
      </w:r>
    </w:p>
    <w:p w14:paraId="3CD86544" w14:textId="2F23D710" w:rsidR="00FF536E" w:rsidRPr="00FF536E" w:rsidRDefault="00FF536E" w:rsidP="00FF536E">
      <w:pPr>
        <w:pStyle w:val="MDPI71References"/>
      </w:pPr>
      <w:proofErr w:type="spellStart"/>
      <w:r w:rsidRPr="00FF536E">
        <w:lastRenderedPageBreak/>
        <w:t>Rodakowska</w:t>
      </w:r>
      <w:proofErr w:type="spellEnd"/>
      <w:r w:rsidRPr="00FF536E">
        <w:t xml:space="preserve"> E.; Mazur M.; </w:t>
      </w:r>
      <w:proofErr w:type="spellStart"/>
      <w:r w:rsidRPr="00FF536E">
        <w:t>Baginska</w:t>
      </w:r>
      <w:proofErr w:type="spellEnd"/>
      <w:r w:rsidRPr="00FF536E">
        <w:t xml:space="preserve"> J.; </w:t>
      </w:r>
      <w:proofErr w:type="spellStart"/>
      <w:r w:rsidRPr="00FF536E">
        <w:t>Sierpinska</w:t>
      </w:r>
      <w:proofErr w:type="spellEnd"/>
      <w:r w:rsidRPr="00FF536E">
        <w:t xml:space="preserve"> T.; la Torre G.; </w:t>
      </w:r>
      <w:proofErr w:type="spellStart"/>
      <w:r w:rsidRPr="00FF536E">
        <w:t>Ottolenghi</w:t>
      </w:r>
      <w:proofErr w:type="spellEnd"/>
      <w:r w:rsidRPr="00FF536E">
        <w:t xml:space="preserve"> L. et al. Smoking Prevalence, Attitudes and Behavior among Dental Students in Poland and Italy. </w:t>
      </w:r>
      <w:proofErr w:type="spellStart"/>
      <w:r w:rsidRPr="00FF536E">
        <w:t>Int</w:t>
      </w:r>
      <w:proofErr w:type="spellEnd"/>
      <w:r w:rsidRPr="00FF536E">
        <w:t xml:space="preserve"> J Environ Res Public Health, 2020, 17(20):7451. </w:t>
      </w:r>
    </w:p>
    <w:p w14:paraId="54B1A596" w14:textId="17656543" w:rsidR="00FF536E" w:rsidRPr="00FF536E" w:rsidRDefault="00FF536E" w:rsidP="00FF536E">
      <w:pPr>
        <w:pStyle w:val="MDPI71References"/>
      </w:pPr>
      <w:proofErr w:type="spellStart"/>
      <w:r w:rsidRPr="00FF536E">
        <w:t>Khubaib</w:t>
      </w:r>
      <w:proofErr w:type="spellEnd"/>
      <w:r w:rsidRPr="00FF536E">
        <w:t xml:space="preserve">, M. U.; </w:t>
      </w:r>
      <w:proofErr w:type="spellStart"/>
      <w:r w:rsidRPr="00FF536E">
        <w:t>Shahid</w:t>
      </w:r>
      <w:proofErr w:type="spellEnd"/>
      <w:r w:rsidRPr="00FF536E">
        <w:t xml:space="preserve">, Z. Y.; </w:t>
      </w:r>
      <w:proofErr w:type="spellStart"/>
      <w:r w:rsidRPr="00FF536E">
        <w:t>Lodhi</w:t>
      </w:r>
      <w:proofErr w:type="spellEnd"/>
      <w:r w:rsidRPr="00FF536E">
        <w:t xml:space="preserve">, S. K.; Malik, H.; Jan, M. M. Prevalence and Associated Factors of Smoking Among Final Year Medical Students: A </w:t>
      </w:r>
      <w:proofErr w:type="spellStart"/>
      <w:r w:rsidRPr="00FF536E">
        <w:t>Multicentric</w:t>
      </w:r>
      <w:proofErr w:type="spellEnd"/>
      <w:r w:rsidRPr="00FF536E">
        <w:t xml:space="preserve"> Survey From Pakistan. </w:t>
      </w:r>
      <w:proofErr w:type="spellStart"/>
      <w:r w:rsidRPr="00FF536E">
        <w:t>Cureus</w:t>
      </w:r>
      <w:proofErr w:type="spellEnd"/>
      <w:r w:rsidRPr="00FF536E">
        <w:t xml:space="preserve"> 2016, 8(7), e701.</w:t>
      </w:r>
    </w:p>
    <w:p w14:paraId="3E2A5B10" w14:textId="628C1512" w:rsidR="00FF536E" w:rsidRPr="00FF536E" w:rsidRDefault="00FF536E" w:rsidP="00FF536E">
      <w:pPr>
        <w:pStyle w:val="MDPI71References"/>
      </w:pPr>
      <w:proofErr w:type="spellStart"/>
      <w:r w:rsidRPr="00FF536E">
        <w:t>Şenel</w:t>
      </w:r>
      <w:proofErr w:type="spellEnd"/>
      <w:r w:rsidRPr="00FF536E">
        <w:t xml:space="preserve">, T.; </w:t>
      </w:r>
      <w:proofErr w:type="spellStart"/>
      <w:r w:rsidRPr="00FF536E">
        <w:t>Yazici</w:t>
      </w:r>
      <w:proofErr w:type="spellEnd"/>
      <w:r w:rsidRPr="00FF536E">
        <w:t xml:space="preserve">, K.; </w:t>
      </w:r>
      <w:proofErr w:type="spellStart"/>
      <w:r w:rsidRPr="00FF536E">
        <w:t>Yazici</w:t>
      </w:r>
      <w:proofErr w:type="spellEnd"/>
      <w:r w:rsidRPr="00FF536E">
        <w:t xml:space="preserve">, A.; </w:t>
      </w:r>
      <w:proofErr w:type="spellStart"/>
      <w:r w:rsidRPr="00FF536E">
        <w:t>Metin</w:t>
      </w:r>
      <w:proofErr w:type="spellEnd"/>
      <w:r w:rsidRPr="00FF536E">
        <w:t xml:space="preserve">, Ö.; </w:t>
      </w:r>
      <w:proofErr w:type="spellStart"/>
      <w:r w:rsidRPr="00FF536E">
        <w:t>Bal</w:t>
      </w:r>
      <w:proofErr w:type="spellEnd"/>
      <w:r w:rsidRPr="00FF536E">
        <w:t xml:space="preserve">, N.; </w:t>
      </w:r>
      <w:proofErr w:type="spellStart"/>
      <w:r w:rsidRPr="00FF536E">
        <w:t>Erdem</w:t>
      </w:r>
      <w:proofErr w:type="spellEnd"/>
      <w:r w:rsidRPr="00FF536E">
        <w:t>, P. Psychosocial correlates of substance use among adolescents in Mersin, Turkey. Public Health 2004</w:t>
      </w:r>
      <w:proofErr w:type="gramStart"/>
      <w:r w:rsidRPr="00FF536E">
        <w:t>,118</w:t>
      </w:r>
      <w:proofErr w:type="gramEnd"/>
      <w:r w:rsidRPr="00FF536E">
        <w:t xml:space="preserve">(8), 588-593. </w:t>
      </w:r>
    </w:p>
    <w:p w14:paraId="79F43A0B" w14:textId="3A73D685" w:rsidR="00FF536E" w:rsidRPr="00FF536E" w:rsidRDefault="00FF536E" w:rsidP="00FF536E">
      <w:pPr>
        <w:pStyle w:val="MDPI71References"/>
      </w:pPr>
      <w:proofErr w:type="spellStart"/>
      <w:r w:rsidRPr="00FF536E">
        <w:t>Balogh</w:t>
      </w:r>
      <w:proofErr w:type="spellEnd"/>
      <w:r w:rsidRPr="00FF536E">
        <w:t xml:space="preserve">, E.; </w:t>
      </w:r>
      <w:proofErr w:type="spellStart"/>
      <w:r w:rsidRPr="00FF536E">
        <w:t>Faubl</w:t>
      </w:r>
      <w:proofErr w:type="spellEnd"/>
      <w:r w:rsidRPr="00FF536E">
        <w:t xml:space="preserve">, N.; </w:t>
      </w:r>
      <w:proofErr w:type="spellStart"/>
      <w:r w:rsidRPr="00FF536E">
        <w:t>Riemenschneider</w:t>
      </w:r>
      <w:proofErr w:type="spellEnd"/>
      <w:r w:rsidRPr="00FF536E">
        <w:t xml:space="preserve">, H.; </w:t>
      </w:r>
      <w:proofErr w:type="spellStart"/>
      <w:r w:rsidRPr="00FF536E">
        <w:t>Balázs</w:t>
      </w:r>
      <w:proofErr w:type="spellEnd"/>
      <w:r w:rsidRPr="00FF536E">
        <w:t xml:space="preserve">, P.; Bergmann, A.; </w:t>
      </w:r>
      <w:proofErr w:type="spellStart"/>
      <w:r w:rsidRPr="00FF536E">
        <w:t>Cseh</w:t>
      </w:r>
      <w:proofErr w:type="spellEnd"/>
      <w:r w:rsidRPr="00FF536E">
        <w:t xml:space="preserve">, K. et al. Cigarette, </w:t>
      </w:r>
      <w:proofErr w:type="spellStart"/>
      <w:r w:rsidRPr="00FF536E">
        <w:t>waterpipe</w:t>
      </w:r>
      <w:proofErr w:type="spellEnd"/>
      <w:r w:rsidRPr="00FF536E">
        <w:t xml:space="preserve"> and e-cigarette use among an international sample of medical students. Cross-sectional multicenter study in Germany and Hungary. BMC Public Health 2018, 18(1):591. </w:t>
      </w:r>
    </w:p>
    <w:p w14:paraId="2963B1E8" w14:textId="7A906813" w:rsidR="00FF536E" w:rsidRPr="00FF536E" w:rsidRDefault="00FF536E" w:rsidP="00FF536E">
      <w:pPr>
        <w:pStyle w:val="MDPI71References"/>
      </w:pPr>
      <w:r w:rsidRPr="00FF536E">
        <w:t xml:space="preserve">Samara, A.A.; Rachiotis, G.; </w:t>
      </w:r>
      <w:proofErr w:type="spellStart"/>
      <w:r w:rsidRPr="00FF536E">
        <w:t>Pettemeridou</w:t>
      </w:r>
      <w:proofErr w:type="spellEnd"/>
      <w:r w:rsidRPr="00FF536E">
        <w:t xml:space="preserve">, S.; </w:t>
      </w:r>
      <w:proofErr w:type="spellStart"/>
      <w:r w:rsidRPr="00FF536E">
        <w:t>Papastamatiou</w:t>
      </w:r>
      <w:proofErr w:type="spellEnd"/>
      <w:r w:rsidRPr="00FF536E">
        <w:t xml:space="preserve">, K.; </w:t>
      </w:r>
      <w:proofErr w:type="spellStart"/>
      <w:r w:rsidRPr="00FF536E">
        <w:t>Tourlakopoulos</w:t>
      </w:r>
      <w:proofErr w:type="spellEnd"/>
      <w:r w:rsidRPr="00FF536E">
        <w:t xml:space="preserve">, K.; </w:t>
      </w:r>
      <w:proofErr w:type="spellStart"/>
      <w:r w:rsidRPr="00FF536E">
        <w:t>Chelioti</w:t>
      </w:r>
      <w:proofErr w:type="spellEnd"/>
      <w:r w:rsidRPr="00FF536E">
        <w:t xml:space="preserve">, E. et al. Prevalence of tobacco use, exposure to secondhand smoke and knowledge on smoking cessation among students of health professions in Central Greece: A cross-sectional study. BMJ Open 2020, 10(10):e036512. </w:t>
      </w:r>
    </w:p>
    <w:p w14:paraId="70ACD923" w14:textId="5A60B491" w:rsidR="00FF536E" w:rsidRPr="00FF536E" w:rsidRDefault="00FF536E" w:rsidP="00FF536E">
      <w:pPr>
        <w:pStyle w:val="MDPI71References"/>
      </w:pPr>
      <w:r w:rsidRPr="00FF536E">
        <w:t xml:space="preserve">Smith, D.; </w:t>
      </w:r>
      <w:proofErr w:type="spellStart"/>
      <w:r w:rsidRPr="00FF536E">
        <w:t>Leggat</w:t>
      </w:r>
      <w:proofErr w:type="spellEnd"/>
      <w:r w:rsidRPr="00FF536E">
        <w:t xml:space="preserve">, P. An international review of tobacco smoking among medical students. J Postgrad Med 2007, 53(1):55-62. </w:t>
      </w:r>
    </w:p>
    <w:p w14:paraId="3212F4F9" w14:textId="01E0C313" w:rsidR="00FF536E" w:rsidRPr="00FF536E" w:rsidRDefault="00FF536E" w:rsidP="00FF536E">
      <w:pPr>
        <w:pStyle w:val="MDPI71References"/>
      </w:pPr>
      <w:r w:rsidRPr="00FF536E">
        <w:t xml:space="preserve">Armstrong, G.W.; Veronese, G.; George, P.F.; </w:t>
      </w:r>
      <w:proofErr w:type="spellStart"/>
      <w:r w:rsidRPr="00FF536E">
        <w:t>Montroni</w:t>
      </w:r>
      <w:proofErr w:type="spellEnd"/>
      <w:r w:rsidRPr="00FF536E">
        <w:t xml:space="preserve">, I.; </w:t>
      </w:r>
      <w:proofErr w:type="spellStart"/>
      <w:r w:rsidRPr="00FF536E">
        <w:t>Ugolini</w:t>
      </w:r>
      <w:proofErr w:type="spellEnd"/>
      <w:r w:rsidRPr="00FF536E">
        <w:t xml:space="preserve">, G. Assessment of tobacco habits, attitudes, and education among medical students in the United States and Italy: A cross-sectional survey. J </w:t>
      </w:r>
      <w:proofErr w:type="spellStart"/>
      <w:r w:rsidRPr="00FF536E">
        <w:t>Prev</w:t>
      </w:r>
      <w:proofErr w:type="spellEnd"/>
      <w:r w:rsidRPr="00FF536E">
        <w:t xml:space="preserve"> Med Public Health 2017, 50(3), 177-187. </w:t>
      </w:r>
    </w:p>
    <w:p w14:paraId="1C4CC59B" w14:textId="0DF72CB0" w:rsidR="00FF536E" w:rsidRPr="00FF536E" w:rsidRDefault="00FF536E" w:rsidP="00FF536E">
      <w:pPr>
        <w:pStyle w:val="MDPI71References"/>
      </w:pPr>
      <w:r w:rsidRPr="00FF536E">
        <w:t xml:space="preserve">Smith, D.R.; Wei, N.; Wang, R.S. Tobacco smoking habits among Chinese medical students and their need for health promotion initiatives. Health </w:t>
      </w:r>
      <w:proofErr w:type="spellStart"/>
      <w:r w:rsidRPr="00FF536E">
        <w:t>promot</w:t>
      </w:r>
      <w:proofErr w:type="spellEnd"/>
      <w:r w:rsidRPr="00FF536E">
        <w:t xml:space="preserve"> J </w:t>
      </w:r>
      <w:proofErr w:type="spellStart"/>
      <w:r w:rsidRPr="00FF536E">
        <w:t>Austr</w:t>
      </w:r>
      <w:proofErr w:type="spellEnd"/>
      <w:r w:rsidRPr="00FF536E">
        <w:t>, 2005, 16(2), 233-235.</w:t>
      </w:r>
    </w:p>
    <w:p w14:paraId="48459A48" w14:textId="4D0572B1" w:rsidR="00FF536E" w:rsidRPr="00FF536E" w:rsidRDefault="00FF536E" w:rsidP="00FF536E">
      <w:pPr>
        <w:pStyle w:val="MDPI71References"/>
      </w:pPr>
      <w:proofErr w:type="spellStart"/>
      <w:r w:rsidRPr="00FF536E">
        <w:t>Mbatchou</w:t>
      </w:r>
      <w:proofErr w:type="spellEnd"/>
      <w:r w:rsidRPr="00FF536E">
        <w:t xml:space="preserve"> </w:t>
      </w:r>
      <w:proofErr w:type="spellStart"/>
      <w:r w:rsidRPr="00FF536E">
        <w:t>Ngahane</w:t>
      </w:r>
      <w:proofErr w:type="spellEnd"/>
      <w:r w:rsidRPr="00FF536E">
        <w:t xml:space="preserve">, B. H.; </w:t>
      </w:r>
      <w:proofErr w:type="spellStart"/>
      <w:r w:rsidRPr="00FF536E">
        <w:t>Luma</w:t>
      </w:r>
      <w:proofErr w:type="spellEnd"/>
      <w:r w:rsidRPr="00FF536E">
        <w:t xml:space="preserve">, H.; </w:t>
      </w:r>
      <w:proofErr w:type="spellStart"/>
      <w:r w:rsidRPr="00FF536E">
        <w:t>Mapoure</w:t>
      </w:r>
      <w:proofErr w:type="spellEnd"/>
      <w:r w:rsidRPr="00FF536E">
        <w:t xml:space="preserve">, Y. N.; </w:t>
      </w:r>
      <w:proofErr w:type="spellStart"/>
      <w:r w:rsidRPr="00FF536E">
        <w:t>Fotso</w:t>
      </w:r>
      <w:proofErr w:type="spellEnd"/>
      <w:r w:rsidRPr="00FF536E">
        <w:t xml:space="preserve">, Z. M.; </w:t>
      </w:r>
      <w:proofErr w:type="spellStart"/>
      <w:r w:rsidRPr="00FF536E">
        <w:t>Afane</w:t>
      </w:r>
      <w:proofErr w:type="spellEnd"/>
      <w:r w:rsidRPr="00FF536E">
        <w:t xml:space="preserve"> </w:t>
      </w:r>
      <w:proofErr w:type="spellStart"/>
      <w:r w:rsidRPr="00FF536E">
        <w:t>Ze</w:t>
      </w:r>
      <w:proofErr w:type="spellEnd"/>
      <w:r w:rsidRPr="00FF536E">
        <w:t xml:space="preserve">, E. Correlates of cigarette smoking among university students in Cameroon. </w:t>
      </w:r>
      <w:proofErr w:type="spellStart"/>
      <w:r w:rsidRPr="00FF536E">
        <w:t>Int</w:t>
      </w:r>
      <w:proofErr w:type="spellEnd"/>
      <w:r w:rsidRPr="00FF536E">
        <w:t xml:space="preserve"> J </w:t>
      </w:r>
      <w:proofErr w:type="spellStart"/>
      <w:r w:rsidRPr="00FF536E">
        <w:t>Tuberc</w:t>
      </w:r>
      <w:proofErr w:type="spellEnd"/>
      <w:r w:rsidRPr="00FF536E">
        <w:t xml:space="preserve"> Lung Dis 2013, 17(2), 270–274.</w:t>
      </w:r>
    </w:p>
    <w:p w14:paraId="313CA73B" w14:textId="24787E8D" w:rsidR="00FF536E" w:rsidRPr="00FF536E" w:rsidRDefault="00FF536E" w:rsidP="00FF536E">
      <w:pPr>
        <w:pStyle w:val="MDPI71References"/>
      </w:pPr>
      <w:proofErr w:type="spellStart"/>
      <w:r w:rsidRPr="00FF536E">
        <w:t>AlSwuailem</w:t>
      </w:r>
      <w:proofErr w:type="spellEnd"/>
      <w:r w:rsidRPr="00FF536E">
        <w:t xml:space="preserve">, A. S.; </w:t>
      </w:r>
      <w:proofErr w:type="spellStart"/>
      <w:r w:rsidRPr="00FF536E">
        <w:t>AlShehri</w:t>
      </w:r>
      <w:proofErr w:type="spellEnd"/>
      <w:r w:rsidRPr="00FF536E">
        <w:t>, M. K.; Al-</w:t>
      </w:r>
      <w:proofErr w:type="spellStart"/>
      <w:r w:rsidRPr="00FF536E">
        <w:t>Sadhan</w:t>
      </w:r>
      <w:proofErr w:type="spellEnd"/>
      <w:r w:rsidRPr="00FF536E">
        <w:t>, S. Smoking among dental students at King Saud University: Consumption patterns and risk factors. Saudi Dent J 2014, 26(3), 88–95.</w:t>
      </w:r>
    </w:p>
    <w:p w14:paraId="7EE84B8F" w14:textId="5AFEA73D" w:rsidR="00FF536E" w:rsidRPr="00FF536E" w:rsidRDefault="00FF536E" w:rsidP="00FF536E">
      <w:pPr>
        <w:pStyle w:val="MDPI71References"/>
      </w:pPr>
      <w:proofErr w:type="spellStart"/>
      <w:r w:rsidRPr="00FF536E">
        <w:t>Rudatsikira</w:t>
      </w:r>
      <w:proofErr w:type="spellEnd"/>
      <w:r w:rsidRPr="00FF536E">
        <w:t xml:space="preserve">, E.; </w:t>
      </w:r>
      <w:proofErr w:type="spellStart"/>
      <w:r w:rsidRPr="00FF536E">
        <w:t>Abdo</w:t>
      </w:r>
      <w:proofErr w:type="spellEnd"/>
      <w:r w:rsidRPr="00FF536E">
        <w:t xml:space="preserve">, A.; </w:t>
      </w:r>
      <w:proofErr w:type="spellStart"/>
      <w:r w:rsidRPr="00FF536E">
        <w:t>Muula</w:t>
      </w:r>
      <w:proofErr w:type="spellEnd"/>
      <w:r w:rsidRPr="00FF536E">
        <w:t>, A. S. Prevalence and determinants of adolescent tobacco smoking in Addis Ababa, Ethiopia. BMC public health 2007, 7, 176.</w:t>
      </w:r>
    </w:p>
    <w:p w14:paraId="30A7B7F1" w14:textId="79494853" w:rsidR="00FF536E" w:rsidRPr="00FF536E" w:rsidRDefault="00FF536E" w:rsidP="00FF536E">
      <w:pPr>
        <w:pStyle w:val="MDPI71References"/>
      </w:pPr>
      <w:proofErr w:type="spellStart"/>
      <w:r w:rsidRPr="00FF536E">
        <w:t>Yue</w:t>
      </w:r>
      <w:proofErr w:type="spellEnd"/>
      <w:r w:rsidRPr="00FF536E">
        <w:t xml:space="preserve">, Y.; Hong, L.; </w:t>
      </w:r>
      <w:proofErr w:type="spellStart"/>
      <w:r w:rsidRPr="00FF536E">
        <w:t>Guo</w:t>
      </w:r>
      <w:proofErr w:type="spellEnd"/>
      <w:r w:rsidRPr="00FF536E">
        <w:t xml:space="preserve">, L.; </w:t>
      </w:r>
      <w:proofErr w:type="spellStart"/>
      <w:r w:rsidRPr="00FF536E">
        <w:t>Gao</w:t>
      </w:r>
      <w:proofErr w:type="spellEnd"/>
      <w:r w:rsidRPr="00FF536E">
        <w:t xml:space="preserve">, X.; Deng, J.; Huang, J. et al. Gender differences in the association between cigarette smoking, alcohol consumption and depressive symptoms: a cross-sectional study among Chinese adolescents. </w:t>
      </w:r>
      <w:proofErr w:type="spellStart"/>
      <w:r w:rsidRPr="00FF536E">
        <w:t>Sci</w:t>
      </w:r>
      <w:proofErr w:type="spellEnd"/>
      <w:r w:rsidRPr="00FF536E">
        <w:t xml:space="preserve"> Rep 2016, 5, 17959.</w:t>
      </w:r>
    </w:p>
    <w:p w14:paraId="2D48704B" w14:textId="07E6CA7C" w:rsidR="00FF536E" w:rsidRPr="00FF536E" w:rsidRDefault="00FF536E" w:rsidP="00FF536E">
      <w:pPr>
        <w:pStyle w:val="MDPI71References"/>
      </w:pPr>
      <w:proofErr w:type="spellStart"/>
      <w:r w:rsidRPr="00FF536E">
        <w:t>Chkhaidze</w:t>
      </w:r>
      <w:proofErr w:type="spellEnd"/>
      <w:r w:rsidRPr="00FF536E">
        <w:t xml:space="preserve">, I.; </w:t>
      </w:r>
      <w:proofErr w:type="spellStart"/>
      <w:r w:rsidRPr="00FF536E">
        <w:t>Maglakelidze</w:t>
      </w:r>
      <w:proofErr w:type="spellEnd"/>
      <w:r w:rsidRPr="00FF536E">
        <w:t xml:space="preserve">, N.; </w:t>
      </w:r>
      <w:proofErr w:type="spellStart"/>
      <w:r w:rsidRPr="00FF536E">
        <w:t>Maglakelidze</w:t>
      </w:r>
      <w:proofErr w:type="spellEnd"/>
      <w:r w:rsidRPr="00FF536E">
        <w:t xml:space="preserve">, T.; </w:t>
      </w:r>
      <w:proofErr w:type="spellStart"/>
      <w:r w:rsidRPr="00FF536E">
        <w:t>Khaltaev</w:t>
      </w:r>
      <w:proofErr w:type="spellEnd"/>
      <w:r w:rsidRPr="00FF536E">
        <w:t xml:space="preserve">, N. Prevalence of and factors influencing smoking among medical and non-medical students in Tbilisi, Georgia. J Bras </w:t>
      </w:r>
      <w:proofErr w:type="spellStart"/>
      <w:r w:rsidRPr="00FF536E">
        <w:t>Pneumol</w:t>
      </w:r>
      <w:proofErr w:type="spellEnd"/>
      <w:r w:rsidRPr="00FF536E">
        <w:t xml:space="preserve"> 2013, 39(5), 579–584.</w:t>
      </w:r>
    </w:p>
    <w:p w14:paraId="4F08BB9F" w14:textId="7945BDA7" w:rsidR="00FF536E" w:rsidRPr="00FF536E" w:rsidRDefault="00FF536E" w:rsidP="00FF536E">
      <w:pPr>
        <w:pStyle w:val="MDPI71References"/>
      </w:pPr>
      <w:proofErr w:type="spellStart"/>
      <w:r w:rsidRPr="00FF536E">
        <w:t>Aslam</w:t>
      </w:r>
      <w:proofErr w:type="spellEnd"/>
      <w:r w:rsidRPr="00FF536E">
        <w:t xml:space="preserve">, S. K.; </w:t>
      </w:r>
      <w:proofErr w:type="spellStart"/>
      <w:r w:rsidRPr="00FF536E">
        <w:t>Zaheer</w:t>
      </w:r>
      <w:proofErr w:type="spellEnd"/>
      <w:r w:rsidRPr="00FF536E">
        <w:t xml:space="preserve">, S.; Rao, S.; </w:t>
      </w:r>
      <w:proofErr w:type="spellStart"/>
      <w:r w:rsidRPr="00FF536E">
        <w:t>Shafique</w:t>
      </w:r>
      <w:proofErr w:type="spellEnd"/>
      <w:r w:rsidRPr="00FF536E">
        <w:t xml:space="preserve">, K. Prevalence and determinants of susceptibility to cigarette smoking among school students in Pakistan: secondary analysis of Global Youth Tobacco Survey. </w:t>
      </w:r>
      <w:proofErr w:type="spellStart"/>
      <w:r w:rsidRPr="00FF536E">
        <w:t>Subst</w:t>
      </w:r>
      <w:proofErr w:type="spellEnd"/>
      <w:r w:rsidRPr="00FF536E">
        <w:t xml:space="preserve"> Abuse Treat </w:t>
      </w:r>
      <w:proofErr w:type="spellStart"/>
      <w:r w:rsidRPr="00FF536E">
        <w:t>Prev</w:t>
      </w:r>
      <w:proofErr w:type="spellEnd"/>
      <w:r w:rsidRPr="00FF536E">
        <w:t xml:space="preserve"> Policy 2014, 9:10.</w:t>
      </w:r>
    </w:p>
    <w:p w14:paraId="1D129C74" w14:textId="682A329C" w:rsidR="00FF536E" w:rsidRPr="00FF536E" w:rsidRDefault="00FF536E" w:rsidP="00FF536E">
      <w:pPr>
        <w:pStyle w:val="MDPI71References"/>
      </w:pPr>
      <w:r w:rsidRPr="00FF536E">
        <w:t>World Health Organization. World No Tobacco Day 2010 - Gender and tobacco: emphasis on marketing to women. Available online: https://www.who.int/news-room/events/detail/2010/05/31/default-calendar/world-no-tobacco-day-2010 (accessed on 24/01/2022).</w:t>
      </w:r>
    </w:p>
    <w:p w14:paraId="6E08D1E0" w14:textId="7A3430E2" w:rsidR="00FF536E" w:rsidRPr="00FF536E" w:rsidRDefault="00FF536E" w:rsidP="00FF536E">
      <w:pPr>
        <w:pStyle w:val="MDPI71References"/>
      </w:pPr>
      <w:proofErr w:type="spellStart"/>
      <w:r w:rsidRPr="00FF536E">
        <w:t>Jallow</w:t>
      </w:r>
      <w:proofErr w:type="spellEnd"/>
      <w:r w:rsidRPr="00FF536E">
        <w:t xml:space="preserve">, I. K.; Britton, J.; Langley, T.  Prevalence and Determinants of Susceptibility to Tobacco Smoking Among Students in </w:t>
      </w:r>
      <w:proofErr w:type="gramStart"/>
      <w:r w:rsidRPr="00FF536E">
        <w:t>The</w:t>
      </w:r>
      <w:proofErr w:type="gramEnd"/>
      <w:r w:rsidRPr="00FF536E">
        <w:t xml:space="preserve"> Gambia. Nicotine </w:t>
      </w:r>
      <w:proofErr w:type="spellStart"/>
      <w:r w:rsidRPr="00FF536E">
        <w:t>Tob</w:t>
      </w:r>
      <w:proofErr w:type="spellEnd"/>
      <w:r w:rsidRPr="00FF536E">
        <w:t xml:space="preserve"> Res 2019, 21(8):1113-1121.</w:t>
      </w:r>
    </w:p>
    <w:p w14:paraId="63686001" w14:textId="02EB4113" w:rsidR="00FF536E" w:rsidRPr="00FF536E" w:rsidRDefault="00FF536E" w:rsidP="00FF536E">
      <w:pPr>
        <w:pStyle w:val="MDPI71References"/>
      </w:pPr>
      <w:r w:rsidRPr="00FF536E">
        <w:t xml:space="preserve">Hossain, S.; Hossain, S.; Ahmed, F.; Islam, R.; </w:t>
      </w:r>
      <w:proofErr w:type="spellStart"/>
      <w:r w:rsidRPr="00FF536E">
        <w:t>Sikder</w:t>
      </w:r>
      <w:proofErr w:type="spellEnd"/>
      <w:r w:rsidRPr="00FF536E">
        <w:t>, T.; Rahman, A. Prevalence of Tobacco Smoking and Factors Associated with the Initiation of Smoking among University Students in Dhaka, Bangladesh. Cent Asian J Glob Health 2017, 6(1), 244.</w:t>
      </w:r>
    </w:p>
    <w:p w14:paraId="3637FA47" w14:textId="76C87E05" w:rsidR="00FF536E" w:rsidRPr="00FF536E" w:rsidRDefault="00FF536E" w:rsidP="00FF536E">
      <w:pPr>
        <w:pStyle w:val="MDPI71References"/>
      </w:pPr>
      <w:proofErr w:type="spellStart"/>
      <w:r w:rsidRPr="00FF536E">
        <w:t>Zizic-Borjanovic</w:t>
      </w:r>
      <w:proofErr w:type="spellEnd"/>
      <w:r w:rsidRPr="00FF536E">
        <w:t>, S.</w:t>
      </w:r>
      <w:proofErr w:type="gramStart"/>
      <w:r w:rsidRPr="00FF536E">
        <w:t>,;</w:t>
      </w:r>
      <w:proofErr w:type="gramEnd"/>
      <w:r w:rsidRPr="00FF536E">
        <w:t xml:space="preserve"> </w:t>
      </w:r>
      <w:proofErr w:type="spellStart"/>
      <w:r w:rsidRPr="00FF536E">
        <w:t>Jerinic</w:t>
      </w:r>
      <w:proofErr w:type="spellEnd"/>
      <w:r w:rsidRPr="00FF536E">
        <w:t xml:space="preserve">, M.; </w:t>
      </w:r>
      <w:proofErr w:type="spellStart"/>
      <w:r w:rsidRPr="00FF536E">
        <w:t>Igic</w:t>
      </w:r>
      <w:proofErr w:type="spellEnd"/>
      <w:r w:rsidRPr="00FF536E">
        <w:t>, R. Twenty five years of antismoking movement started by medical students: some further goals. J BUON 2007, 12(2), 181–184.</w:t>
      </w:r>
    </w:p>
    <w:p w14:paraId="1C894F8F" w14:textId="03A0D13D" w:rsidR="00FF536E" w:rsidRPr="00FF536E" w:rsidRDefault="00FF536E" w:rsidP="00FF536E">
      <w:pPr>
        <w:pStyle w:val="MDPI71References"/>
      </w:pPr>
      <w:r w:rsidRPr="00FF536E">
        <w:t>Richmond, R. Teaching medical students about tobacco. Thorax 1999, 54(1), 70–78.</w:t>
      </w:r>
    </w:p>
    <w:p w14:paraId="025A24EC" w14:textId="541DD579" w:rsidR="00554A5B" w:rsidRPr="00FF536E" w:rsidRDefault="00FF536E" w:rsidP="00FF536E">
      <w:pPr>
        <w:pStyle w:val="MDPI71References"/>
      </w:pPr>
      <w:proofErr w:type="spellStart"/>
      <w:r w:rsidRPr="00FF536E">
        <w:t>Prijić</w:t>
      </w:r>
      <w:proofErr w:type="spellEnd"/>
      <w:r w:rsidRPr="00FF536E">
        <w:t xml:space="preserve">, </w:t>
      </w:r>
      <w:proofErr w:type="gramStart"/>
      <w:r w:rsidRPr="00FF536E">
        <w:t>Ž.;</w:t>
      </w:r>
      <w:proofErr w:type="gramEnd"/>
      <w:r w:rsidRPr="00FF536E">
        <w:t xml:space="preserve"> </w:t>
      </w:r>
      <w:proofErr w:type="spellStart"/>
      <w:r w:rsidRPr="00FF536E">
        <w:t>Igić</w:t>
      </w:r>
      <w:proofErr w:type="spellEnd"/>
      <w:r w:rsidRPr="00FF536E">
        <w:t>, R. Cigarette smoking and medical students. J BUON</w:t>
      </w:r>
      <w:r w:rsidRPr="00FF536E">
        <w:rPr>
          <w:rFonts w:ascii="Times New Roman" w:hAnsi="Times New Roman"/>
        </w:rPr>
        <w:t> </w:t>
      </w:r>
      <w:r w:rsidRPr="00FF536E">
        <w:t>2021, 26(5):1709</w:t>
      </w:r>
      <w:r w:rsidRPr="00FF536E">
        <w:rPr>
          <w:rFonts w:cs="Palatino Linotype"/>
        </w:rPr>
        <w:t>–</w:t>
      </w:r>
      <w:r w:rsidRPr="00FF536E">
        <w:t xml:space="preserve">18. </w:t>
      </w:r>
    </w:p>
    <w:sectPr w:rsidR="00554A5B" w:rsidRPr="00FF536E" w:rsidSect="00770985">
      <w:headerReference w:type="even" r:id="rId9"/>
      <w:headerReference w:type="default" r:id="rId10"/>
      <w:footerReference w:type="default" r:id="rId11"/>
      <w:headerReference w:type="first" r:id="rId12"/>
      <w:footerReference w:type="first" r:id="rId1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911E7" w14:textId="77777777" w:rsidR="008E0740" w:rsidRDefault="008E0740" w:rsidP="00C1340D">
      <w:r>
        <w:separator/>
      </w:r>
    </w:p>
  </w:endnote>
  <w:endnote w:type="continuationSeparator" w:id="0">
    <w:p w14:paraId="6DB86AB2" w14:textId="77777777" w:rsidR="008E0740" w:rsidRDefault="008E0740"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 w:name="Minion Pro">
    <w:altName w:val="Times New Roman"/>
    <w:panose1 w:val="00000000000000000000"/>
    <w:charset w:val="00"/>
    <w:family w:val="roman"/>
    <w:notTrueType/>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 w:name="DengXian">
    <w:altName w:val="Arial Unicode MS"/>
    <w:charset w:val="86"/>
    <w:family w:val="auto"/>
    <w:pitch w:val="variable"/>
    <w:sig w:usb0="00000000" w:usb1="38CF7CFA" w:usb2="00000016" w:usb3="00000000" w:csb0="0004000F" w:csb1="00000000"/>
  </w:font>
  <w:font w:name="Gungsuh">
    <w:altName w:val="Malgun Gothic"/>
    <w:charset w:val="81"/>
    <w:family w:val="roman"/>
    <w:pitch w:val="variable"/>
    <w:sig w:usb0="B00002AF" w:usb1="69D77CFB" w:usb2="00000030" w:usb3="00000000" w:csb0="0008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14A05" w14:textId="77777777" w:rsidR="00364817" w:rsidRPr="00032917" w:rsidRDefault="00364817" w:rsidP="00032917">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DDDDE" w14:textId="77777777" w:rsidR="00364817" w:rsidRDefault="00364817" w:rsidP="0010543D">
    <w:pPr>
      <w:pStyle w:val="MDPIfooterfirstpage"/>
      <w:pBdr>
        <w:top w:val="single" w:sz="4" w:space="0" w:color="000000"/>
      </w:pBdr>
      <w:adjustRightInd w:val="0"/>
      <w:snapToGrid w:val="0"/>
      <w:spacing w:before="480" w:line="100" w:lineRule="exact"/>
      <w:rPr>
        <w:i/>
        <w:szCs w:val="16"/>
      </w:rPr>
    </w:pPr>
  </w:p>
  <w:p w14:paraId="0E957461" w14:textId="77777777" w:rsidR="00364817" w:rsidRPr="008B308E" w:rsidRDefault="00364817" w:rsidP="00C21920">
    <w:pPr>
      <w:pStyle w:val="MDPIfooterfirstpage"/>
      <w:tabs>
        <w:tab w:val="clear" w:pos="8845"/>
        <w:tab w:val="right" w:pos="10466"/>
      </w:tabs>
      <w:spacing w:line="240" w:lineRule="auto"/>
      <w:jc w:val="both"/>
      <w:rPr>
        <w:lang w:val="fr-CH"/>
      </w:rPr>
    </w:pPr>
    <w:proofErr w:type="spellStart"/>
    <w:r>
      <w:rPr>
        <w:i/>
        <w:szCs w:val="16"/>
      </w:rPr>
      <w:t>Medicina</w:t>
    </w:r>
    <w:proofErr w:type="spellEnd"/>
    <w:r w:rsidRPr="00BB0268">
      <w:rPr>
        <w:szCs w:val="16"/>
      </w:rPr>
      <w:t xml:space="preserve"> </w:t>
    </w:r>
    <w:r w:rsidRPr="005F3B08">
      <w:rPr>
        <w:b/>
        <w:szCs w:val="16"/>
      </w:rPr>
      <w:t>2021</w:t>
    </w:r>
    <w:r w:rsidRPr="00891015">
      <w:rPr>
        <w:szCs w:val="16"/>
      </w:rPr>
      <w:t xml:space="preserve">, </w:t>
    </w:r>
    <w:r w:rsidRPr="005F3B08">
      <w:rPr>
        <w:i/>
        <w:szCs w:val="16"/>
      </w:rPr>
      <w:t>57</w:t>
    </w:r>
    <w:r w:rsidRPr="00891015">
      <w:rPr>
        <w:szCs w:val="16"/>
      </w:rPr>
      <w:t xml:space="preserve">, </w:t>
    </w:r>
    <w:r>
      <w:rPr>
        <w:szCs w:val="16"/>
      </w:rPr>
      <w:t>x. https://doi.org/10.3390/xxxxx</w:t>
    </w:r>
    <w:r w:rsidRPr="008B308E">
      <w:rPr>
        <w:lang w:val="fr-CH"/>
      </w:rPr>
      <w:tab/>
      <w:t>www.mdpi.com/journal/</w:t>
    </w:r>
    <w:proofErr w:type="spellStart"/>
    <w:r>
      <w:t>medicina</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7A2D2" w14:textId="77777777" w:rsidR="008E0740" w:rsidRDefault="008E0740" w:rsidP="00C1340D">
      <w:r>
        <w:separator/>
      </w:r>
    </w:p>
  </w:footnote>
  <w:footnote w:type="continuationSeparator" w:id="0">
    <w:p w14:paraId="62B372EE" w14:textId="77777777" w:rsidR="008E0740" w:rsidRDefault="008E0740" w:rsidP="00C13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556A" w14:textId="77777777" w:rsidR="00364817" w:rsidRDefault="00364817"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6E031" w14:textId="77777777" w:rsidR="00364817" w:rsidRDefault="00364817" w:rsidP="00C21920">
    <w:pPr>
      <w:tabs>
        <w:tab w:val="right" w:pos="10466"/>
      </w:tabs>
      <w:adjustRightInd w:val="0"/>
      <w:snapToGrid w:val="0"/>
      <w:spacing w:line="240" w:lineRule="auto"/>
      <w:rPr>
        <w:sz w:val="16"/>
      </w:rPr>
    </w:pPr>
    <w:proofErr w:type="spellStart"/>
    <w:r>
      <w:rPr>
        <w:i/>
        <w:sz w:val="16"/>
      </w:rPr>
      <w:t>Medicina</w:t>
    </w:r>
    <w:proofErr w:type="spellEnd"/>
    <w:r>
      <w:rPr>
        <w:i/>
        <w:sz w:val="16"/>
      </w:rPr>
      <w:t xml:space="preserve"> </w:t>
    </w:r>
    <w:r w:rsidRPr="00E15CB0">
      <w:rPr>
        <w:b/>
        <w:sz w:val="16"/>
      </w:rPr>
      <w:t>2021</w:t>
    </w:r>
    <w:r w:rsidRPr="00891015">
      <w:rPr>
        <w:sz w:val="16"/>
      </w:rPr>
      <w:t xml:space="preserve">, </w:t>
    </w:r>
    <w:r w:rsidRPr="00E15CB0">
      <w:rPr>
        <w:i/>
        <w:sz w:val="16"/>
      </w:rPr>
      <w:t>57</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816C33">
      <w:rPr>
        <w:noProof/>
        <w:sz w:val="16"/>
      </w:rPr>
      <w:t>12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816C33">
      <w:rPr>
        <w:noProof/>
        <w:sz w:val="16"/>
      </w:rPr>
      <w:t>12</w:t>
    </w:r>
    <w:r>
      <w:rPr>
        <w:sz w:val="16"/>
      </w:rPr>
      <w:fldChar w:fldCharType="end"/>
    </w:r>
  </w:p>
  <w:p w14:paraId="63839289" w14:textId="77777777" w:rsidR="00364817" w:rsidRPr="007A5CE1" w:rsidRDefault="00364817" w:rsidP="0010543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7" w:type="dxa"/>
      <w:tblCellMar>
        <w:left w:w="0" w:type="dxa"/>
        <w:right w:w="0" w:type="dxa"/>
      </w:tblCellMar>
      <w:tblLook w:val="04A0" w:firstRow="1" w:lastRow="0" w:firstColumn="1" w:lastColumn="0" w:noHBand="0" w:noVBand="1"/>
    </w:tblPr>
    <w:tblGrid>
      <w:gridCol w:w="3679"/>
      <w:gridCol w:w="4535"/>
      <w:gridCol w:w="2273"/>
    </w:tblGrid>
    <w:tr w:rsidR="00364817" w:rsidRPr="00C21920" w14:paraId="19D03ED5" w14:textId="77777777" w:rsidTr="00C21920">
      <w:trPr>
        <w:trHeight w:val="686"/>
      </w:trPr>
      <w:tc>
        <w:tcPr>
          <w:tcW w:w="3679" w:type="dxa"/>
          <w:shd w:val="clear" w:color="auto" w:fill="auto"/>
          <w:vAlign w:val="center"/>
        </w:tcPr>
        <w:p w14:paraId="693162FC" w14:textId="77777777" w:rsidR="00364817" w:rsidRPr="001908FF" w:rsidRDefault="00364817" w:rsidP="00C21920">
          <w:pPr>
            <w:pStyle w:val="Header"/>
            <w:pBdr>
              <w:bottom w:val="none" w:sz="0" w:space="0" w:color="auto"/>
            </w:pBdr>
            <w:jc w:val="left"/>
            <w:rPr>
              <w:rFonts w:eastAsia="DengXian"/>
              <w:b/>
              <w:bCs/>
            </w:rPr>
          </w:pPr>
          <w:r w:rsidRPr="001908FF">
            <w:rPr>
              <w:rFonts w:eastAsia="DengXian"/>
              <w:b/>
              <w:bCs/>
              <w:noProof/>
              <w:lang w:val="en-US" w:eastAsia="en-US"/>
            </w:rPr>
            <w:drawing>
              <wp:inline distT="0" distB="0" distL="0" distR="0" wp14:anchorId="373ECBEB" wp14:editId="7F21CA36">
                <wp:extent cx="1807845" cy="4292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7845" cy="429260"/>
                        </a:xfrm>
                        <a:prstGeom prst="rect">
                          <a:avLst/>
                        </a:prstGeom>
                        <a:noFill/>
                        <a:ln>
                          <a:noFill/>
                        </a:ln>
                      </pic:spPr>
                    </pic:pic>
                  </a:graphicData>
                </a:graphic>
              </wp:inline>
            </w:drawing>
          </w:r>
        </w:p>
      </w:tc>
      <w:tc>
        <w:tcPr>
          <w:tcW w:w="4535" w:type="dxa"/>
          <w:shd w:val="clear" w:color="auto" w:fill="auto"/>
          <w:vAlign w:val="center"/>
        </w:tcPr>
        <w:p w14:paraId="26AF40D4" w14:textId="77777777" w:rsidR="00364817" w:rsidRPr="001908FF" w:rsidRDefault="00364817" w:rsidP="00C21920">
          <w:pPr>
            <w:pStyle w:val="Header"/>
            <w:pBdr>
              <w:bottom w:val="none" w:sz="0" w:space="0" w:color="auto"/>
            </w:pBdr>
            <w:rPr>
              <w:rFonts w:eastAsia="DengXian"/>
              <w:b/>
              <w:bCs/>
            </w:rPr>
          </w:pPr>
        </w:p>
      </w:tc>
      <w:tc>
        <w:tcPr>
          <w:tcW w:w="2273" w:type="dxa"/>
          <w:shd w:val="clear" w:color="auto" w:fill="auto"/>
          <w:vAlign w:val="center"/>
        </w:tcPr>
        <w:p w14:paraId="2C56D258" w14:textId="77777777" w:rsidR="00364817" w:rsidRPr="001908FF" w:rsidRDefault="00364817" w:rsidP="00C21920">
          <w:pPr>
            <w:pStyle w:val="Header"/>
            <w:pBdr>
              <w:bottom w:val="none" w:sz="0" w:space="0" w:color="auto"/>
            </w:pBdr>
            <w:jc w:val="right"/>
            <w:rPr>
              <w:rFonts w:eastAsia="DengXian"/>
              <w:b/>
              <w:bCs/>
            </w:rPr>
          </w:pPr>
          <w:r w:rsidRPr="001908FF">
            <w:rPr>
              <w:rFonts w:eastAsia="DengXian"/>
              <w:b/>
              <w:bCs/>
              <w:noProof/>
              <w:lang w:val="en-US" w:eastAsia="en-US"/>
            </w:rPr>
            <w:drawing>
              <wp:inline distT="0" distB="0" distL="0" distR="0" wp14:anchorId="4E5783A2" wp14:editId="0E61CE2C">
                <wp:extent cx="540385" cy="353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65072215" w14:textId="77777777" w:rsidR="00364817" w:rsidRPr="0024570F" w:rsidRDefault="00364817" w:rsidP="0010543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68F5"/>
    <w:multiLevelType w:val="hybridMultilevel"/>
    <w:tmpl w:val="7548C1F2"/>
    <w:lvl w:ilvl="0" w:tplc="F502D23A">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nsid w:val="430B505B"/>
    <w:multiLevelType w:val="hybridMultilevel"/>
    <w:tmpl w:val="9F6C6AD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nsid w:val="62191577"/>
    <w:multiLevelType w:val="multilevel"/>
    <w:tmpl w:val="1C090029"/>
    <w:styleLink w:val="Style1"/>
    <w:lvl w:ilvl="0">
      <w:start w:val="1"/>
      <w:numFmt w:val="decimal"/>
      <w:suff w:val="space"/>
      <w:lvlText w:val="Chapter %1"/>
      <w:lvlJc w:val="left"/>
      <w:pPr>
        <w:ind w:left="0" w:firstLine="0"/>
      </w:pPr>
      <w:rPr>
        <w:rFonts w:ascii="Arial" w:hAnsi="Arial"/>
        <w:b/>
        <w:i w:val="0"/>
        <w:caps/>
        <w:smallCaps w:val="0"/>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673C370A"/>
    <w:multiLevelType w:val="hybridMultilevel"/>
    <w:tmpl w:val="CF36D044"/>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1">
    <w:nsid w:val="6DB20A64"/>
    <w:multiLevelType w:val="hybridMultilevel"/>
    <w:tmpl w:val="53BE3AD6"/>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10"/>
  </w:num>
  <w:num w:numId="5">
    <w:abstractNumId w:val="11"/>
  </w:num>
  <w:num w:numId="6">
    <w:abstractNumId w:val="6"/>
  </w:num>
  <w:num w:numId="7">
    <w:abstractNumId w:val="4"/>
  </w:num>
  <w:num w:numId="8">
    <w:abstractNumId w:val="8"/>
  </w:num>
  <w:num w:numId="9">
    <w:abstractNumId w:val="1"/>
  </w:num>
  <w:num w:numId="10">
    <w:abstractNumId w:val="8"/>
  </w:num>
  <w:num w:numId="11">
    <w:abstractNumId w:val="1"/>
  </w:num>
  <w:num w:numId="12">
    <w:abstractNumId w:val="8"/>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8"/>
  </w:num>
  <w:num w:numId="18">
    <w:abstractNumId w:val="1"/>
  </w:num>
  <w:num w:numId="19">
    <w:abstractNumId w:val="0"/>
  </w:num>
  <w:num w:numId="2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396"/>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98"/>
    <w:rsid w:val="00000637"/>
    <w:rsid w:val="000006F8"/>
    <w:rsid w:val="00000728"/>
    <w:rsid w:val="00003D74"/>
    <w:rsid w:val="000046B6"/>
    <w:rsid w:val="00004BA7"/>
    <w:rsid w:val="00005253"/>
    <w:rsid w:val="00005398"/>
    <w:rsid w:val="00005FC2"/>
    <w:rsid w:val="00011BC3"/>
    <w:rsid w:val="0001283B"/>
    <w:rsid w:val="00014EE3"/>
    <w:rsid w:val="0002090C"/>
    <w:rsid w:val="00024621"/>
    <w:rsid w:val="0002467B"/>
    <w:rsid w:val="00025A91"/>
    <w:rsid w:val="00025C56"/>
    <w:rsid w:val="00026877"/>
    <w:rsid w:val="000319B8"/>
    <w:rsid w:val="00032917"/>
    <w:rsid w:val="0003351A"/>
    <w:rsid w:val="00034840"/>
    <w:rsid w:val="00034BF8"/>
    <w:rsid w:val="000361F7"/>
    <w:rsid w:val="00037F00"/>
    <w:rsid w:val="00041A10"/>
    <w:rsid w:val="0004245C"/>
    <w:rsid w:val="00042C12"/>
    <w:rsid w:val="000439F3"/>
    <w:rsid w:val="00043F91"/>
    <w:rsid w:val="00044417"/>
    <w:rsid w:val="0004473F"/>
    <w:rsid w:val="00045898"/>
    <w:rsid w:val="00050716"/>
    <w:rsid w:val="00050C65"/>
    <w:rsid w:val="000520E3"/>
    <w:rsid w:val="000551E0"/>
    <w:rsid w:val="000562B9"/>
    <w:rsid w:val="00056DBB"/>
    <w:rsid w:val="000578BD"/>
    <w:rsid w:val="000602E4"/>
    <w:rsid w:val="000605CD"/>
    <w:rsid w:val="0006221A"/>
    <w:rsid w:val="00062A1F"/>
    <w:rsid w:val="00063A6A"/>
    <w:rsid w:val="0006467F"/>
    <w:rsid w:val="00071D03"/>
    <w:rsid w:val="00073BD9"/>
    <w:rsid w:val="00077A9D"/>
    <w:rsid w:val="00082D78"/>
    <w:rsid w:val="000832C6"/>
    <w:rsid w:val="000833FA"/>
    <w:rsid w:val="000848D6"/>
    <w:rsid w:val="000848F9"/>
    <w:rsid w:val="00094176"/>
    <w:rsid w:val="000A0E49"/>
    <w:rsid w:val="000A0F29"/>
    <w:rsid w:val="000A1D23"/>
    <w:rsid w:val="000A3155"/>
    <w:rsid w:val="000A411D"/>
    <w:rsid w:val="000A45A9"/>
    <w:rsid w:val="000A5FAE"/>
    <w:rsid w:val="000A7968"/>
    <w:rsid w:val="000B05D0"/>
    <w:rsid w:val="000B38AC"/>
    <w:rsid w:val="000B529D"/>
    <w:rsid w:val="000B5482"/>
    <w:rsid w:val="000B7EF6"/>
    <w:rsid w:val="000C299D"/>
    <w:rsid w:val="000C4A82"/>
    <w:rsid w:val="000C4B5D"/>
    <w:rsid w:val="000C4FB6"/>
    <w:rsid w:val="000D0305"/>
    <w:rsid w:val="000D0745"/>
    <w:rsid w:val="000D0874"/>
    <w:rsid w:val="000D093A"/>
    <w:rsid w:val="000D166F"/>
    <w:rsid w:val="000D2274"/>
    <w:rsid w:val="000D2842"/>
    <w:rsid w:val="000D2F06"/>
    <w:rsid w:val="000D5554"/>
    <w:rsid w:val="000E08FD"/>
    <w:rsid w:val="000E35FE"/>
    <w:rsid w:val="000E37D1"/>
    <w:rsid w:val="000E7A5D"/>
    <w:rsid w:val="000F0E85"/>
    <w:rsid w:val="000F0F9F"/>
    <w:rsid w:val="000F4E0E"/>
    <w:rsid w:val="000F6B09"/>
    <w:rsid w:val="00100B2F"/>
    <w:rsid w:val="00100FE2"/>
    <w:rsid w:val="00103634"/>
    <w:rsid w:val="0010543D"/>
    <w:rsid w:val="0010655E"/>
    <w:rsid w:val="00110CD4"/>
    <w:rsid w:val="001170CF"/>
    <w:rsid w:val="0011779E"/>
    <w:rsid w:val="0012125D"/>
    <w:rsid w:val="00124285"/>
    <w:rsid w:val="0012462F"/>
    <w:rsid w:val="001268A0"/>
    <w:rsid w:val="00127B58"/>
    <w:rsid w:val="00127DA8"/>
    <w:rsid w:val="00130F88"/>
    <w:rsid w:val="00131F3D"/>
    <w:rsid w:val="00133E4A"/>
    <w:rsid w:val="001352B6"/>
    <w:rsid w:val="00135C14"/>
    <w:rsid w:val="00140A39"/>
    <w:rsid w:val="0014158B"/>
    <w:rsid w:val="00143181"/>
    <w:rsid w:val="00144660"/>
    <w:rsid w:val="00144DC5"/>
    <w:rsid w:val="00144E54"/>
    <w:rsid w:val="00145F5A"/>
    <w:rsid w:val="00147F29"/>
    <w:rsid w:val="00150342"/>
    <w:rsid w:val="00151E48"/>
    <w:rsid w:val="00152F85"/>
    <w:rsid w:val="00153272"/>
    <w:rsid w:val="00154FF6"/>
    <w:rsid w:val="00155401"/>
    <w:rsid w:val="00156006"/>
    <w:rsid w:val="00160C50"/>
    <w:rsid w:val="0016263E"/>
    <w:rsid w:val="00162788"/>
    <w:rsid w:val="001632F9"/>
    <w:rsid w:val="00163372"/>
    <w:rsid w:val="001637C2"/>
    <w:rsid w:val="00163B41"/>
    <w:rsid w:val="001641F1"/>
    <w:rsid w:val="00165A01"/>
    <w:rsid w:val="001665A2"/>
    <w:rsid w:val="0016702F"/>
    <w:rsid w:val="001732EE"/>
    <w:rsid w:val="001739FB"/>
    <w:rsid w:val="00173FC0"/>
    <w:rsid w:val="001763AE"/>
    <w:rsid w:val="001767CE"/>
    <w:rsid w:val="00176BBA"/>
    <w:rsid w:val="00176DC5"/>
    <w:rsid w:val="00176E73"/>
    <w:rsid w:val="0017709E"/>
    <w:rsid w:val="0018066B"/>
    <w:rsid w:val="001812DE"/>
    <w:rsid w:val="00182159"/>
    <w:rsid w:val="00184B65"/>
    <w:rsid w:val="00184ECF"/>
    <w:rsid w:val="001854A7"/>
    <w:rsid w:val="001860DD"/>
    <w:rsid w:val="00187893"/>
    <w:rsid w:val="001908FF"/>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C0136"/>
    <w:rsid w:val="001C2A2E"/>
    <w:rsid w:val="001C3917"/>
    <w:rsid w:val="001C3B86"/>
    <w:rsid w:val="001C6374"/>
    <w:rsid w:val="001D0A2E"/>
    <w:rsid w:val="001D0BD8"/>
    <w:rsid w:val="001D1D5B"/>
    <w:rsid w:val="001D44AC"/>
    <w:rsid w:val="001D4C88"/>
    <w:rsid w:val="001D4CBF"/>
    <w:rsid w:val="001D5C83"/>
    <w:rsid w:val="001D5CB0"/>
    <w:rsid w:val="001D7118"/>
    <w:rsid w:val="001D7351"/>
    <w:rsid w:val="001E0BFA"/>
    <w:rsid w:val="001E26BA"/>
    <w:rsid w:val="001E3DBC"/>
    <w:rsid w:val="001F2913"/>
    <w:rsid w:val="001F45A9"/>
    <w:rsid w:val="001F54C5"/>
    <w:rsid w:val="001F55DC"/>
    <w:rsid w:val="001F5A4A"/>
    <w:rsid w:val="001F7765"/>
    <w:rsid w:val="0020147D"/>
    <w:rsid w:val="002019B1"/>
    <w:rsid w:val="002021CF"/>
    <w:rsid w:val="002026F5"/>
    <w:rsid w:val="00205B34"/>
    <w:rsid w:val="00206B4D"/>
    <w:rsid w:val="0021202D"/>
    <w:rsid w:val="00214190"/>
    <w:rsid w:val="00216FA9"/>
    <w:rsid w:val="00220209"/>
    <w:rsid w:val="002220D5"/>
    <w:rsid w:val="00223A64"/>
    <w:rsid w:val="00225217"/>
    <w:rsid w:val="00225F3F"/>
    <w:rsid w:val="00226AB1"/>
    <w:rsid w:val="00230413"/>
    <w:rsid w:val="002306B3"/>
    <w:rsid w:val="00234505"/>
    <w:rsid w:val="00234AEE"/>
    <w:rsid w:val="00235077"/>
    <w:rsid w:val="00235973"/>
    <w:rsid w:val="00236969"/>
    <w:rsid w:val="00236C0D"/>
    <w:rsid w:val="00236D35"/>
    <w:rsid w:val="00236F94"/>
    <w:rsid w:val="00237EDD"/>
    <w:rsid w:val="0024084D"/>
    <w:rsid w:val="00240C8C"/>
    <w:rsid w:val="00241C14"/>
    <w:rsid w:val="002434C9"/>
    <w:rsid w:val="0024570F"/>
    <w:rsid w:val="00246CE0"/>
    <w:rsid w:val="00246F9E"/>
    <w:rsid w:val="0025127B"/>
    <w:rsid w:val="00251811"/>
    <w:rsid w:val="0025232D"/>
    <w:rsid w:val="00252515"/>
    <w:rsid w:val="0025259B"/>
    <w:rsid w:val="00252BD9"/>
    <w:rsid w:val="00253193"/>
    <w:rsid w:val="00254765"/>
    <w:rsid w:val="00255B5C"/>
    <w:rsid w:val="002564EA"/>
    <w:rsid w:val="00257403"/>
    <w:rsid w:val="0025777F"/>
    <w:rsid w:val="00257822"/>
    <w:rsid w:val="00261B77"/>
    <w:rsid w:val="00261E49"/>
    <w:rsid w:val="00263890"/>
    <w:rsid w:val="00264647"/>
    <w:rsid w:val="0026479E"/>
    <w:rsid w:val="002665A2"/>
    <w:rsid w:val="002708B7"/>
    <w:rsid w:val="00271978"/>
    <w:rsid w:val="00272574"/>
    <w:rsid w:val="002728FE"/>
    <w:rsid w:val="00273440"/>
    <w:rsid w:val="0027513B"/>
    <w:rsid w:val="0027593D"/>
    <w:rsid w:val="00275F7E"/>
    <w:rsid w:val="00276B71"/>
    <w:rsid w:val="0027713B"/>
    <w:rsid w:val="002813F6"/>
    <w:rsid w:val="00283662"/>
    <w:rsid w:val="00284C14"/>
    <w:rsid w:val="00285954"/>
    <w:rsid w:val="00285A67"/>
    <w:rsid w:val="00285C0A"/>
    <w:rsid w:val="0028727D"/>
    <w:rsid w:val="002874AE"/>
    <w:rsid w:val="002915B6"/>
    <w:rsid w:val="0029240A"/>
    <w:rsid w:val="0029287A"/>
    <w:rsid w:val="00294C2F"/>
    <w:rsid w:val="0029628E"/>
    <w:rsid w:val="00296EB7"/>
    <w:rsid w:val="002A31E4"/>
    <w:rsid w:val="002A66E9"/>
    <w:rsid w:val="002B0BCA"/>
    <w:rsid w:val="002B37F5"/>
    <w:rsid w:val="002B4981"/>
    <w:rsid w:val="002B75A2"/>
    <w:rsid w:val="002B7893"/>
    <w:rsid w:val="002C0E6A"/>
    <w:rsid w:val="002C11B5"/>
    <w:rsid w:val="002C28DD"/>
    <w:rsid w:val="002C28F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30B1"/>
    <w:rsid w:val="002E45FF"/>
    <w:rsid w:val="002E4AE9"/>
    <w:rsid w:val="002E59FA"/>
    <w:rsid w:val="002E699F"/>
    <w:rsid w:val="002F0022"/>
    <w:rsid w:val="002F1F90"/>
    <w:rsid w:val="002F30E0"/>
    <w:rsid w:val="002F343C"/>
    <w:rsid w:val="002F3A40"/>
    <w:rsid w:val="002F6006"/>
    <w:rsid w:val="002F667B"/>
    <w:rsid w:val="002F6728"/>
    <w:rsid w:val="002F6FC8"/>
    <w:rsid w:val="00300F39"/>
    <w:rsid w:val="0030282D"/>
    <w:rsid w:val="0030286C"/>
    <w:rsid w:val="0030379B"/>
    <w:rsid w:val="003053D7"/>
    <w:rsid w:val="00305668"/>
    <w:rsid w:val="003066AC"/>
    <w:rsid w:val="00306771"/>
    <w:rsid w:val="0030792C"/>
    <w:rsid w:val="00307DAD"/>
    <w:rsid w:val="00312F5B"/>
    <w:rsid w:val="0031308C"/>
    <w:rsid w:val="0031392A"/>
    <w:rsid w:val="00315EE0"/>
    <w:rsid w:val="003167AC"/>
    <w:rsid w:val="0032250E"/>
    <w:rsid w:val="00322580"/>
    <w:rsid w:val="0032285F"/>
    <w:rsid w:val="003229FD"/>
    <w:rsid w:val="003246E2"/>
    <w:rsid w:val="00325069"/>
    <w:rsid w:val="0032589B"/>
    <w:rsid w:val="003260DD"/>
    <w:rsid w:val="0033124F"/>
    <w:rsid w:val="0033164F"/>
    <w:rsid w:val="00333C2D"/>
    <w:rsid w:val="00334E54"/>
    <w:rsid w:val="003352F1"/>
    <w:rsid w:val="00336080"/>
    <w:rsid w:val="00336BEA"/>
    <w:rsid w:val="003379F5"/>
    <w:rsid w:val="00340477"/>
    <w:rsid w:val="00341638"/>
    <w:rsid w:val="00341815"/>
    <w:rsid w:val="00344684"/>
    <w:rsid w:val="00344DFE"/>
    <w:rsid w:val="00345FEB"/>
    <w:rsid w:val="00346A68"/>
    <w:rsid w:val="00346B1B"/>
    <w:rsid w:val="00347596"/>
    <w:rsid w:val="00350BA8"/>
    <w:rsid w:val="00352D55"/>
    <w:rsid w:val="0035313A"/>
    <w:rsid w:val="0035340A"/>
    <w:rsid w:val="0035376B"/>
    <w:rsid w:val="00353B41"/>
    <w:rsid w:val="0035469E"/>
    <w:rsid w:val="0035521D"/>
    <w:rsid w:val="00357207"/>
    <w:rsid w:val="00363D81"/>
    <w:rsid w:val="00364817"/>
    <w:rsid w:val="00367166"/>
    <w:rsid w:val="00367343"/>
    <w:rsid w:val="003675B2"/>
    <w:rsid w:val="00367C05"/>
    <w:rsid w:val="00370569"/>
    <w:rsid w:val="003709EC"/>
    <w:rsid w:val="00371B08"/>
    <w:rsid w:val="00373D16"/>
    <w:rsid w:val="00373F32"/>
    <w:rsid w:val="00374898"/>
    <w:rsid w:val="003749F1"/>
    <w:rsid w:val="00376A5F"/>
    <w:rsid w:val="00376FA1"/>
    <w:rsid w:val="003812C8"/>
    <w:rsid w:val="00381A60"/>
    <w:rsid w:val="00381C2D"/>
    <w:rsid w:val="00381D89"/>
    <w:rsid w:val="00381FC4"/>
    <w:rsid w:val="003835CE"/>
    <w:rsid w:val="00384168"/>
    <w:rsid w:val="003855CF"/>
    <w:rsid w:val="003902E6"/>
    <w:rsid w:val="00391035"/>
    <w:rsid w:val="003911F6"/>
    <w:rsid w:val="00391392"/>
    <w:rsid w:val="00391F71"/>
    <w:rsid w:val="003938E0"/>
    <w:rsid w:val="00394742"/>
    <w:rsid w:val="003A0A5B"/>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156F"/>
    <w:rsid w:val="003C245C"/>
    <w:rsid w:val="003C2C26"/>
    <w:rsid w:val="003C47FF"/>
    <w:rsid w:val="003C4A20"/>
    <w:rsid w:val="003C4AAF"/>
    <w:rsid w:val="003C7C01"/>
    <w:rsid w:val="003D1BCF"/>
    <w:rsid w:val="003D2888"/>
    <w:rsid w:val="003D2BC8"/>
    <w:rsid w:val="003D6836"/>
    <w:rsid w:val="003D6DF8"/>
    <w:rsid w:val="003D740F"/>
    <w:rsid w:val="003E08EB"/>
    <w:rsid w:val="003E0C56"/>
    <w:rsid w:val="003E14E1"/>
    <w:rsid w:val="003E2B81"/>
    <w:rsid w:val="003E4CB6"/>
    <w:rsid w:val="003E5F91"/>
    <w:rsid w:val="003E68A1"/>
    <w:rsid w:val="003F0471"/>
    <w:rsid w:val="003F21C8"/>
    <w:rsid w:val="003F2876"/>
    <w:rsid w:val="003F35A6"/>
    <w:rsid w:val="003F368E"/>
    <w:rsid w:val="003F4AE6"/>
    <w:rsid w:val="003F6004"/>
    <w:rsid w:val="003F6831"/>
    <w:rsid w:val="003F693E"/>
    <w:rsid w:val="00401EA0"/>
    <w:rsid w:val="0040655F"/>
    <w:rsid w:val="00406FAB"/>
    <w:rsid w:val="00407752"/>
    <w:rsid w:val="00411568"/>
    <w:rsid w:val="00411667"/>
    <w:rsid w:val="004123C0"/>
    <w:rsid w:val="00412F36"/>
    <w:rsid w:val="00412FD3"/>
    <w:rsid w:val="004137AF"/>
    <w:rsid w:val="00415FB0"/>
    <w:rsid w:val="00416645"/>
    <w:rsid w:val="00417A0D"/>
    <w:rsid w:val="00423429"/>
    <w:rsid w:val="00423CD8"/>
    <w:rsid w:val="00424882"/>
    <w:rsid w:val="00425AEA"/>
    <w:rsid w:val="0042627E"/>
    <w:rsid w:val="004262FE"/>
    <w:rsid w:val="00427902"/>
    <w:rsid w:val="0043115A"/>
    <w:rsid w:val="00432800"/>
    <w:rsid w:val="00432850"/>
    <w:rsid w:val="00433837"/>
    <w:rsid w:val="00434423"/>
    <w:rsid w:val="00436BA8"/>
    <w:rsid w:val="0043748F"/>
    <w:rsid w:val="004378B1"/>
    <w:rsid w:val="0044006E"/>
    <w:rsid w:val="00441209"/>
    <w:rsid w:val="00441AF9"/>
    <w:rsid w:val="00441FA3"/>
    <w:rsid w:val="004466AA"/>
    <w:rsid w:val="00446CA3"/>
    <w:rsid w:val="0045011E"/>
    <w:rsid w:val="0045101B"/>
    <w:rsid w:val="0045192C"/>
    <w:rsid w:val="004539D4"/>
    <w:rsid w:val="00453CFB"/>
    <w:rsid w:val="0045405C"/>
    <w:rsid w:val="00455021"/>
    <w:rsid w:val="00456BA6"/>
    <w:rsid w:val="00460795"/>
    <w:rsid w:val="00461413"/>
    <w:rsid w:val="004614D9"/>
    <w:rsid w:val="00461D63"/>
    <w:rsid w:val="00461DA2"/>
    <w:rsid w:val="00462789"/>
    <w:rsid w:val="0046280A"/>
    <w:rsid w:val="00462F89"/>
    <w:rsid w:val="00467F33"/>
    <w:rsid w:val="00471859"/>
    <w:rsid w:val="00475F95"/>
    <w:rsid w:val="00476172"/>
    <w:rsid w:val="00477487"/>
    <w:rsid w:val="0048098C"/>
    <w:rsid w:val="00480BAE"/>
    <w:rsid w:val="00481ADA"/>
    <w:rsid w:val="00483436"/>
    <w:rsid w:val="00484615"/>
    <w:rsid w:val="004858DC"/>
    <w:rsid w:val="004869B2"/>
    <w:rsid w:val="00492418"/>
    <w:rsid w:val="00492DD6"/>
    <w:rsid w:val="004938FB"/>
    <w:rsid w:val="00494477"/>
    <w:rsid w:val="0049451F"/>
    <w:rsid w:val="00495448"/>
    <w:rsid w:val="004971EB"/>
    <w:rsid w:val="004975CF"/>
    <w:rsid w:val="004A070F"/>
    <w:rsid w:val="004A3D67"/>
    <w:rsid w:val="004A3EEB"/>
    <w:rsid w:val="004A44AE"/>
    <w:rsid w:val="004A485C"/>
    <w:rsid w:val="004A5940"/>
    <w:rsid w:val="004A6E3D"/>
    <w:rsid w:val="004A7C02"/>
    <w:rsid w:val="004B1516"/>
    <w:rsid w:val="004B612D"/>
    <w:rsid w:val="004B637A"/>
    <w:rsid w:val="004B664F"/>
    <w:rsid w:val="004C16C9"/>
    <w:rsid w:val="004C1961"/>
    <w:rsid w:val="004C1A82"/>
    <w:rsid w:val="004C1AB7"/>
    <w:rsid w:val="004C1B70"/>
    <w:rsid w:val="004C3D4B"/>
    <w:rsid w:val="004C690B"/>
    <w:rsid w:val="004C6EE2"/>
    <w:rsid w:val="004C71C5"/>
    <w:rsid w:val="004D0408"/>
    <w:rsid w:val="004D27A1"/>
    <w:rsid w:val="004D3D30"/>
    <w:rsid w:val="004D464D"/>
    <w:rsid w:val="004D50E0"/>
    <w:rsid w:val="004D6828"/>
    <w:rsid w:val="004E16F5"/>
    <w:rsid w:val="004E70CE"/>
    <w:rsid w:val="004E7B6B"/>
    <w:rsid w:val="004F1511"/>
    <w:rsid w:val="004F41A3"/>
    <w:rsid w:val="004F7B5B"/>
    <w:rsid w:val="005010C0"/>
    <w:rsid w:val="00505235"/>
    <w:rsid w:val="005052F4"/>
    <w:rsid w:val="005055B1"/>
    <w:rsid w:val="0050609E"/>
    <w:rsid w:val="00514D19"/>
    <w:rsid w:val="0051569D"/>
    <w:rsid w:val="005168CA"/>
    <w:rsid w:val="00516FD5"/>
    <w:rsid w:val="005173DA"/>
    <w:rsid w:val="00517F0B"/>
    <w:rsid w:val="00520C33"/>
    <w:rsid w:val="0052150F"/>
    <w:rsid w:val="00523C06"/>
    <w:rsid w:val="00523C6D"/>
    <w:rsid w:val="00524BEC"/>
    <w:rsid w:val="00524E78"/>
    <w:rsid w:val="00525CC6"/>
    <w:rsid w:val="00527BF5"/>
    <w:rsid w:val="00527C02"/>
    <w:rsid w:val="00532B9C"/>
    <w:rsid w:val="005332DD"/>
    <w:rsid w:val="00533883"/>
    <w:rsid w:val="00534135"/>
    <w:rsid w:val="0053584F"/>
    <w:rsid w:val="005400CD"/>
    <w:rsid w:val="00541DC6"/>
    <w:rsid w:val="00541FBF"/>
    <w:rsid w:val="00546A9B"/>
    <w:rsid w:val="005477D0"/>
    <w:rsid w:val="00547A73"/>
    <w:rsid w:val="00550577"/>
    <w:rsid w:val="00550622"/>
    <w:rsid w:val="005518BE"/>
    <w:rsid w:val="005519F1"/>
    <w:rsid w:val="00552863"/>
    <w:rsid w:val="00554334"/>
    <w:rsid w:val="00554A5B"/>
    <w:rsid w:val="00554D7C"/>
    <w:rsid w:val="005569C6"/>
    <w:rsid w:val="00556FA7"/>
    <w:rsid w:val="005574FA"/>
    <w:rsid w:val="005579F5"/>
    <w:rsid w:val="00561B99"/>
    <w:rsid w:val="0056451B"/>
    <w:rsid w:val="00565398"/>
    <w:rsid w:val="005665B7"/>
    <w:rsid w:val="0056676E"/>
    <w:rsid w:val="00566825"/>
    <w:rsid w:val="00566C4A"/>
    <w:rsid w:val="0056718A"/>
    <w:rsid w:val="00567455"/>
    <w:rsid w:val="00570518"/>
    <w:rsid w:val="00571422"/>
    <w:rsid w:val="00580739"/>
    <w:rsid w:val="00587918"/>
    <w:rsid w:val="005879FB"/>
    <w:rsid w:val="005904F3"/>
    <w:rsid w:val="00591118"/>
    <w:rsid w:val="00592174"/>
    <w:rsid w:val="005967E7"/>
    <w:rsid w:val="0059706B"/>
    <w:rsid w:val="005970D4"/>
    <w:rsid w:val="0059738E"/>
    <w:rsid w:val="005A1A79"/>
    <w:rsid w:val="005A42BD"/>
    <w:rsid w:val="005A6846"/>
    <w:rsid w:val="005A791C"/>
    <w:rsid w:val="005B372B"/>
    <w:rsid w:val="005C001C"/>
    <w:rsid w:val="005C1C6F"/>
    <w:rsid w:val="005C2A6C"/>
    <w:rsid w:val="005C5730"/>
    <w:rsid w:val="005D196D"/>
    <w:rsid w:val="005D19D4"/>
    <w:rsid w:val="005D2650"/>
    <w:rsid w:val="005D35BB"/>
    <w:rsid w:val="005D6EDA"/>
    <w:rsid w:val="005E1274"/>
    <w:rsid w:val="005E13E0"/>
    <w:rsid w:val="005E36A0"/>
    <w:rsid w:val="005E4EC3"/>
    <w:rsid w:val="005E64B5"/>
    <w:rsid w:val="005E7457"/>
    <w:rsid w:val="005E74D7"/>
    <w:rsid w:val="005E790B"/>
    <w:rsid w:val="005F092A"/>
    <w:rsid w:val="005F1258"/>
    <w:rsid w:val="005F3117"/>
    <w:rsid w:val="005F3B08"/>
    <w:rsid w:val="005F69DB"/>
    <w:rsid w:val="0060191C"/>
    <w:rsid w:val="00603D46"/>
    <w:rsid w:val="0060502A"/>
    <w:rsid w:val="006054D8"/>
    <w:rsid w:val="00607C65"/>
    <w:rsid w:val="00610143"/>
    <w:rsid w:val="006101B1"/>
    <w:rsid w:val="00610C2F"/>
    <w:rsid w:val="00610EEA"/>
    <w:rsid w:val="006118C4"/>
    <w:rsid w:val="00612526"/>
    <w:rsid w:val="00612FD7"/>
    <w:rsid w:val="00614AE8"/>
    <w:rsid w:val="0061522B"/>
    <w:rsid w:val="0061539D"/>
    <w:rsid w:val="0061576A"/>
    <w:rsid w:val="0061583B"/>
    <w:rsid w:val="00615B18"/>
    <w:rsid w:val="00621703"/>
    <w:rsid w:val="00621836"/>
    <w:rsid w:val="00621F58"/>
    <w:rsid w:val="00622325"/>
    <w:rsid w:val="00622348"/>
    <w:rsid w:val="00625BAB"/>
    <w:rsid w:val="00625F2E"/>
    <w:rsid w:val="00626100"/>
    <w:rsid w:val="00626476"/>
    <w:rsid w:val="00627115"/>
    <w:rsid w:val="006310D8"/>
    <w:rsid w:val="00632FFF"/>
    <w:rsid w:val="006349FA"/>
    <w:rsid w:val="006378A2"/>
    <w:rsid w:val="00637B91"/>
    <w:rsid w:val="00637E6E"/>
    <w:rsid w:val="006402BD"/>
    <w:rsid w:val="006408F0"/>
    <w:rsid w:val="006410D6"/>
    <w:rsid w:val="006411A5"/>
    <w:rsid w:val="00641221"/>
    <w:rsid w:val="00642B45"/>
    <w:rsid w:val="0064371D"/>
    <w:rsid w:val="00643F8A"/>
    <w:rsid w:val="00645862"/>
    <w:rsid w:val="006458D8"/>
    <w:rsid w:val="00646CCB"/>
    <w:rsid w:val="0065221D"/>
    <w:rsid w:val="00652489"/>
    <w:rsid w:val="00652887"/>
    <w:rsid w:val="00653B88"/>
    <w:rsid w:val="00654659"/>
    <w:rsid w:val="00655087"/>
    <w:rsid w:val="00655F4C"/>
    <w:rsid w:val="0065629D"/>
    <w:rsid w:val="00656934"/>
    <w:rsid w:val="00657515"/>
    <w:rsid w:val="0065777B"/>
    <w:rsid w:val="00660773"/>
    <w:rsid w:val="00660B85"/>
    <w:rsid w:val="00661780"/>
    <w:rsid w:val="00663D7F"/>
    <w:rsid w:val="00663FED"/>
    <w:rsid w:val="00664C69"/>
    <w:rsid w:val="00667F99"/>
    <w:rsid w:val="006719DE"/>
    <w:rsid w:val="00673C97"/>
    <w:rsid w:val="00674566"/>
    <w:rsid w:val="006746B1"/>
    <w:rsid w:val="006806B9"/>
    <w:rsid w:val="006808E8"/>
    <w:rsid w:val="00682FE2"/>
    <w:rsid w:val="00684284"/>
    <w:rsid w:val="00684579"/>
    <w:rsid w:val="00686750"/>
    <w:rsid w:val="00686CBD"/>
    <w:rsid w:val="00686CC5"/>
    <w:rsid w:val="0068700B"/>
    <w:rsid w:val="00687A58"/>
    <w:rsid w:val="0069559D"/>
    <w:rsid w:val="00695D67"/>
    <w:rsid w:val="00696F8C"/>
    <w:rsid w:val="0069700C"/>
    <w:rsid w:val="00697037"/>
    <w:rsid w:val="00697801"/>
    <w:rsid w:val="006A074F"/>
    <w:rsid w:val="006A1577"/>
    <w:rsid w:val="006A54E3"/>
    <w:rsid w:val="006A55D7"/>
    <w:rsid w:val="006A7AD1"/>
    <w:rsid w:val="006B0B60"/>
    <w:rsid w:val="006B20CA"/>
    <w:rsid w:val="006B440B"/>
    <w:rsid w:val="006B5189"/>
    <w:rsid w:val="006C09DE"/>
    <w:rsid w:val="006C1055"/>
    <w:rsid w:val="006C3E9D"/>
    <w:rsid w:val="006C44B9"/>
    <w:rsid w:val="006C4FA4"/>
    <w:rsid w:val="006C51D6"/>
    <w:rsid w:val="006C5333"/>
    <w:rsid w:val="006C6552"/>
    <w:rsid w:val="006C67DC"/>
    <w:rsid w:val="006C7D91"/>
    <w:rsid w:val="006C7FED"/>
    <w:rsid w:val="006D0C85"/>
    <w:rsid w:val="006D272B"/>
    <w:rsid w:val="006D2ED9"/>
    <w:rsid w:val="006D4052"/>
    <w:rsid w:val="006D425B"/>
    <w:rsid w:val="006D6F56"/>
    <w:rsid w:val="006D7D80"/>
    <w:rsid w:val="006E17AC"/>
    <w:rsid w:val="006E22D6"/>
    <w:rsid w:val="006E24C6"/>
    <w:rsid w:val="006E297A"/>
    <w:rsid w:val="006E32F6"/>
    <w:rsid w:val="006E60D8"/>
    <w:rsid w:val="006E60E5"/>
    <w:rsid w:val="006F0B83"/>
    <w:rsid w:val="006F3365"/>
    <w:rsid w:val="00701836"/>
    <w:rsid w:val="00701F70"/>
    <w:rsid w:val="00702650"/>
    <w:rsid w:val="007062E3"/>
    <w:rsid w:val="00706936"/>
    <w:rsid w:val="0070769C"/>
    <w:rsid w:val="00710C7D"/>
    <w:rsid w:val="00715323"/>
    <w:rsid w:val="00715914"/>
    <w:rsid w:val="00716CC2"/>
    <w:rsid w:val="0071759D"/>
    <w:rsid w:val="0072079B"/>
    <w:rsid w:val="00722184"/>
    <w:rsid w:val="007229D7"/>
    <w:rsid w:val="0072401B"/>
    <w:rsid w:val="00724474"/>
    <w:rsid w:val="007269A0"/>
    <w:rsid w:val="00730EDD"/>
    <w:rsid w:val="007318F9"/>
    <w:rsid w:val="0073205B"/>
    <w:rsid w:val="00734C7C"/>
    <w:rsid w:val="0073535F"/>
    <w:rsid w:val="00736FD6"/>
    <w:rsid w:val="0073714D"/>
    <w:rsid w:val="00737F17"/>
    <w:rsid w:val="0074264B"/>
    <w:rsid w:val="0074415C"/>
    <w:rsid w:val="00746790"/>
    <w:rsid w:val="0074696F"/>
    <w:rsid w:val="00746DFC"/>
    <w:rsid w:val="00747BD5"/>
    <w:rsid w:val="007512D0"/>
    <w:rsid w:val="0075223F"/>
    <w:rsid w:val="00752DCE"/>
    <w:rsid w:val="00753727"/>
    <w:rsid w:val="00755404"/>
    <w:rsid w:val="00755676"/>
    <w:rsid w:val="00757E40"/>
    <w:rsid w:val="00760E65"/>
    <w:rsid w:val="00763B07"/>
    <w:rsid w:val="00763D41"/>
    <w:rsid w:val="00766CD4"/>
    <w:rsid w:val="00770985"/>
    <w:rsid w:val="0077147D"/>
    <w:rsid w:val="007814A1"/>
    <w:rsid w:val="00786C6C"/>
    <w:rsid w:val="00790072"/>
    <w:rsid w:val="00791FB2"/>
    <w:rsid w:val="00792569"/>
    <w:rsid w:val="007936E5"/>
    <w:rsid w:val="00793A96"/>
    <w:rsid w:val="007A29C5"/>
    <w:rsid w:val="007A4E42"/>
    <w:rsid w:val="007A5CE1"/>
    <w:rsid w:val="007B0185"/>
    <w:rsid w:val="007B0A56"/>
    <w:rsid w:val="007B3881"/>
    <w:rsid w:val="007B4B9B"/>
    <w:rsid w:val="007B7493"/>
    <w:rsid w:val="007C08C0"/>
    <w:rsid w:val="007C0C21"/>
    <w:rsid w:val="007C1576"/>
    <w:rsid w:val="007C425D"/>
    <w:rsid w:val="007C431E"/>
    <w:rsid w:val="007C5655"/>
    <w:rsid w:val="007C7E77"/>
    <w:rsid w:val="007D2C29"/>
    <w:rsid w:val="007D3CF3"/>
    <w:rsid w:val="007D40E6"/>
    <w:rsid w:val="007D6401"/>
    <w:rsid w:val="007D68DC"/>
    <w:rsid w:val="007D76D3"/>
    <w:rsid w:val="007D7ECD"/>
    <w:rsid w:val="007E1C66"/>
    <w:rsid w:val="007E250D"/>
    <w:rsid w:val="007E25C6"/>
    <w:rsid w:val="007E3C59"/>
    <w:rsid w:val="007E3F1E"/>
    <w:rsid w:val="007E4E1A"/>
    <w:rsid w:val="007E52C3"/>
    <w:rsid w:val="007E596F"/>
    <w:rsid w:val="007E70AC"/>
    <w:rsid w:val="007E735C"/>
    <w:rsid w:val="007E7A85"/>
    <w:rsid w:val="007F0197"/>
    <w:rsid w:val="007F0281"/>
    <w:rsid w:val="007F1502"/>
    <w:rsid w:val="007F1923"/>
    <w:rsid w:val="007F1FB0"/>
    <w:rsid w:val="007F263B"/>
    <w:rsid w:val="007F2DC8"/>
    <w:rsid w:val="007F452F"/>
    <w:rsid w:val="007F5437"/>
    <w:rsid w:val="007F5BE2"/>
    <w:rsid w:val="007F7723"/>
    <w:rsid w:val="0080057F"/>
    <w:rsid w:val="008005B3"/>
    <w:rsid w:val="00800B99"/>
    <w:rsid w:val="0080262B"/>
    <w:rsid w:val="0080381D"/>
    <w:rsid w:val="00803BBF"/>
    <w:rsid w:val="008045A7"/>
    <w:rsid w:val="00804F2A"/>
    <w:rsid w:val="00806F80"/>
    <w:rsid w:val="008111C0"/>
    <w:rsid w:val="00811217"/>
    <w:rsid w:val="00814E34"/>
    <w:rsid w:val="008156EB"/>
    <w:rsid w:val="008158EE"/>
    <w:rsid w:val="0081603E"/>
    <w:rsid w:val="00816A00"/>
    <w:rsid w:val="00816C33"/>
    <w:rsid w:val="00816EB3"/>
    <w:rsid w:val="0082191A"/>
    <w:rsid w:val="008252B3"/>
    <w:rsid w:val="00826015"/>
    <w:rsid w:val="00826339"/>
    <w:rsid w:val="00826661"/>
    <w:rsid w:val="008277BB"/>
    <w:rsid w:val="00831D40"/>
    <w:rsid w:val="00832530"/>
    <w:rsid w:val="00834873"/>
    <w:rsid w:val="0083491C"/>
    <w:rsid w:val="00834DFD"/>
    <w:rsid w:val="00837B94"/>
    <w:rsid w:val="00837BC3"/>
    <w:rsid w:val="00840581"/>
    <w:rsid w:val="00840C66"/>
    <w:rsid w:val="008417F4"/>
    <w:rsid w:val="008418F1"/>
    <w:rsid w:val="008434A1"/>
    <w:rsid w:val="00843B31"/>
    <w:rsid w:val="008445A5"/>
    <w:rsid w:val="008446F7"/>
    <w:rsid w:val="00844A58"/>
    <w:rsid w:val="008458C9"/>
    <w:rsid w:val="008471DD"/>
    <w:rsid w:val="0084766E"/>
    <w:rsid w:val="00851EA5"/>
    <w:rsid w:val="00852591"/>
    <w:rsid w:val="0085568A"/>
    <w:rsid w:val="00856761"/>
    <w:rsid w:val="00856F22"/>
    <w:rsid w:val="00857347"/>
    <w:rsid w:val="008573D5"/>
    <w:rsid w:val="008625BD"/>
    <w:rsid w:val="00862E12"/>
    <w:rsid w:val="00863094"/>
    <w:rsid w:val="0086358C"/>
    <w:rsid w:val="008640E5"/>
    <w:rsid w:val="00865499"/>
    <w:rsid w:val="008670AA"/>
    <w:rsid w:val="0086721C"/>
    <w:rsid w:val="008705F5"/>
    <w:rsid w:val="00870E00"/>
    <w:rsid w:val="00871C11"/>
    <w:rsid w:val="00875E96"/>
    <w:rsid w:val="008775BC"/>
    <w:rsid w:val="008777D3"/>
    <w:rsid w:val="008810B3"/>
    <w:rsid w:val="00883B03"/>
    <w:rsid w:val="0088505F"/>
    <w:rsid w:val="0088519A"/>
    <w:rsid w:val="00890C8F"/>
    <w:rsid w:val="00891015"/>
    <w:rsid w:val="00891611"/>
    <w:rsid w:val="00891F22"/>
    <w:rsid w:val="00893447"/>
    <w:rsid w:val="00894D12"/>
    <w:rsid w:val="00894E26"/>
    <w:rsid w:val="00895D2A"/>
    <w:rsid w:val="00896C4C"/>
    <w:rsid w:val="008A1923"/>
    <w:rsid w:val="008A20CD"/>
    <w:rsid w:val="008A26D8"/>
    <w:rsid w:val="008A37CD"/>
    <w:rsid w:val="008A5B8F"/>
    <w:rsid w:val="008A5EC4"/>
    <w:rsid w:val="008A6BDF"/>
    <w:rsid w:val="008A716B"/>
    <w:rsid w:val="008A7201"/>
    <w:rsid w:val="008B5B4F"/>
    <w:rsid w:val="008B7538"/>
    <w:rsid w:val="008C0E13"/>
    <w:rsid w:val="008C2CAB"/>
    <w:rsid w:val="008C3CC7"/>
    <w:rsid w:val="008C5A60"/>
    <w:rsid w:val="008D2721"/>
    <w:rsid w:val="008D4222"/>
    <w:rsid w:val="008D448D"/>
    <w:rsid w:val="008D48DD"/>
    <w:rsid w:val="008D5B12"/>
    <w:rsid w:val="008D5E3B"/>
    <w:rsid w:val="008D6197"/>
    <w:rsid w:val="008E0740"/>
    <w:rsid w:val="008E114F"/>
    <w:rsid w:val="008E7A56"/>
    <w:rsid w:val="008E7C63"/>
    <w:rsid w:val="008F06B8"/>
    <w:rsid w:val="008F1A68"/>
    <w:rsid w:val="008F2DEE"/>
    <w:rsid w:val="008F33FE"/>
    <w:rsid w:val="008F3A92"/>
    <w:rsid w:val="008F71EA"/>
    <w:rsid w:val="00900F5C"/>
    <w:rsid w:val="0090201D"/>
    <w:rsid w:val="0090278A"/>
    <w:rsid w:val="009029A5"/>
    <w:rsid w:val="00903177"/>
    <w:rsid w:val="00904FEF"/>
    <w:rsid w:val="00905DFE"/>
    <w:rsid w:val="00910A12"/>
    <w:rsid w:val="009136F9"/>
    <w:rsid w:val="00916274"/>
    <w:rsid w:val="00917AB1"/>
    <w:rsid w:val="0092016B"/>
    <w:rsid w:val="0092078E"/>
    <w:rsid w:val="00921161"/>
    <w:rsid w:val="00921B0C"/>
    <w:rsid w:val="0092211A"/>
    <w:rsid w:val="00922F79"/>
    <w:rsid w:val="00923D04"/>
    <w:rsid w:val="00924154"/>
    <w:rsid w:val="00924749"/>
    <w:rsid w:val="0092520D"/>
    <w:rsid w:val="0092599A"/>
    <w:rsid w:val="00926435"/>
    <w:rsid w:val="009269C3"/>
    <w:rsid w:val="009273B2"/>
    <w:rsid w:val="00930D40"/>
    <w:rsid w:val="009320BE"/>
    <w:rsid w:val="0093245D"/>
    <w:rsid w:val="00932DF7"/>
    <w:rsid w:val="00935FFF"/>
    <w:rsid w:val="00936873"/>
    <w:rsid w:val="00936FDB"/>
    <w:rsid w:val="00937630"/>
    <w:rsid w:val="00941A38"/>
    <w:rsid w:val="00942626"/>
    <w:rsid w:val="00943DB0"/>
    <w:rsid w:val="009445C2"/>
    <w:rsid w:val="00945ABF"/>
    <w:rsid w:val="009479BC"/>
    <w:rsid w:val="009502B2"/>
    <w:rsid w:val="00951F72"/>
    <w:rsid w:val="00952E33"/>
    <w:rsid w:val="00953BF5"/>
    <w:rsid w:val="0095432D"/>
    <w:rsid w:val="00954F6E"/>
    <w:rsid w:val="009564D7"/>
    <w:rsid w:val="00956E1A"/>
    <w:rsid w:val="0095730D"/>
    <w:rsid w:val="009573AE"/>
    <w:rsid w:val="00957A7B"/>
    <w:rsid w:val="00957C7E"/>
    <w:rsid w:val="009636E0"/>
    <w:rsid w:val="00965D9A"/>
    <w:rsid w:val="00971857"/>
    <w:rsid w:val="009733A6"/>
    <w:rsid w:val="00974554"/>
    <w:rsid w:val="0097717F"/>
    <w:rsid w:val="009801B6"/>
    <w:rsid w:val="0098119E"/>
    <w:rsid w:val="0098344E"/>
    <w:rsid w:val="009836DF"/>
    <w:rsid w:val="00986BB9"/>
    <w:rsid w:val="0098796E"/>
    <w:rsid w:val="0099115A"/>
    <w:rsid w:val="009918C4"/>
    <w:rsid w:val="00991FF1"/>
    <w:rsid w:val="00992FA0"/>
    <w:rsid w:val="0099449B"/>
    <w:rsid w:val="009947DB"/>
    <w:rsid w:val="00994E48"/>
    <w:rsid w:val="0099601C"/>
    <w:rsid w:val="00997702"/>
    <w:rsid w:val="009A21C5"/>
    <w:rsid w:val="009A2D1C"/>
    <w:rsid w:val="009A428D"/>
    <w:rsid w:val="009A453D"/>
    <w:rsid w:val="009A656B"/>
    <w:rsid w:val="009A73A9"/>
    <w:rsid w:val="009A7896"/>
    <w:rsid w:val="009A7DE1"/>
    <w:rsid w:val="009B1383"/>
    <w:rsid w:val="009B75D1"/>
    <w:rsid w:val="009C1EA0"/>
    <w:rsid w:val="009C3A17"/>
    <w:rsid w:val="009C47DE"/>
    <w:rsid w:val="009C4D38"/>
    <w:rsid w:val="009C501E"/>
    <w:rsid w:val="009C50FC"/>
    <w:rsid w:val="009C5DAC"/>
    <w:rsid w:val="009D0479"/>
    <w:rsid w:val="009D0924"/>
    <w:rsid w:val="009D27B8"/>
    <w:rsid w:val="009D34D2"/>
    <w:rsid w:val="009D55DE"/>
    <w:rsid w:val="009D56B4"/>
    <w:rsid w:val="009E2755"/>
    <w:rsid w:val="009E43C3"/>
    <w:rsid w:val="009E50FD"/>
    <w:rsid w:val="009E5D13"/>
    <w:rsid w:val="009E5FB2"/>
    <w:rsid w:val="009E61C0"/>
    <w:rsid w:val="009E7648"/>
    <w:rsid w:val="009F017C"/>
    <w:rsid w:val="009F1081"/>
    <w:rsid w:val="009F245B"/>
    <w:rsid w:val="009F2CE1"/>
    <w:rsid w:val="009F3C30"/>
    <w:rsid w:val="009F6F14"/>
    <w:rsid w:val="009F70DB"/>
    <w:rsid w:val="00A00529"/>
    <w:rsid w:val="00A01504"/>
    <w:rsid w:val="00A01773"/>
    <w:rsid w:val="00A045A8"/>
    <w:rsid w:val="00A06558"/>
    <w:rsid w:val="00A06614"/>
    <w:rsid w:val="00A0689F"/>
    <w:rsid w:val="00A077D6"/>
    <w:rsid w:val="00A10B4B"/>
    <w:rsid w:val="00A12039"/>
    <w:rsid w:val="00A14C60"/>
    <w:rsid w:val="00A15B50"/>
    <w:rsid w:val="00A16B99"/>
    <w:rsid w:val="00A202CE"/>
    <w:rsid w:val="00A2661C"/>
    <w:rsid w:val="00A27720"/>
    <w:rsid w:val="00A30E40"/>
    <w:rsid w:val="00A31AFC"/>
    <w:rsid w:val="00A32E38"/>
    <w:rsid w:val="00A34A3A"/>
    <w:rsid w:val="00A34AC3"/>
    <w:rsid w:val="00A37CE5"/>
    <w:rsid w:val="00A404B1"/>
    <w:rsid w:val="00A41B50"/>
    <w:rsid w:val="00A434D9"/>
    <w:rsid w:val="00A44129"/>
    <w:rsid w:val="00A44FB7"/>
    <w:rsid w:val="00A46418"/>
    <w:rsid w:val="00A46EC6"/>
    <w:rsid w:val="00A46FB9"/>
    <w:rsid w:val="00A47071"/>
    <w:rsid w:val="00A51977"/>
    <w:rsid w:val="00A51E43"/>
    <w:rsid w:val="00A5572F"/>
    <w:rsid w:val="00A55A64"/>
    <w:rsid w:val="00A55FFF"/>
    <w:rsid w:val="00A6006D"/>
    <w:rsid w:val="00A61DE2"/>
    <w:rsid w:val="00A62B1B"/>
    <w:rsid w:val="00A67762"/>
    <w:rsid w:val="00A7295D"/>
    <w:rsid w:val="00A753C9"/>
    <w:rsid w:val="00A75FF2"/>
    <w:rsid w:val="00A808AC"/>
    <w:rsid w:val="00A82ADF"/>
    <w:rsid w:val="00A84A84"/>
    <w:rsid w:val="00A84F67"/>
    <w:rsid w:val="00A8598D"/>
    <w:rsid w:val="00A861F6"/>
    <w:rsid w:val="00A902DE"/>
    <w:rsid w:val="00A9156B"/>
    <w:rsid w:val="00A91FB2"/>
    <w:rsid w:val="00A95E52"/>
    <w:rsid w:val="00A96150"/>
    <w:rsid w:val="00A96386"/>
    <w:rsid w:val="00A96AAA"/>
    <w:rsid w:val="00A96DC0"/>
    <w:rsid w:val="00AA2147"/>
    <w:rsid w:val="00AA2CBC"/>
    <w:rsid w:val="00AA4CDC"/>
    <w:rsid w:val="00AA534C"/>
    <w:rsid w:val="00AA6D33"/>
    <w:rsid w:val="00AA6D42"/>
    <w:rsid w:val="00AA7D47"/>
    <w:rsid w:val="00AB118B"/>
    <w:rsid w:val="00AB3B2F"/>
    <w:rsid w:val="00AB4374"/>
    <w:rsid w:val="00AB770B"/>
    <w:rsid w:val="00AB7823"/>
    <w:rsid w:val="00AC0B32"/>
    <w:rsid w:val="00AC0F37"/>
    <w:rsid w:val="00AC1CB6"/>
    <w:rsid w:val="00AC2E74"/>
    <w:rsid w:val="00AC37B2"/>
    <w:rsid w:val="00AC420E"/>
    <w:rsid w:val="00AD1980"/>
    <w:rsid w:val="00AD323F"/>
    <w:rsid w:val="00AD414A"/>
    <w:rsid w:val="00AD419B"/>
    <w:rsid w:val="00AD452E"/>
    <w:rsid w:val="00AD595E"/>
    <w:rsid w:val="00AD5C14"/>
    <w:rsid w:val="00AD5DDA"/>
    <w:rsid w:val="00AE1FC9"/>
    <w:rsid w:val="00AE26B0"/>
    <w:rsid w:val="00AE2B96"/>
    <w:rsid w:val="00AE481D"/>
    <w:rsid w:val="00AE737B"/>
    <w:rsid w:val="00AF2C9B"/>
    <w:rsid w:val="00AF319E"/>
    <w:rsid w:val="00AF3647"/>
    <w:rsid w:val="00AF52C0"/>
    <w:rsid w:val="00AF6894"/>
    <w:rsid w:val="00AF69A6"/>
    <w:rsid w:val="00AF6B00"/>
    <w:rsid w:val="00AF6F96"/>
    <w:rsid w:val="00AF75FB"/>
    <w:rsid w:val="00AF7D31"/>
    <w:rsid w:val="00B00435"/>
    <w:rsid w:val="00B00829"/>
    <w:rsid w:val="00B0300F"/>
    <w:rsid w:val="00B04A30"/>
    <w:rsid w:val="00B062AD"/>
    <w:rsid w:val="00B06C8B"/>
    <w:rsid w:val="00B075B0"/>
    <w:rsid w:val="00B110B4"/>
    <w:rsid w:val="00B1468D"/>
    <w:rsid w:val="00B14AC0"/>
    <w:rsid w:val="00B2055D"/>
    <w:rsid w:val="00B21A85"/>
    <w:rsid w:val="00B21C2D"/>
    <w:rsid w:val="00B225D6"/>
    <w:rsid w:val="00B23DA4"/>
    <w:rsid w:val="00B243FE"/>
    <w:rsid w:val="00B24904"/>
    <w:rsid w:val="00B24CBA"/>
    <w:rsid w:val="00B2666F"/>
    <w:rsid w:val="00B26F93"/>
    <w:rsid w:val="00B27BFC"/>
    <w:rsid w:val="00B306A5"/>
    <w:rsid w:val="00B3096E"/>
    <w:rsid w:val="00B31939"/>
    <w:rsid w:val="00B3205D"/>
    <w:rsid w:val="00B32A73"/>
    <w:rsid w:val="00B36FA1"/>
    <w:rsid w:val="00B37511"/>
    <w:rsid w:val="00B41DFE"/>
    <w:rsid w:val="00B45165"/>
    <w:rsid w:val="00B451AE"/>
    <w:rsid w:val="00B52973"/>
    <w:rsid w:val="00B52EB1"/>
    <w:rsid w:val="00B5455D"/>
    <w:rsid w:val="00B55B96"/>
    <w:rsid w:val="00B56183"/>
    <w:rsid w:val="00B56B51"/>
    <w:rsid w:val="00B6121E"/>
    <w:rsid w:val="00B616FE"/>
    <w:rsid w:val="00B61A5C"/>
    <w:rsid w:val="00B62671"/>
    <w:rsid w:val="00B62B2E"/>
    <w:rsid w:val="00B637D3"/>
    <w:rsid w:val="00B65A10"/>
    <w:rsid w:val="00B66F4D"/>
    <w:rsid w:val="00B70502"/>
    <w:rsid w:val="00B74786"/>
    <w:rsid w:val="00B74F5A"/>
    <w:rsid w:val="00B757FD"/>
    <w:rsid w:val="00B770CF"/>
    <w:rsid w:val="00B77565"/>
    <w:rsid w:val="00B80F65"/>
    <w:rsid w:val="00B81556"/>
    <w:rsid w:val="00B82878"/>
    <w:rsid w:val="00B832AE"/>
    <w:rsid w:val="00B83B50"/>
    <w:rsid w:val="00B853B1"/>
    <w:rsid w:val="00B85C83"/>
    <w:rsid w:val="00B85D1B"/>
    <w:rsid w:val="00B8797E"/>
    <w:rsid w:val="00B87DC6"/>
    <w:rsid w:val="00B90965"/>
    <w:rsid w:val="00B92E82"/>
    <w:rsid w:val="00B93F30"/>
    <w:rsid w:val="00B94B25"/>
    <w:rsid w:val="00B958A6"/>
    <w:rsid w:val="00B96041"/>
    <w:rsid w:val="00B96FBF"/>
    <w:rsid w:val="00B97335"/>
    <w:rsid w:val="00BA1537"/>
    <w:rsid w:val="00BA2636"/>
    <w:rsid w:val="00BA6755"/>
    <w:rsid w:val="00BB349D"/>
    <w:rsid w:val="00BB4584"/>
    <w:rsid w:val="00BB5110"/>
    <w:rsid w:val="00BB514E"/>
    <w:rsid w:val="00BC0793"/>
    <w:rsid w:val="00BC092A"/>
    <w:rsid w:val="00BC2E11"/>
    <w:rsid w:val="00BC2FDD"/>
    <w:rsid w:val="00BC33F8"/>
    <w:rsid w:val="00BC548D"/>
    <w:rsid w:val="00BC61FC"/>
    <w:rsid w:val="00BD1015"/>
    <w:rsid w:val="00BD30B2"/>
    <w:rsid w:val="00BD3F58"/>
    <w:rsid w:val="00BD46B9"/>
    <w:rsid w:val="00BD583E"/>
    <w:rsid w:val="00BE0448"/>
    <w:rsid w:val="00BE0ADB"/>
    <w:rsid w:val="00BE0EB9"/>
    <w:rsid w:val="00BE10C7"/>
    <w:rsid w:val="00BE1BA1"/>
    <w:rsid w:val="00BE6469"/>
    <w:rsid w:val="00BE668C"/>
    <w:rsid w:val="00BE7A85"/>
    <w:rsid w:val="00BE7D4C"/>
    <w:rsid w:val="00BF1568"/>
    <w:rsid w:val="00BF3191"/>
    <w:rsid w:val="00BF321E"/>
    <w:rsid w:val="00BF4E44"/>
    <w:rsid w:val="00BF602D"/>
    <w:rsid w:val="00BF62F0"/>
    <w:rsid w:val="00BF7B4F"/>
    <w:rsid w:val="00C00218"/>
    <w:rsid w:val="00C01305"/>
    <w:rsid w:val="00C01849"/>
    <w:rsid w:val="00C04A0A"/>
    <w:rsid w:val="00C0532A"/>
    <w:rsid w:val="00C05F9F"/>
    <w:rsid w:val="00C06CF0"/>
    <w:rsid w:val="00C07D01"/>
    <w:rsid w:val="00C11FEA"/>
    <w:rsid w:val="00C12256"/>
    <w:rsid w:val="00C124C6"/>
    <w:rsid w:val="00C1340D"/>
    <w:rsid w:val="00C136D3"/>
    <w:rsid w:val="00C14AF9"/>
    <w:rsid w:val="00C152AD"/>
    <w:rsid w:val="00C20718"/>
    <w:rsid w:val="00C21920"/>
    <w:rsid w:val="00C221B1"/>
    <w:rsid w:val="00C232C0"/>
    <w:rsid w:val="00C236E0"/>
    <w:rsid w:val="00C23CA1"/>
    <w:rsid w:val="00C23F3D"/>
    <w:rsid w:val="00C258E4"/>
    <w:rsid w:val="00C25FEE"/>
    <w:rsid w:val="00C31793"/>
    <w:rsid w:val="00C32AC9"/>
    <w:rsid w:val="00C373FE"/>
    <w:rsid w:val="00C4329A"/>
    <w:rsid w:val="00C45687"/>
    <w:rsid w:val="00C45730"/>
    <w:rsid w:val="00C45A45"/>
    <w:rsid w:val="00C475A3"/>
    <w:rsid w:val="00C47CCD"/>
    <w:rsid w:val="00C50174"/>
    <w:rsid w:val="00C504B1"/>
    <w:rsid w:val="00C5213B"/>
    <w:rsid w:val="00C52AF1"/>
    <w:rsid w:val="00C53638"/>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4ADE"/>
    <w:rsid w:val="00C96464"/>
    <w:rsid w:val="00CA464D"/>
    <w:rsid w:val="00CA538C"/>
    <w:rsid w:val="00CA54B4"/>
    <w:rsid w:val="00CA70EC"/>
    <w:rsid w:val="00CB1BB0"/>
    <w:rsid w:val="00CB275A"/>
    <w:rsid w:val="00CB2FA0"/>
    <w:rsid w:val="00CB3C6D"/>
    <w:rsid w:val="00CB5799"/>
    <w:rsid w:val="00CB5825"/>
    <w:rsid w:val="00CB5C91"/>
    <w:rsid w:val="00CB6330"/>
    <w:rsid w:val="00CC0829"/>
    <w:rsid w:val="00CC1B4D"/>
    <w:rsid w:val="00CC2405"/>
    <w:rsid w:val="00CC28F1"/>
    <w:rsid w:val="00CC6114"/>
    <w:rsid w:val="00CC7174"/>
    <w:rsid w:val="00CC7B2B"/>
    <w:rsid w:val="00CD024A"/>
    <w:rsid w:val="00CD0F34"/>
    <w:rsid w:val="00CD145E"/>
    <w:rsid w:val="00CD2D10"/>
    <w:rsid w:val="00CD43A6"/>
    <w:rsid w:val="00CD4785"/>
    <w:rsid w:val="00CE091A"/>
    <w:rsid w:val="00CE0E7A"/>
    <w:rsid w:val="00CE10A1"/>
    <w:rsid w:val="00CE19F7"/>
    <w:rsid w:val="00CE1AE4"/>
    <w:rsid w:val="00CE2A1C"/>
    <w:rsid w:val="00CE3BDC"/>
    <w:rsid w:val="00CE4940"/>
    <w:rsid w:val="00CE4D9D"/>
    <w:rsid w:val="00CE71BA"/>
    <w:rsid w:val="00CE7A1C"/>
    <w:rsid w:val="00CF01EB"/>
    <w:rsid w:val="00CF1A7E"/>
    <w:rsid w:val="00CF1BC0"/>
    <w:rsid w:val="00CF28B7"/>
    <w:rsid w:val="00CF2A94"/>
    <w:rsid w:val="00CF39CC"/>
    <w:rsid w:val="00CF3B0F"/>
    <w:rsid w:val="00CF422F"/>
    <w:rsid w:val="00CF5340"/>
    <w:rsid w:val="00CF64E5"/>
    <w:rsid w:val="00CF7633"/>
    <w:rsid w:val="00CF7FB7"/>
    <w:rsid w:val="00D02E83"/>
    <w:rsid w:val="00D02EDB"/>
    <w:rsid w:val="00D055F1"/>
    <w:rsid w:val="00D05AAB"/>
    <w:rsid w:val="00D05F55"/>
    <w:rsid w:val="00D062B4"/>
    <w:rsid w:val="00D1289B"/>
    <w:rsid w:val="00D12CA8"/>
    <w:rsid w:val="00D13D95"/>
    <w:rsid w:val="00D1653A"/>
    <w:rsid w:val="00D17B04"/>
    <w:rsid w:val="00D17DF2"/>
    <w:rsid w:val="00D202A2"/>
    <w:rsid w:val="00D20AE9"/>
    <w:rsid w:val="00D21550"/>
    <w:rsid w:val="00D222AD"/>
    <w:rsid w:val="00D2286A"/>
    <w:rsid w:val="00D22B5B"/>
    <w:rsid w:val="00D22C3A"/>
    <w:rsid w:val="00D22E1E"/>
    <w:rsid w:val="00D23C2B"/>
    <w:rsid w:val="00D24178"/>
    <w:rsid w:val="00D24A1C"/>
    <w:rsid w:val="00D2504A"/>
    <w:rsid w:val="00D250E6"/>
    <w:rsid w:val="00D31166"/>
    <w:rsid w:val="00D31B46"/>
    <w:rsid w:val="00D32ECC"/>
    <w:rsid w:val="00D4012B"/>
    <w:rsid w:val="00D4065E"/>
    <w:rsid w:val="00D41081"/>
    <w:rsid w:val="00D427F0"/>
    <w:rsid w:val="00D43C23"/>
    <w:rsid w:val="00D4756A"/>
    <w:rsid w:val="00D52123"/>
    <w:rsid w:val="00D522A8"/>
    <w:rsid w:val="00D525A8"/>
    <w:rsid w:val="00D52ACF"/>
    <w:rsid w:val="00D53787"/>
    <w:rsid w:val="00D539AF"/>
    <w:rsid w:val="00D53CBA"/>
    <w:rsid w:val="00D5468C"/>
    <w:rsid w:val="00D54D47"/>
    <w:rsid w:val="00D558C8"/>
    <w:rsid w:val="00D56DA9"/>
    <w:rsid w:val="00D577D6"/>
    <w:rsid w:val="00D624EC"/>
    <w:rsid w:val="00D625D4"/>
    <w:rsid w:val="00D64261"/>
    <w:rsid w:val="00D6520A"/>
    <w:rsid w:val="00D65D3E"/>
    <w:rsid w:val="00D66692"/>
    <w:rsid w:val="00D702B4"/>
    <w:rsid w:val="00D70AE3"/>
    <w:rsid w:val="00D713E4"/>
    <w:rsid w:val="00D71ABB"/>
    <w:rsid w:val="00D73B65"/>
    <w:rsid w:val="00D73B8E"/>
    <w:rsid w:val="00D73D41"/>
    <w:rsid w:val="00D751EB"/>
    <w:rsid w:val="00D7521E"/>
    <w:rsid w:val="00D75A89"/>
    <w:rsid w:val="00D7664D"/>
    <w:rsid w:val="00D77608"/>
    <w:rsid w:val="00D807CB"/>
    <w:rsid w:val="00D82A79"/>
    <w:rsid w:val="00D83753"/>
    <w:rsid w:val="00D84033"/>
    <w:rsid w:val="00D8426C"/>
    <w:rsid w:val="00D90392"/>
    <w:rsid w:val="00D914A3"/>
    <w:rsid w:val="00D92A92"/>
    <w:rsid w:val="00D946C1"/>
    <w:rsid w:val="00D9548A"/>
    <w:rsid w:val="00DA179D"/>
    <w:rsid w:val="00DA1E4B"/>
    <w:rsid w:val="00DA202F"/>
    <w:rsid w:val="00DA2D13"/>
    <w:rsid w:val="00DA4517"/>
    <w:rsid w:val="00DA514C"/>
    <w:rsid w:val="00DA52A7"/>
    <w:rsid w:val="00DA6CE0"/>
    <w:rsid w:val="00DA6E1F"/>
    <w:rsid w:val="00DA7759"/>
    <w:rsid w:val="00DA7F13"/>
    <w:rsid w:val="00DB0ED0"/>
    <w:rsid w:val="00DB1636"/>
    <w:rsid w:val="00DB21ED"/>
    <w:rsid w:val="00DB4349"/>
    <w:rsid w:val="00DB6C33"/>
    <w:rsid w:val="00DB75FF"/>
    <w:rsid w:val="00DC10C5"/>
    <w:rsid w:val="00DC2AAE"/>
    <w:rsid w:val="00DC2CB7"/>
    <w:rsid w:val="00DC3888"/>
    <w:rsid w:val="00DC440B"/>
    <w:rsid w:val="00DC4A24"/>
    <w:rsid w:val="00DC59B3"/>
    <w:rsid w:val="00DC7291"/>
    <w:rsid w:val="00DC7F92"/>
    <w:rsid w:val="00DD10A4"/>
    <w:rsid w:val="00DD268D"/>
    <w:rsid w:val="00DD33B8"/>
    <w:rsid w:val="00DD3E4C"/>
    <w:rsid w:val="00DD502C"/>
    <w:rsid w:val="00DD5FC4"/>
    <w:rsid w:val="00DD7120"/>
    <w:rsid w:val="00DD7C63"/>
    <w:rsid w:val="00DE0C52"/>
    <w:rsid w:val="00DE4518"/>
    <w:rsid w:val="00DE5A20"/>
    <w:rsid w:val="00DE691C"/>
    <w:rsid w:val="00DE7502"/>
    <w:rsid w:val="00DF0811"/>
    <w:rsid w:val="00DF0FE2"/>
    <w:rsid w:val="00DF51EC"/>
    <w:rsid w:val="00DF6E6A"/>
    <w:rsid w:val="00DF7BE7"/>
    <w:rsid w:val="00E00EE7"/>
    <w:rsid w:val="00E01097"/>
    <w:rsid w:val="00E014CB"/>
    <w:rsid w:val="00E06965"/>
    <w:rsid w:val="00E1004D"/>
    <w:rsid w:val="00E104D3"/>
    <w:rsid w:val="00E125E4"/>
    <w:rsid w:val="00E12963"/>
    <w:rsid w:val="00E13FF8"/>
    <w:rsid w:val="00E1428A"/>
    <w:rsid w:val="00E145C4"/>
    <w:rsid w:val="00E14BB3"/>
    <w:rsid w:val="00E15CB0"/>
    <w:rsid w:val="00E169AA"/>
    <w:rsid w:val="00E16D8E"/>
    <w:rsid w:val="00E20C0F"/>
    <w:rsid w:val="00E2458B"/>
    <w:rsid w:val="00E2468A"/>
    <w:rsid w:val="00E2476E"/>
    <w:rsid w:val="00E26CC4"/>
    <w:rsid w:val="00E32DAA"/>
    <w:rsid w:val="00E344F4"/>
    <w:rsid w:val="00E36E4C"/>
    <w:rsid w:val="00E3769D"/>
    <w:rsid w:val="00E37FC8"/>
    <w:rsid w:val="00E4022E"/>
    <w:rsid w:val="00E4060D"/>
    <w:rsid w:val="00E4440A"/>
    <w:rsid w:val="00E4488A"/>
    <w:rsid w:val="00E54EAF"/>
    <w:rsid w:val="00E558E4"/>
    <w:rsid w:val="00E563E8"/>
    <w:rsid w:val="00E56549"/>
    <w:rsid w:val="00E56680"/>
    <w:rsid w:val="00E56BD4"/>
    <w:rsid w:val="00E576D2"/>
    <w:rsid w:val="00E576D8"/>
    <w:rsid w:val="00E6022B"/>
    <w:rsid w:val="00E60504"/>
    <w:rsid w:val="00E62DEE"/>
    <w:rsid w:val="00E62F39"/>
    <w:rsid w:val="00E63751"/>
    <w:rsid w:val="00E647C0"/>
    <w:rsid w:val="00E648C4"/>
    <w:rsid w:val="00E64FC9"/>
    <w:rsid w:val="00E67C9A"/>
    <w:rsid w:val="00E71C76"/>
    <w:rsid w:val="00E723A2"/>
    <w:rsid w:val="00E73C28"/>
    <w:rsid w:val="00E7477A"/>
    <w:rsid w:val="00E74DF7"/>
    <w:rsid w:val="00E75A3D"/>
    <w:rsid w:val="00E762C6"/>
    <w:rsid w:val="00E7766F"/>
    <w:rsid w:val="00E77ABB"/>
    <w:rsid w:val="00E824DD"/>
    <w:rsid w:val="00E82EA8"/>
    <w:rsid w:val="00E83912"/>
    <w:rsid w:val="00E83F25"/>
    <w:rsid w:val="00E86AAD"/>
    <w:rsid w:val="00E903DB"/>
    <w:rsid w:val="00E90AE9"/>
    <w:rsid w:val="00E90EAE"/>
    <w:rsid w:val="00E9196B"/>
    <w:rsid w:val="00E943BD"/>
    <w:rsid w:val="00E970FD"/>
    <w:rsid w:val="00EA186E"/>
    <w:rsid w:val="00EA5F8F"/>
    <w:rsid w:val="00EA6423"/>
    <w:rsid w:val="00EB214B"/>
    <w:rsid w:val="00EB30B4"/>
    <w:rsid w:val="00EB3D4B"/>
    <w:rsid w:val="00EB6AC4"/>
    <w:rsid w:val="00EB7428"/>
    <w:rsid w:val="00EC0025"/>
    <w:rsid w:val="00EC1380"/>
    <w:rsid w:val="00EC1463"/>
    <w:rsid w:val="00EC3E6A"/>
    <w:rsid w:val="00EC456D"/>
    <w:rsid w:val="00EC5027"/>
    <w:rsid w:val="00EC5E32"/>
    <w:rsid w:val="00EC7ADC"/>
    <w:rsid w:val="00ED0A70"/>
    <w:rsid w:val="00ED2D8B"/>
    <w:rsid w:val="00ED3695"/>
    <w:rsid w:val="00ED3981"/>
    <w:rsid w:val="00ED40B7"/>
    <w:rsid w:val="00ED42A7"/>
    <w:rsid w:val="00ED51FC"/>
    <w:rsid w:val="00ED7F7F"/>
    <w:rsid w:val="00EE0626"/>
    <w:rsid w:val="00EE120F"/>
    <w:rsid w:val="00EE1E2E"/>
    <w:rsid w:val="00EE4712"/>
    <w:rsid w:val="00EF0C73"/>
    <w:rsid w:val="00EF36CB"/>
    <w:rsid w:val="00EF3960"/>
    <w:rsid w:val="00EF5129"/>
    <w:rsid w:val="00EF56B2"/>
    <w:rsid w:val="00EF5F2E"/>
    <w:rsid w:val="00F010A9"/>
    <w:rsid w:val="00F0347B"/>
    <w:rsid w:val="00F046B3"/>
    <w:rsid w:val="00F05388"/>
    <w:rsid w:val="00F119E2"/>
    <w:rsid w:val="00F11AA2"/>
    <w:rsid w:val="00F12C87"/>
    <w:rsid w:val="00F13393"/>
    <w:rsid w:val="00F144F4"/>
    <w:rsid w:val="00F156AC"/>
    <w:rsid w:val="00F21CAD"/>
    <w:rsid w:val="00F228FA"/>
    <w:rsid w:val="00F22B53"/>
    <w:rsid w:val="00F23BCE"/>
    <w:rsid w:val="00F2474C"/>
    <w:rsid w:val="00F2598F"/>
    <w:rsid w:val="00F275AE"/>
    <w:rsid w:val="00F31901"/>
    <w:rsid w:val="00F31CA9"/>
    <w:rsid w:val="00F3278E"/>
    <w:rsid w:val="00F33535"/>
    <w:rsid w:val="00F33C00"/>
    <w:rsid w:val="00F35D88"/>
    <w:rsid w:val="00F37431"/>
    <w:rsid w:val="00F42C23"/>
    <w:rsid w:val="00F42D71"/>
    <w:rsid w:val="00F430ED"/>
    <w:rsid w:val="00F444FD"/>
    <w:rsid w:val="00F45AAC"/>
    <w:rsid w:val="00F46624"/>
    <w:rsid w:val="00F46D96"/>
    <w:rsid w:val="00F5715D"/>
    <w:rsid w:val="00F57252"/>
    <w:rsid w:val="00F57454"/>
    <w:rsid w:val="00F57A80"/>
    <w:rsid w:val="00F57D61"/>
    <w:rsid w:val="00F61B11"/>
    <w:rsid w:val="00F63D61"/>
    <w:rsid w:val="00F653FE"/>
    <w:rsid w:val="00F65579"/>
    <w:rsid w:val="00F67BA1"/>
    <w:rsid w:val="00F67E7C"/>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B78F7"/>
    <w:rsid w:val="00FC1608"/>
    <w:rsid w:val="00FC2BEC"/>
    <w:rsid w:val="00FC2C5F"/>
    <w:rsid w:val="00FC3FE6"/>
    <w:rsid w:val="00FC4DF2"/>
    <w:rsid w:val="00FC5786"/>
    <w:rsid w:val="00FC5DA4"/>
    <w:rsid w:val="00FC7178"/>
    <w:rsid w:val="00FC7BC3"/>
    <w:rsid w:val="00FD0A9E"/>
    <w:rsid w:val="00FD1368"/>
    <w:rsid w:val="00FD2974"/>
    <w:rsid w:val="00FD4174"/>
    <w:rsid w:val="00FD438B"/>
    <w:rsid w:val="00FD469D"/>
    <w:rsid w:val="00FD6112"/>
    <w:rsid w:val="00FE07B4"/>
    <w:rsid w:val="00FE1979"/>
    <w:rsid w:val="00FE1F09"/>
    <w:rsid w:val="00FE39FA"/>
    <w:rsid w:val="00FE3DD0"/>
    <w:rsid w:val="00FE43F1"/>
    <w:rsid w:val="00FE4480"/>
    <w:rsid w:val="00FE44E3"/>
    <w:rsid w:val="00FE481D"/>
    <w:rsid w:val="00FE654B"/>
    <w:rsid w:val="00FF038A"/>
    <w:rsid w:val="00FF1B9C"/>
    <w:rsid w:val="00FF1EB5"/>
    <w:rsid w:val="00FF536E"/>
    <w:rsid w:val="00FF53CD"/>
    <w:rsid w:val="00FF5E6A"/>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BE8B0D"/>
  <w15:docId w15:val="{87062158-047E-4245-88BC-41D03A4F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A5B"/>
    <w:pPr>
      <w:spacing w:line="260" w:lineRule="atLeast"/>
      <w:jc w:val="both"/>
    </w:pPr>
    <w:rPr>
      <w:rFonts w:ascii="Palatino Linotype" w:hAnsi="Palatino Linotype"/>
      <w:color w:val="000000"/>
      <w:lang w:val="en-GB"/>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customStyle="1" w:styleId="apple-converted-space">
    <w:name w:val="apple-converted-space"/>
    <w:rsid w:val="00554A5B"/>
  </w:style>
  <w:style w:type="paragraph" w:customStyle="1" w:styleId="MDPI11articletype">
    <w:name w:val="MDPI_1.1_article_type"/>
    <w:next w:val="Normal"/>
    <w:qFormat/>
    <w:rsid w:val="00554A5B"/>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554A5B"/>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554A5B"/>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554A5B"/>
    <w:pPr>
      <w:adjustRightInd w:val="0"/>
      <w:snapToGrid w:val="0"/>
      <w:spacing w:line="240" w:lineRule="atLeast"/>
      <w:ind w:right="113"/>
      <w:jc w:val="left"/>
    </w:pPr>
    <w:rPr>
      <w:rFonts w:eastAsia="Times New Roman"/>
      <w:sz w:val="14"/>
      <w:lang w:eastAsia="de-DE" w:bidi="en-US"/>
    </w:rPr>
  </w:style>
  <w:style w:type="paragraph" w:customStyle="1" w:styleId="MDPI15academiceditor">
    <w:name w:val="MDPI_1.5_academic_editor"/>
    <w:qFormat/>
    <w:rsid w:val="00554A5B"/>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6affiliation">
    <w:name w:val="MDPI_1.6_affiliation"/>
    <w:qFormat/>
    <w:rsid w:val="00554A5B"/>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554A5B"/>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554A5B"/>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classification">
    <w:name w:val="MDPI_1.9_classification"/>
    <w:qFormat/>
    <w:rsid w:val="00554A5B"/>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19line">
    <w:name w:val="MDPI_1.9_line"/>
    <w:qFormat/>
    <w:rsid w:val="00834873"/>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deck4text">
    <w:name w:val="M_deck_4_text"/>
    <w:qFormat/>
    <w:rsid w:val="007A5CE1"/>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3keywords">
    <w:name w:val="M_deck_3_keywords"/>
    <w:basedOn w:val="Mdeck4text"/>
    <w:next w:val="Normal"/>
    <w:qFormat/>
    <w:rsid w:val="007A5CE1"/>
    <w:pPr>
      <w:spacing w:before="240"/>
      <w:ind w:left="113"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8references">
    <w:name w:val="M_deck_8_references"/>
    <w:qFormat/>
    <w:rsid w:val="007A5CE1"/>
    <w:pPr>
      <w:numPr>
        <w:numId w:val="6"/>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deck1articletitle">
    <w:name w:val="M_deck_1_article_title"/>
    <w:next w:val="Mdeck2authorname"/>
    <w:qFormat/>
    <w:rsid w:val="007A5CE1"/>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2authorname">
    <w:name w:val="M_deck_2_author_name"/>
    <w:next w:val="Mdeck3publcationhistory"/>
    <w:qFormat/>
    <w:rsid w:val="007A5CE1"/>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publcationhistory">
    <w:name w:val="M_deck_3_publcation_history"/>
    <w:next w:val="Normal"/>
    <w:qFormat/>
    <w:rsid w:val="007A5CE1"/>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1articletype">
    <w:name w:val="M_deck_1_article_type"/>
    <w:basedOn w:val="Mdeck4text"/>
    <w:next w:val="Mdeck1articletitle"/>
    <w:qFormat/>
    <w:rsid w:val="007A5CE1"/>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7A5CE1"/>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7A5CE1"/>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3abstract">
    <w:name w:val="M_deck_3_abstract"/>
    <w:basedOn w:val="Mdeck4text"/>
    <w:next w:val="Mdeck3keywords"/>
    <w:qFormat/>
    <w:rsid w:val="007A5CE1"/>
    <w:pPr>
      <w:widowControl w:val="0"/>
      <w:spacing w:before="240" w:after="240" w:line="340" w:lineRule="atLeast"/>
      <w:ind w:left="113" w:right="567"/>
    </w:pPr>
    <w:rPr>
      <w:snapToGrid/>
    </w:rPr>
  </w:style>
  <w:style w:type="paragraph" w:customStyle="1" w:styleId="Mdeck4heading1">
    <w:name w:val="M_deck_4_heading_1"/>
    <w:basedOn w:val="MHeading3"/>
    <w:next w:val="Normal"/>
    <w:qFormat/>
    <w:rsid w:val="007A5CE1"/>
    <w:pPr>
      <w:spacing w:line="340" w:lineRule="atLeast"/>
      <w:outlineLvl w:val="0"/>
    </w:pPr>
    <w:rPr>
      <w:b/>
      <w:snapToGrid/>
    </w:rPr>
  </w:style>
  <w:style w:type="paragraph" w:customStyle="1" w:styleId="MHeading3">
    <w:name w:val="M_Heading3"/>
    <w:basedOn w:val="Mdeck4text"/>
    <w:qFormat/>
    <w:rsid w:val="00F87A76"/>
    <w:pPr>
      <w:spacing w:before="240" w:after="120"/>
    </w:pPr>
  </w:style>
  <w:style w:type="paragraph" w:customStyle="1" w:styleId="Mdeck4heading2">
    <w:name w:val="M_deck_4_heading_2"/>
    <w:basedOn w:val="MHeading3"/>
    <w:next w:val="Normal"/>
    <w:qFormat/>
    <w:rsid w:val="007A5CE1"/>
    <w:pPr>
      <w:outlineLvl w:val="1"/>
    </w:pPr>
    <w:rPr>
      <w:i/>
      <w:snapToGrid/>
    </w:rPr>
  </w:style>
  <w:style w:type="paragraph" w:customStyle="1" w:styleId="Mdeck4heading3">
    <w:name w:val="M_deck_4_heading_3"/>
    <w:basedOn w:val="Mdeck4text"/>
    <w:next w:val="Normal"/>
    <w:qFormat/>
    <w:rsid w:val="007A5CE1"/>
    <w:pPr>
      <w:spacing w:before="240" w:after="120" w:line="340" w:lineRule="atLeast"/>
      <w:ind w:firstLineChars="50" w:firstLine="50"/>
      <w:outlineLvl w:val="2"/>
    </w:pPr>
    <w:rPr>
      <w:snapToGrid/>
    </w:rPr>
  </w:style>
  <w:style w:type="paragraph" w:customStyle="1" w:styleId="Mdeck4textbulletlist">
    <w:name w:val="M_deck_4_text_bullet_list"/>
    <w:basedOn w:val="Mdeck4text"/>
    <w:qFormat/>
    <w:rsid w:val="007A5CE1"/>
    <w:pPr>
      <w:numPr>
        <w:numId w:val="4"/>
      </w:numPr>
      <w:spacing w:before="120" w:after="120" w:line="340" w:lineRule="atLeast"/>
    </w:pPr>
    <w:rPr>
      <w:snapToGrid/>
    </w:rPr>
  </w:style>
  <w:style w:type="paragraph" w:customStyle="1" w:styleId="Mdeck4textfirstlinezero">
    <w:name w:val="M_deck_4_text_firstline_zero"/>
    <w:basedOn w:val="Mdeck4text"/>
    <w:next w:val="Mdeck4text"/>
    <w:qFormat/>
    <w:rsid w:val="007A5CE1"/>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rPr>
  </w:style>
  <w:style w:type="paragraph" w:customStyle="1" w:styleId="Mdeck4textlist">
    <w:name w:val="M_deck_4_text_list"/>
    <w:basedOn w:val="MFigure"/>
    <w:qFormat/>
    <w:rsid w:val="007A5CE1"/>
    <w:rPr>
      <w:i/>
    </w:rPr>
  </w:style>
  <w:style w:type="paragraph" w:customStyle="1" w:styleId="Mdeck4textlrindent">
    <w:name w:val="M_deck_4_text_lr_indent"/>
    <w:basedOn w:val="Mdeck4text"/>
    <w:qFormat/>
    <w:rsid w:val="007A5CE1"/>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7A5CE1"/>
    <w:pPr>
      <w:numPr>
        <w:numId w:val="5"/>
      </w:numPr>
      <w:spacing w:before="120" w:after="120" w:line="340" w:lineRule="atLeast"/>
    </w:pPr>
    <w:rPr>
      <w:snapToGrid/>
    </w:rPr>
  </w:style>
  <w:style w:type="paragraph" w:customStyle="1" w:styleId="Mdeck5tablebody">
    <w:name w:val="M_deck_5_table_body"/>
    <w:qFormat/>
    <w:rsid w:val="007A5CE1"/>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7A5CE1"/>
    <w:pPr>
      <w:adjustRightInd w:val="0"/>
      <w:snapToGrid w:val="0"/>
      <w:spacing w:line="300" w:lineRule="exact"/>
      <w:jc w:val="center"/>
    </w:pPr>
    <w:rPr>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7A5CE1"/>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7A5CE1"/>
    <w:pPr>
      <w:spacing w:line="300" w:lineRule="exact"/>
    </w:pPr>
  </w:style>
  <w:style w:type="paragraph" w:customStyle="1" w:styleId="Mdeck5tableheader">
    <w:name w:val="M_deck_5_table_header"/>
    <w:basedOn w:val="Mdeck5tablefooter"/>
    <w:rsid w:val="007A5CE1"/>
  </w:style>
  <w:style w:type="paragraph" w:customStyle="1" w:styleId="Mdeck6figurebody">
    <w:name w:val="M_deck_6_figure_body"/>
    <w:qFormat/>
    <w:rsid w:val="007A5CE1"/>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7A5CE1"/>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7A5CE1"/>
    <w:pPr>
      <w:spacing w:before="120" w:after="120"/>
      <w:ind w:left="709" w:firstLine="0"/>
      <w:jc w:val="center"/>
    </w:pPr>
    <w:rPr>
      <w:i/>
      <w:snapToGrid/>
      <w:szCs w:val="24"/>
      <w:lang w:eastAsia="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rPr>
  </w:style>
  <w:style w:type="paragraph" w:customStyle="1" w:styleId="MDPIheader">
    <w:name w:val="MDPI_header"/>
    <w:qFormat/>
    <w:rsid w:val="00554A5B"/>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headerjournallogo">
    <w:name w:val="M_header_journal_logo"/>
    <w:qFormat/>
    <w:rsid w:val="00F87A76"/>
    <w:rPr>
      <w:rFonts w:ascii="Minion Pro" w:hAnsi="Minion Pro"/>
      <w:color w:val="00000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styleId="Hyperlink">
    <w:name w:val="Hyperlink"/>
    <w:uiPriority w:val="99"/>
    <w:rsid w:val="00554A5B"/>
    <w:rPr>
      <w:color w:val="0000FF"/>
      <w:u w:val="single"/>
    </w:rPr>
  </w:style>
  <w:style w:type="character" w:styleId="FollowedHyperlink">
    <w:name w:val="FollowedHyperlink"/>
    <w:rsid w:val="00554A5B"/>
    <w:rPr>
      <w:color w:val="954F72"/>
      <w:u w:val="single"/>
    </w:rPr>
  </w:style>
  <w:style w:type="character" w:styleId="LineNumber">
    <w:name w:val="line number"/>
    <w:uiPriority w:val="99"/>
    <w:rsid w:val="00770985"/>
    <w:rPr>
      <w:rFonts w:ascii="Palatino Linotype" w:hAnsi="Palatino Linotype"/>
      <w:sz w:val="16"/>
    </w:rPr>
  </w:style>
  <w:style w:type="paragraph" w:styleId="FootnoteText">
    <w:name w:val="footnote text"/>
    <w:basedOn w:val="Normal"/>
    <w:link w:val="FootnoteTextChar"/>
    <w:unhideWhenUsed/>
    <w:rsid w:val="00554A5B"/>
    <w:pPr>
      <w:spacing w:line="240" w:lineRule="auto"/>
    </w:pPr>
  </w:style>
  <w:style w:type="character" w:customStyle="1" w:styleId="FootnoteTextChar">
    <w:name w:val="Footnote Text Char"/>
    <w:link w:val="FootnoteText"/>
    <w:rsid w:val="00554A5B"/>
    <w:rPr>
      <w:rFonts w:ascii="Palatino Linotype" w:hAnsi="Palatino Linotype"/>
      <w:noProof/>
      <w:color w:val="000000"/>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554A5B"/>
    <w:rPr>
      <w:rFonts w:cs="Tahoma"/>
      <w:szCs w:val="18"/>
    </w:rPr>
  </w:style>
  <w:style w:type="character" w:customStyle="1" w:styleId="BalloonTextChar">
    <w:name w:val="Balloon Text Char"/>
    <w:link w:val="BalloonText"/>
    <w:uiPriority w:val="99"/>
    <w:rsid w:val="00554A5B"/>
    <w:rPr>
      <w:rFonts w:ascii="Palatino Linotype" w:hAnsi="Palatino Linotype" w:cs="Tahoma"/>
      <w:noProof/>
      <w:color w:val="000000"/>
      <w:szCs w:val="18"/>
    </w:rPr>
  </w:style>
  <w:style w:type="paragraph" w:styleId="CommentText">
    <w:name w:val="annotation text"/>
    <w:basedOn w:val="Normal"/>
    <w:link w:val="CommentTextChar"/>
    <w:rsid w:val="00554A5B"/>
  </w:style>
  <w:style w:type="character" w:customStyle="1" w:styleId="CommentTextChar">
    <w:name w:val="Comment Text Char"/>
    <w:link w:val="CommentText"/>
    <w:rsid w:val="00554A5B"/>
    <w:rPr>
      <w:rFonts w:ascii="Palatino Linotype" w:hAnsi="Palatino Linotype"/>
      <w:noProof/>
      <w:color w:val="000000"/>
    </w:rPr>
  </w:style>
  <w:style w:type="character" w:styleId="CommentReference">
    <w:name w:val="annotation reference"/>
    <w:rsid w:val="00554A5B"/>
    <w:rPr>
      <w:sz w:val="21"/>
      <w:szCs w:val="21"/>
    </w:rPr>
  </w:style>
  <w:style w:type="paragraph" w:styleId="CommentSubject">
    <w:name w:val="annotation subject"/>
    <w:basedOn w:val="CommentText"/>
    <w:next w:val="CommentText"/>
    <w:link w:val="CommentSubjectChar"/>
    <w:rsid w:val="00554A5B"/>
    <w:rPr>
      <w:b/>
      <w:bCs/>
    </w:rPr>
  </w:style>
  <w:style w:type="character" w:customStyle="1" w:styleId="CommentSubjectChar">
    <w:name w:val="Comment Subject Char"/>
    <w:link w:val="CommentSubject"/>
    <w:rsid w:val="00554A5B"/>
    <w:rPr>
      <w:rFonts w:ascii="Palatino Linotype" w:hAnsi="Palatino Linotype"/>
      <w:b/>
      <w:bCs/>
      <w:noProof/>
      <w:color w:val="000000"/>
    </w:rPr>
  </w:style>
  <w:style w:type="paragraph" w:styleId="NormalWeb">
    <w:name w:val="Normal (Web)"/>
    <w:basedOn w:val="Normal"/>
    <w:uiPriority w:val="99"/>
    <w:rsid w:val="00554A5B"/>
    <w:rPr>
      <w:szCs w:val="24"/>
    </w:rPr>
  </w:style>
  <w:style w:type="paragraph" w:styleId="Bibliography">
    <w:name w:val="Bibliography"/>
    <w:basedOn w:val="Normal"/>
    <w:next w:val="Normal"/>
    <w:uiPriority w:val="37"/>
    <w:semiHidden/>
    <w:unhideWhenUsed/>
    <w:rsid w:val="00554A5B"/>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554A5B"/>
    <w:pPr>
      <w:spacing w:line="260" w:lineRule="atLeast"/>
      <w:jc w:val="both"/>
    </w:pPr>
    <w:rPr>
      <w:rFonts w:ascii="Palatino Linotype" w:hAnsi="Palatino Linotype"/>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nhideWhenUsed/>
    <w:rsid w:val="00554A5B"/>
    <w:pPr>
      <w:spacing w:line="240" w:lineRule="auto"/>
    </w:pPr>
  </w:style>
  <w:style w:type="character" w:customStyle="1" w:styleId="EndnoteTextChar">
    <w:name w:val="Endnote Text Char"/>
    <w:link w:val="EndnoteText"/>
    <w:rsid w:val="00554A5B"/>
    <w:rPr>
      <w:rFonts w:ascii="Palatino Linotype" w:hAnsi="Palatino Linotype"/>
      <w:noProof/>
      <w:color w:val="000000"/>
    </w:rPr>
  </w:style>
  <w:style w:type="character" w:styleId="EndnoteReference">
    <w:name w:val="endnote reference"/>
    <w:rsid w:val="00554A5B"/>
    <w:rPr>
      <w:vertAlign w:val="superscript"/>
    </w:rPr>
  </w:style>
  <w:style w:type="paragraph" w:styleId="Footer">
    <w:name w:val="footer"/>
    <w:basedOn w:val="Normal"/>
    <w:link w:val="FooterChar"/>
    <w:uiPriority w:val="99"/>
    <w:rsid w:val="00554A5B"/>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54A5B"/>
    <w:rPr>
      <w:rFonts w:ascii="Palatino Linotype" w:hAnsi="Palatino Linotype"/>
      <w:noProof/>
      <w:color w:val="000000"/>
      <w:szCs w:val="18"/>
    </w:rPr>
  </w:style>
  <w:style w:type="character" w:styleId="PageNumber">
    <w:name w:val="page number"/>
    <w:rsid w:val="00554A5B"/>
  </w:style>
  <w:style w:type="paragraph" w:styleId="Header">
    <w:name w:val="header"/>
    <w:basedOn w:val="Normal"/>
    <w:link w:val="HeaderChar"/>
    <w:uiPriority w:val="99"/>
    <w:rsid w:val="00554A5B"/>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54A5B"/>
    <w:rPr>
      <w:rFonts w:ascii="Palatino Linotype" w:hAnsi="Palatino Linotype"/>
      <w:noProof/>
      <w:color w:val="000000"/>
      <w:szCs w:val="18"/>
    </w:rPr>
  </w:style>
  <w:style w:type="paragraph" w:styleId="BodyText">
    <w:name w:val="Body Text"/>
    <w:link w:val="BodyTextChar"/>
    <w:rsid w:val="00554A5B"/>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54A5B"/>
    <w:rPr>
      <w:rFonts w:ascii="Palatino Linotype" w:hAnsi="Palatino Linotype"/>
      <w:color w:val="000000"/>
      <w:sz w:val="24"/>
      <w:lang w:eastAsia="de-DE"/>
    </w:rPr>
  </w:style>
  <w:style w:type="paragraph" w:customStyle="1" w:styleId="Mdeck4text2nd">
    <w:name w:val="M_deck_4_text_2nd"/>
    <w:qFormat/>
    <w:rsid w:val="007A5CE1"/>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554A5B"/>
    <w:rPr>
      <w:color w:val="808080"/>
    </w:rPr>
  </w:style>
  <w:style w:type="paragraph" w:customStyle="1" w:styleId="MDPIheadercitation">
    <w:name w:val="MDPI_header_citation"/>
    <w:rsid w:val="00554A5B"/>
    <w:pPr>
      <w:spacing w:after="240"/>
    </w:pPr>
    <w:rPr>
      <w:rFonts w:ascii="Palatino Linotype" w:eastAsia="Times New Roman" w:hAnsi="Palatino Linotype"/>
      <w:snapToGrid w:val="0"/>
      <w:color w:val="000000"/>
      <w:sz w:val="18"/>
      <w:lang w:eastAsia="de-DE" w:bidi="en-US"/>
    </w:rPr>
  </w:style>
  <w:style w:type="paragraph" w:customStyle="1" w:styleId="MDPIheaderjournallogo">
    <w:name w:val="MDPI_header_journal_logo"/>
    <w:qFormat/>
    <w:rsid w:val="00554A5B"/>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rPr>
  </w:style>
  <w:style w:type="paragraph" w:customStyle="1" w:styleId="MDPI32textnoindent">
    <w:name w:val="MDPI_3.2_text_no_indent"/>
    <w:basedOn w:val="MDPI31text"/>
    <w:qFormat/>
    <w:rsid w:val="00554A5B"/>
    <w:pPr>
      <w:ind w:firstLine="0"/>
    </w:pPr>
  </w:style>
  <w:style w:type="paragraph" w:customStyle="1" w:styleId="MDPI31text">
    <w:name w:val="MDPI_3.1_text"/>
    <w:qFormat/>
    <w:rsid w:val="001C391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554A5B"/>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554A5B"/>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54A5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554A5B"/>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54A5B"/>
    <w:pPr>
      <w:numPr>
        <w:numId w:val="1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54A5B"/>
    <w:pPr>
      <w:numPr>
        <w:numId w:val="18"/>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554A5B"/>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554A5B"/>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554A5B"/>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554A5B"/>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554A5B"/>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554A5B"/>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72Copyright">
    <w:name w:val="MDPI_7.2_Copyright"/>
    <w:qFormat/>
    <w:rsid w:val="00554A5B"/>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554A5B"/>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81theorem">
    <w:name w:val="MDPI_8.1_theorem"/>
    <w:qFormat/>
    <w:rsid w:val="00554A5B"/>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554A5B"/>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54A5B"/>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54A5B"/>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554A5B"/>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554A5B"/>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554A5B"/>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FF536E"/>
    <w:pPr>
      <w:numPr>
        <w:numId w:val="19"/>
      </w:numPr>
      <w:adjustRightInd w:val="0"/>
      <w:snapToGrid w:val="0"/>
      <w:spacing w:line="228" w:lineRule="auto"/>
      <w:jc w:val="both"/>
    </w:pPr>
    <w:rPr>
      <w:rFonts w:ascii="Palatino Linotype" w:eastAsia="Times New Roman" w:hAnsi="Palatino Linotype"/>
      <w:color w:val="000000"/>
      <w:sz w:val="18"/>
      <w:lang w:eastAsia="de-DE" w:bidi="en-US"/>
    </w:rPr>
  </w:style>
  <w:style w:type="paragraph" w:customStyle="1" w:styleId="MDPIheadermdpilogo">
    <w:name w:val="MDPI_header_mdpi_logo"/>
    <w:qFormat/>
    <w:rsid w:val="00554A5B"/>
    <w:pPr>
      <w:adjustRightInd w:val="0"/>
      <w:snapToGrid w:val="0"/>
      <w:spacing w:line="260" w:lineRule="atLeast"/>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qFormat/>
    <w:rsid w:val="00554A5B"/>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54A5B"/>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text">
    <w:name w:val="MDPI_text"/>
    <w:qFormat/>
    <w:rsid w:val="00554A5B"/>
    <w:pPr>
      <w:spacing w:line="260" w:lineRule="atLeast"/>
      <w:ind w:left="425" w:right="425" w:firstLine="284"/>
      <w:jc w:val="both"/>
    </w:pPr>
    <w:rPr>
      <w:rFonts w:eastAsia="Times New Roman"/>
      <w:noProof/>
      <w:snapToGrid w:val="0"/>
      <w:color w:val="000000"/>
      <w:sz w:val="22"/>
      <w:szCs w:val="22"/>
      <w:lang w:eastAsia="de-DE" w:bidi="en-US"/>
    </w:rPr>
  </w:style>
  <w:style w:type="paragraph" w:customStyle="1" w:styleId="MDPItitle">
    <w:name w:val="MDPI_title"/>
    <w:qFormat/>
    <w:rsid w:val="00554A5B"/>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UnresolvedMention">
    <w:name w:val="Unresolved Mention"/>
    <w:uiPriority w:val="99"/>
    <w:semiHidden/>
    <w:unhideWhenUsed/>
    <w:rsid w:val="007C1576"/>
    <w:rPr>
      <w:color w:val="605E5C"/>
      <w:shd w:val="clear" w:color="auto" w:fill="E1DFDD"/>
    </w:rPr>
  </w:style>
  <w:style w:type="table" w:styleId="PlainTable4">
    <w:name w:val="Plain Table 4"/>
    <w:basedOn w:val="TableNormal"/>
    <w:uiPriority w:val="44"/>
    <w:rsid w:val="0089101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554A5B"/>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54A5B"/>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554A5B"/>
    <w:pPr>
      <w:adjustRightInd w:val="0"/>
      <w:snapToGrid w:val="0"/>
      <w:spacing w:after="120" w:line="240" w:lineRule="atLeast"/>
      <w:ind w:right="113"/>
    </w:pPr>
    <w:rPr>
      <w:rFonts w:ascii="Palatino Linotype" w:hAnsi="Palatino Linotype"/>
      <w:snapToGrid w:val="0"/>
      <w:color w:val="000000"/>
      <w:sz w:val="14"/>
      <w:lang w:eastAsia="en-US" w:bidi="en-US"/>
    </w:rPr>
  </w:style>
  <w:style w:type="table" w:customStyle="1" w:styleId="MDPI41threelinetable">
    <w:name w:val="MDPI_4.1_three_line_table"/>
    <w:basedOn w:val="TableNormal"/>
    <w:uiPriority w:val="99"/>
    <w:rsid w:val="00554A5B"/>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equationFram">
    <w:name w:val="MDPI_equationFram"/>
    <w:qFormat/>
    <w:rsid w:val="00554A5B"/>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table" w:customStyle="1" w:styleId="MDPITable">
    <w:name w:val="MDPI_Table"/>
    <w:basedOn w:val="TableNormal"/>
    <w:uiPriority w:val="99"/>
    <w:rsid w:val="00554A5B"/>
    <w:rPr>
      <w:rFonts w:ascii="Palatino Linotype" w:hAnsi="Palatino Linotype"/>
      <w:color w:val="000000"/>
      <w:lang w:val="en-CA" w:eastAsia="en-US"/>
    </w:rPr>
    <w:tblPr>
      <w:tblInd w:w="0" w:type="dxa"/>
      <w:tblCellMar>
        <w:top w:w="0" w:type="dxa"/>
        <w:left w:w="0" w:type="dxa"/>
        <w:bottom w:w="0" w:type="dxa"/>
        <w:right w:w="0" w:type="dxa"/>
      </w:tblCellMar>
    </w:tblPr>
  </w:style>
  <w:style w:type="paragraph" w:customStyle="1" w:styleId="MsoFootnoteText0">
    <w:name w:val="MsoFootnoteText"/>
    <w:basedOn w:val="NormalWeb"/>
    <w:qFormat/>
    <w:rsid w:val="00554A5B"/>
    <w:rPr>
      <w:rFonts w:ascii="Times New Roman" w:hAnsi="Times New Roman"/>
    </w:rPr>
  </w:style>
  <w:style w:type="numbering" w:customStyle="1" w:styleId="Style1">
    <w:name w:val="Style1"/>
    <w:uiPriority w:val="99"/>
    <w:rsid w:val="00554A5B"/>
    <w:pPr>
      <w:numPr>
        <w:numId w:val="15"/>
      </w:numPr>
    </w:pPr>
  </w:style>
  <w:style w:type="paragraph" w:customStyle="1" w:styleId="MDPI71FootNotes">
    <w:name w:val="MDPI_7.1_FootNotes"/>
    <w:qFormat/>
    <w:rsid w:val="00E344F4"/>
    <w:pPr>
      <w:numPr>
        <w:numId w:val="20"/>
      </w:numPr>
      <w:adjustRightInd w:val="0"/>
      <w:snapToGrid w:val="0"/>
      <w:spacing w:line="228" w:lineRule="auto"/>
      <w:jc w:val="both"/>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2340">
      <w:bodyDiv w:val="1"/>
      <w:marLeft w:val="0"/>
      <w:marRight w:val="0"/>
      <w:marTop w:val="0"/>
      <w:marBottom w:val="0"/>
      <w:divBdr>
        <w:top w:val="none" w:sz="0" w:space="0" w:color="auto"/>
        <w:left w:val="none" w:sz="0" w:space="0" w:color="auto"/>
        <w:bottom w:val="none" w:sz="0" w:space="0" w:color="auto"/>
        <w:right w:val="none" w:sz="0" w:space="0" w:color="auto"/>
      </w:divBdr>
    </w:div>
    <w:div w:id="537669656">
      <w:bodyDiv w:val="1"/>
      <w:marLeft w:val="0"/>
      <w:marRight w:val="0"/>
      <w:marTop w:val="0"/>
      <w:marBottom w:val="0"/>
      <w:divBdr>
        <w:top w:val="none" w:sz="0" w:space="0" w:color="auto"/>
        <w:left w:val="none" w:sz="0" w:space="0" w:color="auto"/>
        <w:bottom w:val="none" w:sz="0" w:space="0" w:color="auto"/>
        <w:right w:val="none" w:sz="0" w:space="0" w:color="auto"/>
      </w:divBdr>
    </w:div>
    <w:div w:id="878667283">
      <w:bodyDiv w:val="1"/>
      <w:marLeft w:val="0"/>
      <w:marRight w:val="0"/>
      <w:marTop w:val="0"/>
      <w:marBottom w:val="0"/>
      <w:divBdr>
        <w:top w:val="none" w:sz="0" w:space="0" w:color="auto"/>
        <w:left w:val="none" w:sz="0" w:space="0" w:color="auto"/>
        <w:bottom w:val="none" w:sz="0" w:space="0" w:color="auto"/>
        <w:right w:val="none" w:sz="0" w:space="0" w:color="auto"/>
      </w:divBdr>
    </w:div>
    <w:div w:id="185017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Desktop\medicina-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1CC15-5E59-42D6-AE43-814E3776F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medicina-template</Template>
  <TotalTime>6</TotalTime>
  <Pages>12</Pages>
  <Words>5701</Words>
  <Characters>32499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Korisnik</cp:lastModifiedBy>
  <cp:revision>5</cp:revision>
  <cp:lastPrinted>2022-03-20T21:16:00Z</cp:lastPrinted>
  <dcterms:created xsi:type="dcterms:W3CDTF">2022-03-22T10:25:00Z</dcterms:created>
  <dcterms:modified xsi:type="dcterms:W3CDTF">2022-03-22T10:47:00Z</dcterms:modified>
</cp:coreProperties>
</file>