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53DB23" w14:textId="77777777" w:rsidR="00C377A0" w:rsidRPr="006247BC" w:rsidRDefault="00C377A0" w:rsidP="00C377A0">
      <w:pPr>
        <w:pStyle w:val="Geenafstand"/>
        <w:jc w:val="both"/>
        <w:rPr>
          <w:rFonts w:ascii="Times New Roman" w:hAnsi="Times New Roman" w:cs="Times New Roman"/>
          <w:b/>
          <w:i/>
        </w:rPr>
      </w:pPr>
      <w:r w:rsidRPr="006247BC">
        <w:rPr>
          <w:rFonts w:ascii="Times New Roman" w:hAnsi="Times New Roman" w:cs="Times New Roman"/>
          <w:b/>
          <w:i/>
        </w:rPr>
        <w:t xml:space="preserve">Reviewer #1 </w:t>
      </w:r>
    </w:p>
    <w:p w14:paraId="520AB869" w14:textId="77777777" w:rsidR="006F76B4" w:rsidRPr="006247BC" w:rsidRDefault="006F76B4" w:rsidP="00C377A0">
      <w:pPr>
        <w:pStyle w:val="Geenafstand"/>
        <w:jc w:val="both"/>
        <w:rPr>
          <w:rFonts w:ascii="Times New Roman" w:hAnsi="Times New Roman" w:cs="Times New Roman"/>
        </w:rPr>
      </w:pPr>
    </w:p>
    <w:p w14:paraId="0051872A" w14:textId="77777777" w:rsidR="00782A5E" w:rsidRPr="006247BC" w:rsidRDefault="00782A5E" w:rsidP="00782A5E">
      <w:pPr>
        <w:pStyle w:val="Geenafstand"/>
        <w:jc w:val="both"/>
        <w:rPr>
          <w:rFonts w:ascii="Times New Roman" w:hAnsi="Times New Roman" w:cs="Times New Roman"/>
        </w:rPr>
      </w:pPr>
      <w:r>
        <w:rPr>
          <w:rFonts w:ascii="Times New Roman" w:hAnsi="Times New Roman" w:cs="Times New Roman"/>
        </w:rPr>
        <w:t xml:space="preserve">We would like to thank the reviewer </w:t>
      </w:r>
      <w:r w:rsidRPr="006247BC">
        <w:rPr>
          <w:rFonts w:ascii="Times New Roman" w:hAnsi="Times New Roman" w:cs="Times New Roman"/>
        </w:rPr>
        <w:t xml:space="preserve">for reviewing our manuscript entitled “Dietary nitrate intake is associated with decreased incidence of open-angle glaucoma: The Rotterdam Study" (MS# nutrients-1760125). </w:t>
      </w:r>
      <w:r>
        <w:rPr>
          <w:rFonts w:ascii="Times New Roman" w:hAnsi="Times New Roman" w:cs="Times New Roman"/>
        </w:rPr>
        <w:t xml:space="preserve">We appreciate the critical review and suggestions to improve our manuscript. </w:t>
      </w:r>
      <w:r w:rsidRPr="006247BC">
        <w:rPr>
          <w:rFonts w:ascii="Times New Roman" w:hAnsi="Times New Roman" w:cs="Times New Roman"/>
        </w:rPr>
        <w:t xml:space="preserve">Enclosed please find our revised manuscript, which incorporates </w:t>
      </w:r>
      <w:r>
        <w:rPr>
          <w:rFonts w:ascii="Times New Roman" w:hAnsi="Times New Roman" w:cs="Times New Roman"/>
        </w:rPr>
        <w:t>the</w:t>
      </w:r>
      <w:r w:rsidRPr="006247BC">
        <w:rPr>
          <w:rFonts w:ascii="Times New Roman" w:hAnsi="Times New Roman" w:cs="Times New Roman"/>
        </w:rPr>
        <w:t xml:space="preserve"> comments and suggestions</w:t>
      </w:r>
      <w:r>
        <w:rPr>
          <w:rFonts w:ascii="Times New Roman" w:hAnsi="Times New Roman" w:cs="Times New Roman"/>
        </w:rPr>
        <w:t xml:space="preserve"> of both reviewers. </w:t>
      </w:r>
      <w:r w:rsidRPr="006247BC">
        <w:rPr>
          <w:rFonts w:ascii="Times New Roman" w:hAnsi="Times New Roman" w:cs="Times New Roman"/>
        </w:rPr>
        <w:t xml:space="preserve">In this letter we will address </w:t>
      </w:r>
      <w:r>
        <w:rPr>
          <w:rFonts w:ascii="Times New Roman" w:hAnsi="Times New Roman" w:cs="Times New Roman"/>
        </w:rPr>
        <w:t>the</w:t>
      </w:r>
      <w:r w:rsidRPr="006247BC">
        <w:rPr>
          <w:rFonts w:ascii="Times New Roman" w:hAnsi="Times New Roman" w:cs="Times New Roman"/>
        </w:rPr>
        <w:t xml:space="preserve"> comments </w:t>
      </w:r>
      <w:r w:rsidR="003D720A">
        <w:rPr>
          <w:rFonts w:ascii="Times New Roman" w:hAnsi="Times New Roman" w:cs="Times New Roman"/>
        </w:rPr>
        <w:t>of reviewer #1</w:t>
      </w:r>
      <w:r>
        <w:rPr>
          <w:rFonts w:ascii="Times New Roman" w:hAnsi="Times New Roman" w:cs="Times New Roman"/>
        </w:rPr>
        <w:t xml:space="preserve"> </w:t>
      </w:r>
      <w:r w:rsidRPr="006247BC">
        <w:rPr>
          <w:rFonts w:ascii="Times New Roman" w:hAnsi="Times New Roman" w:cs="Times New Roman"/>
        </w:rPr>
        <w:t>point by point.</w:t>
      </w:r>
    </w:p>
    <w:p w14:paraId="52BB02C4" w14:textId="77777777" w:rsidR="006F76B4" w:rsidRPr="006247BC" w:rsidRDefault="006F76B4" w:rsidP="00C377A0">
      <w:pPr>
        <w:pStyle w:val="Geenafstand"/>
        <w:jc w:val="both"/>
        <w:rPr>
          <w:rFonts w:ascii="Times New Roman" w:hAnsi="Times New Roman" w:cs="Times New Roman"/>
        </w:rPr>
      </w:pPr>
    </w:p>
    <w:p w14:paraId="6B65EEFF" w14:textId="77777777" w:rsidR="00C377A0" w:rsidRPr="006247BC" w:rsidRDefault="00C377A0" w:rsidP="00C377A0">
      <w:pPr>
        <w:pStyle w:val="Geenafstand"/>
        <w:jc w:val="both"/>
        <w:rPr>
          <w:rFonts w:ascii="Times New Roman" w:hAnsi="Times New Roman" w:cs="Times New Roman"/>
          <w:b/>
        </w:rPr>
      </w:pPr>
      <w:r w:rsidRPr="006247BC">
        <w:rPr>
          <w:rFonts w:ascii="Times New Roman" w:hAnsi="Times New Roman" w:cs="Times New Roman"/>
          <w:b/>
        </w:rPr>
        <w:t>What was the definition of visual field loss that defined glaucoma? </w:t>
      </w:r>
    </w:p>
    <w:p w14:paraId="408E940A" w14:textId="77777777" w:rsidR="009B24AE" w:rsidRPr="006247BC" w:rsidRDefault="009B24AE" w:rsidP="00C377A0">
      <w:pPr>
        <w:pStyle w:val="Geenafstand"/>
        <w:jc w:val="both"/>
        <w:rPr>
          <w:rFonts w:ascii="Times New Roman" w:hAnsi="Times New Roman" w:cs="Times New Roman"/>
        </w:rPr>
      </w:pPr>
      <w:r w:rsidRPr="006247BC">
        <w:rPr>
          <w:rFonts w:ascii="Times New Roman" w:hAnsi="Times New Roman" w:cs="Times New Roman"/>
        </w:rPr>
        <w:t xml:space="preserve">The definition of glaucomatous visual field loss was elaborated in the corresponding reference. However, we agree that we </w:t>
      </w:r>
      <w:r w:rsidR="001A0529" w:rsidRPr="006247BC">
        <w:rPr>
          <w:rFonts w:ascii="Times New Roman" w:hAnsi="Times New Roman" w:cs="Times New Roman"/>
        </w:rPr>
        <w:t xml:space="preserve">were very brief in explaining </w:t>
      </w:r>
      <w:r w:rsidRPr="006247BC">
        <w:rPr>
          <w:rFonts w:ascii="Times New Roman" w:hAnsi="Times New Roman" w:cs="Times New Roman"/>
        </w:rPr>
        <w:t>glaucomatous visual field loss in the manuscript.</w:t>
      </w:r>
      <w:r w:rsidR="00945174" w:rsidRPr="006247BC">
        <w:rPr>
          <w:rFonts w:ascii="Times New Roman" w:hAnsi="Times New Roman" w:cs="Times New Roman"/>
        </w:rPr>
        <w:t xml:space="preserve"> Therefore we made the following changes</w:t>
      </w:r>
      <w:r w:rsidR="001A0529" w:rsidRPr="006247BC">
        <w:rPr>
          <w:rFonts w:ascii="Times New Roman" w:hAnsi="Times New Roman" w:cs="Times New Roman"/>
        </w:rPr>
        <w:t xml:space="preserve"> to elaborate</w:t>
      </w:r>
      <w:r w:rsidR="00945174" w:rsidRPr="006247BC">
        <w:rPr>
          <w:rFonts w:ascii="Times New Roman" w:hAnsi="Times New Roman" w:cs="Times New Roman"/>
        </w:rPr>
        <w:t>:</w:t>
      </w:r>
      <w:r w:rsidRPr="006247BC">
        <w:rPr>
          <w:rFonts w:ascii="Times New Roman" w:hAnsi="Times New Roman" w:cs="Times New Roman"/>
        </w:rPr>
        <w:t xml:space="preserve"> </w:t>
      </w:r>
    </w:p>
    <w:p w14:paraId="38D21096" w14:textId="77777777" w:rsidR="009B24AE" w:rsidRPr="006247BC" w:rsidRDefault="009B24AE" w:rsidP="00C377A0">
      <w:pPr>
        <w:pStyle w:val="Geenafstand"/>
        <w:jc w:val="both"/>
        <w:rPr>
          <w:rFonts w:ascii="Times New Roman" w:hAnsi="Times New Roman" w:cs="Times New Roman"/>
        </w:rPr>
      </w:pPr>
    </w:p>
    <w:p w14:paraId="6DD312DF" w14:textId="60017870" w:rsidR="009B24AE" w:rsidRPr="006247BC" w:rsidRDefault="0054197D" w:rsidP="00C377A0">
      <w:pPr>
        <w:pStyle w:val="Geenafstand"/>
        <w:jc w:val="both"/>
        <w:rPr>
          <w:rFonts w:ascii="Times New Roman" w:hAnsi="Times New Roman" w:cs="Times New Roman"/>
        </w:rPr>
      </w:pPr>
      <w:r>
        <w:rPr>
          <w:rFonts w:ascii="Times New Roman" w:hAnsi="Times New Roman" w:cs="Times New Roman"/>
        </w:rPr>
        <w:t>In lines 89-</w:t>
      </w:r>
      <w:r w:rsidR="00FE373A">
        <w:rPr>
          <w:rFonts w:ascii="Times New Roman" w:hAnsi="Times New Roman" w:cs="Times New Roman"/>
        </w:rPr>
        <w:t>9</w:t>
      </w:r>
      <w:r>
        <w:rPr>
          <w:rFonts w:ascii="Times New Roman" w:hAnsi="Times New Roman" w:cs="Times New Roman"/>
        </w:rPr>
        <w:t>8</w:t>
      </w:r>
      <w:r w:rsidR="00FE373A">
        <w:rPr>
          <w:rFonts w:ascii="Times New Roman" w:hAnsi="Times New Roman" w:cs="Times New Roman"/>
        </w:rPr>
        <w:t>, w</w:t>
      </w:r>
      <w:r w:rsidR="009B24AE" w:rsidRPr="006247BC">
        <w:rPr>
          <w:rFonts w:ascii="Times New Roman" w:hAnsi="Times New Roman" w:cs="Times New Roman"/>
        </w:rPr>
        <w:t>e changed:</w:t>
      </w:r>
    </w:p>
    <w:p w14:paraId="5587E0AF" w14:textId="77777777" w:rsidR="009B24AE" w:rsidRPr="006247BC" w:rsidRDefault="009B24AE" w:rsidP="00C377A0">
      <w:pPr>
        <w:pStyle w:val="Geenafstand"/>
        <w:jc w:val="both"/>
        <w:rPr>
          <w:rFonts w:ascii="Times New Roman" w:hAnsi="Times New Roman" w:cs="Times New Roman"/>
        </w:rPr>
      </w:pPr>
      <w:r w:rsidRPr="006247BC">
        <w:rPr>
          <w:rFonts w:ascii="Times New Roman" w:hAnsi="Times New Roman" w:cs="Times New Roman"/>
        </w:rPr>
        <w:t>“</w:t>
      </w:r>
      <w:proofErr w:type="spellStart"/>
      <w:r w:rsidRPr="006247BC">
        <w:rPr>
          <w:rFonts w:ascii="Times New Roman" w:hAnsi="Times New Roman" w:cs="Times New Roman"/>
        </w:rPr>
        <w:t>iOAG</w:t>
      </w:r>
      <w:proofErr w:type="spellEnd"/>
      <w:r w:rsidRPr="006247BC">
        <w:rPr>
          <w:rFonts w:ascii="Times New Roman" w:hAnsi="Times New Roman" w:cs="Times New Roman"/>
        </w:rPr>
        <w:t xml:space="preserve"> was defined as glaucomatous visual field loss in at least one eye with reproducibility of the defect, independent of IOP”</w:t>
      </w:r>
    </w:p>
    <w:p w14:paraId="5D4C39E3" w14:textId="77777777" w:rsidR="009B24AE" w:rsidRPr="006247BC" w:rsidRDefault="009B24AE" w:rsidP="00C377A0">
      <w:pPr>
        <w:pStyle w:val="Geenafstand"/>
        <w:jc w:val="both"/>
        <w:rPr>
          <w:rFonts w:ascii="Times New Roman" w:hAnsi="Times New Roman" w:cs="Times New Roman"/>
        </w:rPr>
      </w:pPr>
      <w:r w:rsidRPr="006247BC">
        <w:rPr>
          <w:rFonts w:ascii="Times New Roman" w:hAnsi="Times New Roman" w:cs="Times New Roman"/>
        </w:rPr>
        <w:t xml:space="preserve">To: </w:t>
      </w:r>
    </w:p>
    <w:p w14:paraId="50559002" w14:textId="38C9DE84" w:rsidR="009B24AE" w:rsidRPr="006247BC" w:rsidRDefault="009B24AE" w:rsidP="00C377A0">
      <w:pPr>
        <w:pStyle w:val="Geenafstand"/>
        <w:jc w:val="both"/>
        <w:rPr>
          <w:rFonts w:ascii="Times New Roman" w:hAnsi="Times New Roman" w:cs="Times New Roman"/>
        </w:rPr>
      </w:pPr>
      <w:r w:rsidRPr="006247BC">
        <w:rPr>
          <w:rFonts w:ascii="Times New Roman" w:hAnsi="Times New Roman" w:cs="Times New Roman"/>
        </w:rPr>
        <w:t xml:space="preserve">“All participants underwent visual field testing using the Humphrey Field Analyzer (HFA; Carl Zeiss </w:t>
      </w:r>
      <w:proofErr w:type="spellStart"/>
      <w:r w:rsidRPr="006247BC">
        <w:rPr>
          <w:rFonts w:ascii="Times New Roman" w:hAnsi="Times New Roman" w:cs="Times New Roman"/>
        </w:rPr>
        <w:t>Meditec</w:t>
      </w:r>
      <w:proofErr w:type="spellEnd"/>
      <w:r w:rsidRPr="006247BC">
        <w:rPr>
          <w:rFonts w:ascii="Times New Roman" w:hAnsi="Times New Roman" w:cs="Times New Roman"/>
        </w:rPr>
        <w:t xml:space="preserve">, Jena, Germany). A second supra-threshold test was performed when </w:t>
      </w:r>
      <w:r w:rsidR="00945174" w:rsidRPr="006247BC">
        <w:rPr>
          <w:rFonts w:ascii="Times New Roman" w:hAnsi="Times New Roman" w:cs="Times New Roman"/>
        </w:rPr>
        <w:t>a visual field defect appeared to be present. Details have been described elsewhere.</w:t>
      </w:r>
      <w:r w:rsidR="00ED7EA8" w:rsidRPr="00ED7EA8">
        <w:t xml:space="preserve"> </w:t>
      </w:r>
      <w:r w:rsidR="00ED7EA8">
        <w:rPr>
          <w:rFonts w:ascii="Times New Roman" w:hAnsi="Times New Roman" w:cs="Times New Roman"/>
        </w:rPr>
        <w:fldChar w:fldCharType="begin">
          <w:fldData xml:space="preserve">PEVuZE5vdGU+PENpdGU+PEF1dGhvcj5TcHJpbmdlbGthbXA8L0F1dGhvcj48WWVhcj4yMDE3PC9Z
ZWFyPjxSZWNOdW0+MjY8L1JlY051bT48RGlzcGxheVRleHQ+PHN0eWxlIHNpemU9IjEwIj5bMV08
L3N0eWxlPjwvRGlzcGxheVRleHQ+PHJlY29yZD48cmVjLW51bWJlcj4yNjwvcmVjLW51bWJlcj48
Zm9yZWlnbi1rZXlzPjxrZXkgYXBwPSJFTiIgZGItaWQ9ImFldHh3endyOXQ5d3htZXR2emc1MnMw
dnR6d3R0eGFhcmVkOSIgdGltZXN0YW1wPSIxNjQ5MTUzMjM5Ij4yNjwva2V5PjwvZm9yZWlnbi1r
ZXlzPjxyZWYtdHlwZSBuYW1lPSJKb3VybmFsIEFydGljbGUiPjE3PC9yZWYtdHlwZT48Y29udHJp
YnV0b3JzPjxhdXRob3JzPjxhdXRob3I+U3ByaW5nZWxrYW1wLCBILjwvYXV0aG9yPjxhdXRob3I+
V29sZnMsIFIuIEMuPC9hdXRob3I+PGF1dGhvcj5SYW1kYXMsIFcuIEQuPC9hdXRob3I+PGF1dGhv
cj5Ib2ZtYW4sIEEuPC9hdXRob3I+PGF1dGhvcj5WaW5nZXJsaW5nLCBKLiBSLjwvYXV0aG9yPjxh
dXRob3I+S2xhdmVyLCBDLiBDLjwvYXV0aG9yPjxhdXRob3I+SmFuc29uaXVzLCBOLiBNLjwvYXV0
aG9yPjwvYXV0aG9ycz48L2NvbnRyaWJ1dG9ycz48YXV0aC1hZGRyZXNzPkRlcGFydG1lbnQgb2Yg
RXBpZGVtaW9sb2d5LCBFcmFzbXVzTUMsIFJvdHRlcmRhbSwgVGhlIE5ldGhlcmxhbmRzLiYjeEQ7
RGVwYXJ0bWVudCBvZiBPcGh0aGFsbW9sb2d5LCBFcmFzbXVzTUMsIFJvdHRlcmRhbSwgVGhlIE5l
dGhlcmxhbmRzLiYjeEQ7RGVwYXJ0bWVudCBvZiBFcGlkZW1pb2xvZ3ksIEVyYXNtdXNNQywgUm90
dGVyZGFtLCBUaGUgTmV0aGVybGFuZHMuIG4ubS5qYW5zb25pdXNAdW1jZy5ubC4mI3hEO0RlcGFy
dG1lbnQgb2YgT3BodGhhbG1vbG9neSwgVW5pdmVyc2l0eSBvZiBHcm9uaW5nZW4sIFVuaXZlcnNp
dHkgTWVkaWNhbCBDZW50ZXIgR3JvbmluZ2VuLCBQLk8uIEJveCAzMDAwMSwgOTcwMCBSQiwgR3Jv
bmluZ2VuLCBUaGUgTmV0aGVybGFuZHMuIG4ubS5qYW5zb25pdXNAdW1jZy5ubC48L2F1dGgtYWRk
cmVzcz48dGl0bGVzPjx0aXRsZT5JbmNpZGVuY2Ugb2YgZ2xhdWNvbWF0b3VzIHZpc3VhbCBmaWVs
ZCBsb3NzIGFmdGVyIHR3byBkZWNhZGVzIG9mIGZvbGxvdy11cDogdGhlIFJvdHRlcmRhbSBTdHVk
eTwvdGl0bGU+PHNlY29uZGFyeS10aXRsZT5FdXIgSiBFcGlkZW1pb2w8L3NlY29uZGFyeS10aXRs
ZT48L3RpdGxlcz48cGVyaW9kaWNhbD48ZnVsbC10aXRsZT5FdXIgSiBFcGlkZW1pb2w8L2Z1bGwt
dGl0bGU+PC9wZXJpb2RpY2FsPjxwYWdlcz42OTEtNjk5PC9wYWdlcz48dm9sdW1lPjMyPC92b2x1
bWU+PG51bWJlcj44PC9udW1iZXI+PGtleXdvcmRzPjxrZXl3b3JkPkFkdWx0PC9rZXl3b3JkPjxr
ZXl3b3JkPkFnZSBEaXN0cmlidXRpb248L2tleXdvcmQ+PGtleXdvcmQ+QWdlZDwva2V5d29yZD48
a2V5d29yZD5BZ2VkLCA4MCBhbmQgb3Zlcjwva2V5d29yZD48a2V5d29yZD5CbG9vZCBQcmVzc3Vy
ZS9waHlzaW9sb2d5PC9rZXl3b3JkPjxrZXl3b3JkPkZlbWFsZTwva2V5d29yZD48a2V5d29yZD5G
b2xsb3ctVXAgU3R1ZGllczwva2V5d29yZD48a2V5d29yZD5HbGF1Y29tYSwgT3Blbi1BbmdsZS9k
aWFnbm9zaXMvIGVwaWRlbWlvbG9neTwva2V5d29yZD48a2V5d29yZD5IdW1hbnM8L2tleXdvcmQ+
PGtleXdvcmQ+SW5jaWRlbmNlPC9rZXl3b3JkPjxrZXl3b3JkPkludHJhb2N1bGFyIFByZXNzdXJl
PC9rZXl3b3JkPjxrZXl3b3JkPk1hbGU8L2tleXdvcmQ+PGtleXdvcmQ+TWlkZGxlIEFnZWQ8L2tl
eXdvcmQ+PGtleXdvcmQ+TXlvcGlhL2VwaWRlbWlvbG9neTwva2V5d29yZD48a2V5d29yZD5OZXRo
ZXJsYW5kcy9lcGlkZW1pb2xvZ3k8L2tleXdvcmQ+PGtleXdvcmQ+T3B0aWMgTmVydmUgRGlzZWFz
ZXMvZXBpZGVtaW9sb2d5PC9rZXl3b3JkPjxrZXl3b3JkPlBvcHVsYXRpb24gU3VydmVpbGxhbmNl
PC9rZXl3b3JkPjxrZXl3b3JkPlJpc2sgRmFjdG9yczwva2V5d29yZD48a2V5d29yZD5TZXggRGlz
dHJpYnV0aW9uPC9rZXl3b3JkPjxrZXl3b3JkPlRvbm9tZXRyeSwgT2N1bGFyPC9rZXl3b3JkPjxr
ZXl3b3JkPlZpc2lvbiBEaXNvcmRlcnMvZGlhZ25vc2lzLyBlcGlkZW1pb2xvZ3k8L2tleXdvcmQ+
PGtleXdvcmQ+VmlzdWFsIEZpZWxkIFRlc3RzPC9rZXl3b3JkPjxrZXl3b3JkPlZpc3VhbCBGaWVs
ZHM8L2tleXdvcmQ+PGtleXdvcmQ+R2xhdWNvbWE8L2tleXdvcmQ+PGtleXdvcmQ+T3B0aWMgbmVy
dmU8L2tleXdvcmQ+PGtleXdvcmQ+VmlzdWFsIGZpZWxkPC9rZXl3b3JkPjwva2V5d29yZHM+PGRh
dGVzPjx5ZWFyPjIwMTc8L3llYXI+PHB1Yi1kYXRlcz48ZGF0ZT5BdWc8L2RhdGU+PC9wdWItZGF0
ZXM+PC9kYXRlcz48aXNibj4xNTczLTcyODQgKEVsZWN0cm9uaWMpJiN4RDswMzkzLTI5OTAgKFBy
aW50KSYjeEQ7MDM5My0yOTkwIChMaW5raW5nKTwvaXNibj48YWNjZXNzaW9uLW51bT4yODYwODE4
NjwvYWNjZXNzaW9uLW51bT48dXJscz48L3VybHM+PGVsZWN0cm9uaWMtcmVzb3VyY2UtbnVtPmh0
dHBzOi8vZHguZG9pLm9yZy8xMC4xMDA3JTJGczEwNjU0LTAxNy0wMjcwLXk8L2VsZWN0cm9uaWMt
cmVzb3VyY2UtbnVtPjwvcmVjb3JkPjwvQ2l0ZT48L0VuZE5vdGU+
</w:fldData>
        </w:fldChar>
      </w:r>
      <w:r w:rsidR="00ED7EA8">
        <w:rPr>
          <w:rFonts w:ascii="Times New Roman" w:hAnsi="Times New Roman" w:cs="Times New Roman"/>
        </w:rPr>
        <w:instrText xml:space="preserve"> ADDIN EN.CITE </w:instrText>
      </w:r>
      <w:r w:rsidR="00ED7EA8">
        <w:rPr>
          <w:rFonts w:ascii="Times New Roman" w:hAnsi="Times New Roman" w:cs="Times New Roman"/>
        </w:rPr>
        <w:fldChar w:fldCharType="begin">
          <w:fldData xml:space="preserve">PEVuZE5vdGU+PENpdGU+PEF1dGhvcj5TcHJpbmdlbGthbXA8L0F1dGhvcj48WWVhcj4yMDE3PC9Z
ZWFyPjxSZWNOdW0+MjY8L1JlY051bT48RGlzcGxheVRleHQ+PHN0eWxlIHNpemU9IjEwIj5bMV08
L3N0eWxlPjwvRGlzcGxheVRleHQ+PHJlY29yZD48cmVjLW51bWJlcj4yNjwvcmVjLW51bWJlcj48
Zm9yZWlnbi1rZXlzPjxrZXkgYXBwPSJFTiIgZGItaWQ9ImFldHh3endyOXQ5d3htZXR2emc1MnMw
dnR6d3R0eGFhcmVkOSIgdGltZXN0YW1wPSIxNjQ5MTUzMjM5Ij4yNjwva2V5PjwvZm9yZWlnbi1r
ZXlzPjxyZWYtdHlwZSBuYW1lPSJKb3VybmFsIEFydGljbGUiPjE3PC9yZWYtdHlwZT48Y29udHJp
YnV0b3JzPjxhdXRob3JzPjxhdXRob3I+U3ByaW5nZWxrYW1wLCBILjwvYXV0aG9yPjxhdXRob3I+
V29sZnMsIFIuIEMuPC9hdXRob3I+PGF1dGhvcj5SYW1kYXMsIFcuIEQuPC9hdXRob3I+PGF1dGhv
cj5Ib2ZtYW4sIEEuPC9hdXRob3I+PGF1dGhvcj5WaW5nZXJsaW5nLCBKLiBSLjwvYXV0aG9yPjxh
dXRob3I+S2xhdmVyLCBDLiBDLjwvYXV0aG9yPjxhdXRob3I+SmFuc29uaXVzLCBOLiBNLjwvYXV0
aG9yPjwvYXV0aG9ycz48L2NvbnRyaWJ1dG9ycz48YXV0aC1hZGRyZXNzPkRlcGFydG1lbnQgb2Yg
RXBpZGVtaW9sb2d5LCBFcmFzbXVzTUMsIFJvdHRlcmRhbSwgVGhlIE5ldGhlcmxhbmRzLiYjeEQ7
RGVwYXJ0bWVudCBvZiBPcGh0aGFsbW9sb2d5LCBFcmFzbXVzTUMsIFJvdHRlcmRhbSwgVGhlIE5l
dGhlcmxhbmRzLiYjeEQ7RGVwYXJ0bWVudCBvZiBFcGlkZW1pb2xvZ3ksIEVyYXNtdXNNQywgUm90
dGVyZGFtLCBUaGUgTmV0aGVybGFuZHMuIG4ubS5qYW5zb25pdXNAdW1jZy5ubC4mI3hEO0RlcGFy
dG1lbnQgb2YgT3BodGhhbG1vbG9neSwgVW5pdmVyc2l0eSBvZiBHcm9uaW5nZW4sIFVuaXZlcnNp
dHkgTWVkaWNhbCBDZW50ZXIgR3JvbmluZ2VuLCBQLk8uIEJveCAzMDAwMSwgOTcwMCBSQiwgR3Jv
bmluZ2VuLCBUaGUgTmV0aGVybGFuZHMuIG4ubS5qYW5zb25pdXNAdW1jZy5ubC48L2F1dGgtYWRk
cmVzcz48dGl0bGVzPjx0aXRsZT5JbmNpZGVuY2Ugb2YgZ2xhdWNvbWF0b3VzIHZpc3VhbCBmaWVs
ZCBsb3NzIGFmdGVyIHR3byBkZWNhZGVzIG9mIGZvbGxvdy11cDogdGhlIFJvdHRlcmRhbSBTdHVk
eTwvdGl0bGU+PHNlY29uZGFyeS10aXRsZT5FdXIgSiBFcGlkZW1pb2w8L3NlY29uZGFyeS10aXRs
ZT48L3RpdGxlcz48cGVyaW9kaWNhbD48ZnVsbC10aXRsZT5FdXIgSiBFcGlkZW1pb2w8L2Z1bGwt
dGl0bGU+PC9wZXJpb2RpY2FsPjxwYWdlcz42OTEtNjk5PC9wYWdlcz48dm9sdW1lPjMyPC92b2x1
bWU+PG51bWJlcj44PC9udW1iZXI+PGtleXdvcmRzPjxrZXl3b3JkPkFkdWx0PC9rZXl3b3JkPjxr
ZXl3b3JkPkFnZSBEaXN0cmlidXRpb248L2tleXdvcmQ+PGtleXdvcmQ+QWdlZDwva2V5d29yZD48
a2V5d29yZD5BZ2VkLCA4MCBhbmQgb3Zlcjwva2V5d29yZD48a2V5d29yZD5CbG9vZCBQcmVzc3Vy
ZS9waHlzaW9sb2d5PC9rZXl3b3JkPjxrZXl3b3JkPkZlbWFsZTwva2V5d29yZD48a2V5d29yZD5G
b2xsb3ctVXAgU3R1ZGllczwva2V5d29yZD48a2V5d29yZD5HbGF1Y29tYSwgT3Blbi1BbmdsZS9k
aWFnbm9zaXMvIGVwaWRlbWlvbG9neTwva2V5d29yZD48a2V5d29yZD5IdW1hbnM8L2tleXdvcmQ+
PGtleXdvcmQ+SW5jaWRlbmNlPC9rZXl3b3JkPjxrZXl3b3JkPkludHJhb2N1bGFyIFByZXNzdXJl
PC9rZXl3b3JkPjxrZXl3b3JkPk1hbGU8L2tleXdvcmQ+PGtleXdvcmQ+TWlkZGxlIEFnZWQ8L2tl
eXdvcmQ+PGtleXdvcmQ+TXlvcGlhL2VwaWRlbWlvbG9neTwva2V5d29yZD48a2V5d29yZD5OZXRo
ZXJsYW5kcy9lcGlkZW1pb2xvZ3k8L2tleXdvcmQ+PGtleXdvcmQ+T3B0aWMgTmVydmUgRGlzZWFz
ZXMvZXBpZGVtaW9sb2d5PC9rZXl3b3JkPjxrZXl3b3JkPlBvcHVsYXRpb24gU3VydmVpbGxhbmNl
PC9rZXl3b3JkPjxrZXl3b3JkPlJpc2sgRmFjdG9yczwva2V5d29yZD48a2V5d29yZD5TZXggRGlz
dHJpYnV0aW9uPC9rZXl3b3JkPjxrZXl3b3JkPlRvbm9tZXRyeSwgT2N1bGFyPC9rZXl3b3JkPjxr
ZXl3b3JkPlZpc2lvbiBEaXNvcmRlcnMvZGlhZ25vc2lzLyBlcGlkZW1pb2xvZ3k8L2tleXdvcmQ+
PGtleXdvcmQ+VmlzdWFsIEZpZWxkIFRlc3RzPC9rZXl3b3JkPjxrZXl3b3JkPlZpc3VhbCBGaWVs
ZHM8L2tleXdvcmQ+PGtleXdvcmQ+R2xhdWNvbWE8L2tleXdvcmQ+PGtleXdvcmQ+T3B0aWMgbmVy
dmU8L2tleXdvcmQ+PGtleXdvcmQ+VmlzdWFsIGZpZWxkPC9rZXl3b3JkPjwva2V5d29yZHM+PGRh
dGVzPjx5ZWFyPjIwMTc8L3llYXI+PHB1Yi1kYXRlcz48ZGF0ZT5BdWc8L2RhdGU+PC9wdWItZGF0
ZXM+PC9kYXRlcz48aXNibj4xNTczLTcyODQgKEVsZWN0cm9uaWMpJiN4RDswMzkzLTI5OTAgKFBy
aW50KSYjeEQ7MDM5My0yOTkwIChMaW5raW5nKTwvaXNibj48YWNjZXNzaW9uLW51bT4yODYwODE4
NjwvYWNjZXNzaW9uLW51bT48dXJscz48L3VybHM+PGVsZWN0cm9uaWMtcmVzb3VyY2UtbnVtPmh0
dHBzOi8vZHguZG9pLm9yZy8xMC4xMDA3JTJGczEwNjU0LTAxNy0wMjcwLXk8L2VsZWN0cm9uaWMt
cmVzb3VyY2UtbnVtPjwvcmVjb3JkPjwvQ2l0ZT48L0VuZE5vdGU+
</w:fldData>
        </w:fldChar>
      </w:r>
      <w:r w:rsidR="00ED7EA8">
        <w:rPr>
          <w:rFonts w:ascii="Times New Roman" w:hAnsi="Times New Roman" w:cs="Times New Roman"/>
        </w:rPr>
        <w:instrText xml:space="preserve"> ADDIN EN.CITE.DATA </w:instrText>
      </w:r>
      <w:r w:rsidR="00ED7EA8">
        <w:rPr>
          <w:rFonts w:ascii="Times New Roman" w:hAnsi="Times New Roman" w:cs="Times New Roman"/>
        </w:rPr>
      </w:r>
      <w:r w:rsidR="00ED7EA8">
        <w:rPr>
          <w:rFonts w:ascii="Times New Roman" w:hAnsi="Times New Roman" w:cs="Times New Roman"/>
        </w:rPr>
        <w:fldChar w:fldCharType="end"/>
      </w:r>
      <w:r w:rsidR="00ED7EA8">
        <w:rPr>
          <w:rFonts w:ascii="Times New Roman" w:hAnsi="Times New Roman" w:cs="Times New Roman"/>
        </w:rPr>
      </w:r>
      <w:r w:rsidR="00ED7EA8">
        <w:rPr>
          <w:rFonts w:ascii="Times New Roman" w:hAnsi="Times New Roman" w:cs="Times New Roman"/>
        </w:rPr>
        <w:fldChar w:fldCharType="separate"/>
      </w:r>
      <w:r w:rsidR="00ED7EA8" w:rsidRPr="00ED7EA8">
        <w:rPr>
          <w:rFonts w:ascii="Times New Roman" w:hAnsi="Times New Roman" w:cs="Times New Roman"/>
          <w:noProof/>
          <w:sz w:val="20"/>
        </w:rPr>
        <w:t>[1]</w:t>
      </w:r>
      <w:r w:rsidR="00ED7EA8">
        <w:rPr>
          <w:rFonts w:ascii="Times New Roman" w:hAnsi="Times New Roman" w:cs="Times New Roman"/>
        </w:rPr>
        <w:fldChar w:fldCharType="end"/>
      </w:r>
      <w:r w:rsidR="00045082">
        <w:rPr>
          <w:rFonts w:ascii="Times New Roman" w:hAnsi="Times New Roman" w:cs="Times New Roman"/>
        </w:rPr>
        <w:t xml:space="preserve"> </w:t>
      </w:r>
      <w:r w:rsidR="00945174" w:rsidRPr="006247BC">
        <w:rPr>
          <w:rFonts w:ascii="Times New Roman" w:hAnsi="Times New Roman" w:cs="Times New Roman"/>
        </w:rPr>
        <w:t xml:space="preserve">If the second supra-threshold test showed at least one overlapping abnormality in the same </w:t>
      </w:r>
      <w:proofErr w:type="spellStart"/>
      <w:r w:rsidR="00945174" w:rsidRPr="006247BC">
        <w:rPr>
          <w:rFonts w:ascii="Times New Roman" w:hAnsi="Times New Roman" w:cs="Times New Roman"/>
        </w:rPr>
        <w:t>hemifield</w:t>
      </w:r>
      <w:proofErr w:type="spellEnd"/>
      <w:r w:rsidR="00945174" w:rsidRPr="006247BC">
        <w:rPr>
          <w:rFonts w:ascii="Times New Roman" w:hAnsi="Times New Roman" w:cs="Times New Roman"/>
        </w:rPr>
        <w:t xml:space="preserve">, </w:t>
      </w:r>
      <w:proofErr w:type="spellStart"/>
      <w:r w:rsidR="00945174" w:rsidRPr="006247BC">
        <w:rPr>
          <w:rFonts w:ascii="Times New Roman" w:hAnsi="Times New Roman" w:cs="Times New Roman"/>
        </w:rPr>
        <w:t>Goldmann</w:t>
      </w:r>
      <w:proofErr w:type="spellEnd"/>
      <w:r w:rsidR="00945174" w:rsidRPr="006247BC">
        <w:rPr>
          <w:rFonts w:ascii="Times New Roman" w:hAnsi="Times New Roman" w:cs="Times New Roman"/>
        </w:rPr>
        <w:t xml:space="preserve"> kinetic </w:t>
      </w:r>
      <w:proofErr w:type="spellStart"/>
      <w:r w:rsidR="00945174" w:rsidRPr="006247BC">
        <w:rPr>
          <w:rFonts w:ascii="Times New Roman" w:hAnsi="Times New Roman" w:cs="Times New Roman"/>
        </w:rPr>
        <w:t>perimetry</w:t>
      </w:r>
      <w:proofErr w:type="spellEnd"/>
      <w:r w:rsidR="00945174" w:rsidRPr="006247BC">
        <w:rPr>
          <w:rFonts w:ascii="Times New Roman" w:hAnsi="Times New Roman" w:cs="Times New Roman"/>
        </w:rPr>
        <w:t xml:space="preserve"> (RS-I-1 and RS-I-3; Haag</w:t>
      </w:r>
      <w:r w:rsidR="00853403">
        <w:rPr>
          <w:rFonts w:ascii="Times New Roman" w:hAnsi="Times New Roman" w:cs="Times New Roman"/>
        </w:rPr>
        <w:t>-</w:t>
      </w:r>
      <w:proofErr w:type="spellStart"/>
      <w:r w:rsidR="00945174" w:rsidRPr="006247BC">
        <w:rPr>
          <w:rFonts w:ascii="Times New Roman" w:hAnsi="Times New Roman" w:cs="Times New Roman"/>
        </w:rPr>
        <w:t>Streit</w:t>
      </w:r>
      <w:proofErr w:type="spellEnd"/>
      <w:r w:rsidR="00945174" w:rsidRPr="006247BC">
        <w:rPr>
          <w:rFonts w:ascii="Times New Roman" w:hAnsi="Times New Roman" w:cs="Times New Roman"/>
        </w:rPr>
        <w:t xml:space="preserve">) or full-threshold HFA (all other cohort visits) was performed on both eyes. </w:t>
      </w:r>
      <w:r w:rsidRPr="006247BC">
        <w:rPr>
          <w:rFonts w:ascii="Times New Roman" w:hAnsi="Times New Roman" w:cs="Times New Roman"/>
        </w:rPr>
        <w:t xml:space="preserve">If abnormalities were consecutive and reproducible, thus present on the </w:t>
      </w:r>
      <w:proofErr w:type="spellStart"/>
      <w:r w:rsidRPr="006247BC">
        <w:rPr>
          <w:rFonts w:ascii="Times New Roman" w:hAnsi="Times New Roman" w:cs="Times New Roman"/>
        </w:rPr>
        <w:t>Goldmann</w:t>
      </w:r>
      <w:proofErr w:type="spellEnd"/>
      <w:r w:rsidRPr="006247BC">
        <w:rPr>
          <w:rFonts w:ascii="Times New Roman" w:hAnsi="Times New Roman" w:cs="Times New Roman"/>
        </w:rPr>
        <w:t xml:space="preserve"> or full-threshold test and on both supra-threshold tests, visual field loss was considered to be present. Defects had to be in a consistent </w:t>
      </w:r>
      <w:proofErr w:type="spellStart"/>
      <w:r w:rsidRPr="006247BC">
        <w:rPr>
          <w:rFonts w:ascii="Times New Roman" w:hAnsi="Times New Roman" w:cs="Times New Roman"/>
        </w:rPr>
        <w:t>hemifield</w:t>
      </w:r>
      <w:proofErr w:type="spellEnd"/>
      <w:r w:rsidRPr="006247BC">
        <w:rPr>
          <w:rFonts w:ascii="Times New Roman" w:hAnsi="Times New Roman" w:cs="Times New Roman"/>
        </w:rPr>
        <w:t xml:space="preserve"> and a least one depressed test point had to have exactly the same location on all fields.”</w:t>
      </w:r>
    </w:p>
    <w:p w14:paraId="7D826EB2" w14:textId="77777777" w:rsidR="009B24AE" w:rsidRPr="006247BC" w:rsidRDefault="009B24AE" w:rsidP="00C377A0">
      <w:pPr>
        <w:pStyle w:val="Geenafstand"/>
        <w:jc w:val="both"/>
        <w:rPr>
          <w:rFonts w:ascii="Times New Roman" w:hAnsi="Times New Roman" w:cs="Times New Roman"/>
        </w:rPr>
      </w:pPr>
    </w:p>
    <w:p w14:paraId="0FDD97EE" w14:textId="343DF54E" w:rsidR="009B24AE" w:rsidRPr="006247BC" w:rsidRDefault="00FE373A" w:rsidP="00C377A0">
      <w:pPr>
        <w:pStyle w:val="Geenafstand"/>
        <w:jc w:val="both"/>
        <w:rPr>
          <w:rFonts w:ascii="Times New Roman" w:hAnsi="Times New Roman" w:cs="Times New Roman"/>
        </w:rPr>
      </w:pPr>
      <w:r>
        <w:rPr>
          <w:rFonts w:ascii="Times New Roman" w:hAnsi="Times New Roman" w:cs="Times New Roman"/>
        </w:rPr>
        <w:t>In lines 98-100, w</w:t>
      </w:r>
      <w:r w:rsidR="009B24AE" w:rsidRPr="006247BC">
        <w:rPr>
          <w:rFonts w:ascii="Times New Roman" w:hAnsi="Times New Roman" w:cs="Times New Roman"/>
        </w:rPr>
        <w:t xml:space="preserve">e changed: </w:t>
      </w:r>
    </w:p>
    <w:p w14:paraId="431A4347" w14:textId="77777777" w:rsidR="009B24AE" w:rsidRPr="006247BC" w:rsidRDefault="009B24AE" w:rsidP="00C377A0">
      <w:pPr>
        <w:pStyle w:val="Geenafstand"/>
        <w:jc w:val="both"/>
        <w:rPr>
          <w:rFonts w:ascii="Times New Roman" w:hAnsi="Times New Roman" w:cs="Times New Roman"/>
        </w:rPr>
      </w:pPr>
      <w:r w:rsidRPr="006247BC">
        <w:rPr>
          <w:rFonts w:ascii="Times New Roman" w:hAnsi="Times New Roman" w:cs="Times New Roman"/>
        </w:rPr>
        <w:t xml:space="preserve">“All other possible causes of visual field loss were excluded.” </w:t>
      </w:r>
    </w:p>
    <w:p w14:paraId="7E798638" w14:textId="77777777" w:rsidR="009B24AE" w:rsidRPr="006247BC" w:rsidRDefault="009B24AE" w:rsidP="00C377A0">
      <w:pPr>
        <w:pStyle w:val="Geenafstand"/>
        <w:jc w:val="both"/>
        <w:rPr>
          <w:rFonts w:ascii="Times New Roman" w:hAnsi="Times New Roman" w:cs="Times New Roman"/>
        </w:rPr>
      </w:pPr>
      <w:r w:rsidRPr="006247BC">
        <w:rPr>
          <w:rFonts w:ascii="Times New Roman" w:hAnsi="Times New Roman" w:cs="Times New Roman"/>
        </w:rPr>
        <w:t>To:</w:t>
      </w:r>
    </w:p>
    <w:p w14:paraId="171F1446" w14:textId="4E373F5D" w:rsidR="009B24AE" w:rsidRPr="006247BC" w:rsidRDefault="009B24AE" w:rsidP="00C377A0">
      <w:pPr>
        <w:pStyle w:val="Geenafstand"/>
        <w:jc w:val="both"/>
        <w:rPr>
          <w:rFonts w:ascii="Times New Roman" w:hAnsi="Times New Roman" w:cs="Times New Roman"/>
        </w:rPr>
      </w:pPr>
      <w:r w:rsidRPr="006247BC">
        <w:rPr>
          <w:rFonts w:ascii="Times New Roman" w:hAnsi="Times New Roman" w:cs="Times New Roman"/>
        </w:rPr>
        <w:t>“</w:t>
      </w:r>
      <w:r w:rsidR="00715F67">
        <w:rPr>
          <w:rFonts w:ascii="Times New Roman" w:hAnsi="Times New Roman" w:cs="Times New Roman"/>
        </w:rPr>
        <w:t xml:space="preserve">Glaucoma specialists </w:t>
      </w:r>
      <w:r w:rsidRPr="006247BC">
        <w:rPr>
          <w:rFonts w:ascii="Times New Roman" w:hAnsi="Times New Roman" w:cs="Times New Roman"/>
        </w:rPr>
        <w:t>examin</w:t>
      </w:r>
      <w:r w:rsidR="00715F67">
        <w:rPr>
          <w:rFonts w:ascii="Times New Roman" w:hAnsi="Times New Roman" w:cs="Times New Roman"/>
        </w:rPr>
        <w:t>ed</w:t>
      </w:r>
      <w:r w:rsidRPr="006247BC">
        <w:rPr>
          <w:rFonts w:ascii="Times New Roman" w:hAnsi="Times New Roman" w:cs="Times New Roman"/>
        </w:rPr>
        <w:t xml:space="preserve"> fundus photographs, ophthalmic examination reports, medical histories, and MRI scans of the brain</w:t>
      </w:r>
      <w:r w:rsidR="00715F67">
        <w:rPr>
          <w:rFonts w:ascii="Times New Roman" w:hAnsi="Times New Roman" w:cs="Times New Roman"/>
        </w:rPr>
        <w:t xml:space="preserve"> to exclude all other possible causes of visual field loss</w:t>
      </w:r>
      <w:r w:rsidRPr="006247BC">
        <w:rPr>
          <w:rFonts w:ascii="Times New Roman" w:hAnsi="Times New Roman" w:cs="Times New Roman"/>
        </w:rPr>
        <w:t>.</w:t>
      </w:r>
      <w:r w:rsidR="00945174" w:rsidRPr="006247BC">
        <w:rPr>
          <w:rFonts w:ascii="Times New Roman" w:hAnsi="Times New Roman" w:cs="Times New Roman"/>
        </w:rPr>
        <w:t xml:space="preserve"> Discrepancies were resolved by consensus.</w:t>
      </w:r>
      <w:r w:rsidRPr="006247BC">
        <w:rPr>
          <w:rFonts w:ascii="Times New Roman" w:hAnsi="Times New Roman" w:cs="Times New Roman"/>
        </w:rPr>
        <w:t>”</w:t>
      </w:r>
    </w:p>
    <w:p w14:paraId="1E5973B5" w14:textId="77777777" w:rsidR="009B24AE" w:rsidRPr="006247BC" w:rsidRDefault="009B24AE" w:rsidP="00C377A0">
      <w:pPr>
        <w:pStyle w:val="Geenafstand"/>
        <w:jc w:val="both"/>
        <w:rPr>
          <w:rFonts w:ascii="Times New Roman" w:hAnsi="Times New Roman" w:cs="Times New Roman"/>
        </w:rPr>
      </w:pPr>
      <w:r w:rsidRPr="006247BC">
        <w:rPr>
          <w:rFonts w:ascii="Times New Roman" w:hAnsi="Times New Roman" w:cs="Times New Roman"/>
        </w:rPr>
        <w:t xml:space="preserve"> </w:t>
      </w:r>
    </w:p>
    <w:p w14:paraId="68B8BC05" w14:textId="00218470" w:rsidR="00945174" w:rsidRPr="006247BC" w:rsidRDefault="003E478B" w:rsidP="00C377A0">
      <w:pPr>
        <w:pStyle w:val="Geenafstand"/>
        <w:jc w:val="both"/>
        <w:rPr>
          <w:rFonts w:ascii="Times New Roman" w:hAnsi="Times New Roman" w:cs="Times New Roman"/>
        </w:rPr>
      </w:pPr>
      <w:r>
        <w:rPr>
          <w:rFonts w:ascii="Times New Roman" w:hAnsi="Times New Roman" w:cs="Times New Roman"/>
        </w:rPr>
        <w:t>In lines 103-104, w</w:t>
      </w:r>
      <w:r w:rsidR="00945174" w:rsidRPr="006247BC">
        <w:rPr>
          <w:rFonts w:ascii="Times New Roman" w:hAnsi="Times New Roman" w:cs="Times New Roman"/>
        </w:rPr>
        <w:t xml:space="preserve">e </w:t>
      </w:r>
      <w:r>
        <w:rPr>
          <w:rFonts w:ascii="Times New Roman" w:hAnsi="Times New Roman" w:cs="Times New Roman"/>
        </w:rPr>
        <w:t>adde</w:t>
      </w:r>
      <w:r w:rsidR="00945174" w:rsidRPr="006247BC">
        <w:rPr>
          <w:rFonts w:ascii="Times New Roman" w:hAnsi="Times New Roman" w:cs="Times New Roman"/>
        </w:rPr>
        <w:t>d:</w:t>
      </w:r>
    </w:p>
    <w:p w14:paraId="7F536147" w14:textId="6D661CAA" w:rsidR="00945174" w:rsidRPr="006247BC" w:rsidRDefault="00945174" w:rsidP="00C377A0">
      <w:pPr>
        <w:pStyle w:val="Geenafstand"/>
        <w:jc w:val="both"/>
        <w:rPr>
          <w:rFonts w:ascii="Times New Roman" w:hAnsi="Times New Roman" w:cs="Times New Roman"/>
        </w:rPr>
      </w:pPr>
      <w:r w:rsidRPr="006247BC">
        <w:rPr>
          <w:rFonts w:ascii="Times New Roman" w:hAnsi="Times New Roman" w:cs="Times New Roman"/>
        </w:rPr>
        <w:t>“For IOP, three measurements were taken from each eye, of which the median value was recorded.</w:t>
      </w:r>
      <w:r w:rsidR="004E147A" w:rsidRPr="004E147A">
        <w:rPr>
          <w:rFonts w:ascii="Times New Roman" w:hAnsi="Times New Roman" w:cs="Times New Roman"/>
        </w:rPr>
        <w:t xml:space="preserve"> </w:t>
      </w:r>
      <w:r w:rsidR="00927F2E">
        <w:rPr>
          <w:rFonts w:ascii="Times New Roman" w:hAnsi="Times New Roman" w:cs="Times New Roman"/>
          <w:lang w:val="nl-NL"/>
        </w:rPr>
        <w:fldChar w:fldCharType="begin"/>
      </w:r>
      <w:r w:rsidR="00927F2E" w:rsidRPr="00B330AE">
        <w:rPr>
          <w:rFonts w:ascii="Times New Roman" w:hAnsi="Times New Roman" w:cs="Times New Roman"/>
        </w:rPr>
        <w:instrText xml:space="preserve"> ADDIN EN.CITE &lt;EndNote&gt;&lt;Cite&gt;&lt;Author&gt;Dielemans&lt;/Author&gt;&lt;Year&gt;1994&lt;/Year&gt;&lt;RecNum&gt;77&lt;/RecNum&gt;&lt;DisplayText&gt;&lt;style size="10"&gt;[2]&lt;/style&gt;&lt;/DisplayText&gt;&lt;record&gt;&lt;rec-number&gt;77&lt;/rec-number&gt;&lt;foreign-keys&gt;&lt;key app="EN" db-id="aetxwzwr9t9wxmetvzg52s0vtzwttxaared9" timestamp="1654435098"&gt;77&lt;/key&gt;&lt;/foreign-keys&gt;&lt;ref-type name="Journal Article"&gt;17&lt;/ref-type&gt;&lt;contributors&gt;&lt;authors&gt;&lt;author&gt;Dielemans, I.&lt;/author&gt;&lt;author&gt;Vingerling, J. R.&lt;/author&gt;&lt;author&gt;Hofman, A.&lt;/author&gt;&lt;author&gt;Grobbee, D. E.&lt;/author&gt;&lt;author&gt;de Jong, P. T.&lt;/author&gt;&lt;/authors&gt;&lt;/contributors&gt;&lt;auth-address&gt;Department of Ophthalmology, Erasmus University Medical School, Rotterdam, The Netherlands.&lt;/auth-address&gt;&lt;titles&gt;&lt;title&gt;Reliability of intraocular pressure measurement with the Goldmann applanation tonometer in epidemiological studies&lt;/title&gt;&lt;secondary-title&gt;Graefes Arch Clin Exp Ophthalmol&lt;/secondary-title&gt;&lt;/titles&gt;&lt;periodical&gt;&lt;full-title&gt;Graefes Arch Clin Exp Ophthalmol&lt;/full-title&gt;&lt;/periodical&gt;&lt;pages&gt;141-4&lt;/pages&gt;&lt;volume&gt;232&lt;/volume&gt;&lt;number&gt;3&lt;/number&gt;&lt;keywords&gt;&lt;keyword&gt;Aged&lt;/keyword&gt;&lt;keyword&gt;Female&lt;/keyword&gt;&lt;keyword&gt;Glaucoma/diagnosis/ epidemiology&lt;/keyword&gt;&lt;keyword&gt;Humans&lt;/keyword&gt;&lt;keyword&gt;Intraocular Pressure&lt;/keyword&gt;&lt;keyword&gt;Male&lt;/keyword&gt;&lt;keyword&gt;Middle Aged&lt;/keyword&gt;&lt;keyword&gt;Netherlands/epidemiology&lt;/keyword&gt;&lt;keyword&gt;Observer Variation&lt;/keyword&gt;&lt;keyword&gt;Reproducibility of Results&lt;/keyword&gt;&lt;keyword&gt;Tonometry, Ocular/instrumentation/ methods&lt;/keyword&gt;&lt;/keywords&gt;&lt;dates&gt;&lt;year&gt;1994&lt;/year&gt;&lt;pub-dates&gt;&lt;date&gt;Mar&lt;/date&gt;&lt;/pub-dates&gt;&lt;/dates&gt;&lt;isbn&gt;0721-832X (Print)&amp;#xD;0721-832X (Linking)&lt;/isbn&gt;&lt;accession-num&gt;8188062&lt;/accession-num&gt;&lt;urls&gt;&lt;/urls&gt;&lt;/record&gt;&lt;/Cite&gt;&lt;/EndNote&gt;</w:instrText>
      </w:r>
      <w:r w:rsidR="00927F2E">
        <w:rPr>
          <w:rFonts w:ascii="Times New Roman" w:hAnsi="Times New Roman" w:cs="Times New Roman"/>
          <w:lang w:val="nl-NL"/>
        </w:rPr>
        <w:fldChar w:fldCharType="separate"/>
      </w:r>
      <w:r w:rsidR="00927F2E" w:rsidRPr="00B330AE">
        <w:rPr>
          <w:rFonts w:ascii="Times New Roman" w:hAnsi="Times New Roman" w:cs="Times New Roman"/>
          <w:noProof/>
          <w:sz w:val="20"/>
        </w:rPr>
        <w:t>[2]</w:t>
      </w:r>
      <w:r w:rsidR="00927F2E">
        <w:rPr>
          <w:rFonts w:ascii="Times New Roman" w:hAnsi="Times New Roman" w:cs="Times New Roman"/>
          <w:lang w:val="nl-NL"/>
        </w:rPr>
        <w:fldChar w:fldCharType="end"/>
      </w:r>
      <w:r w:rsidR="00927F2E" w:rsidRPr="00B330AE">
        <w:rPr>
          <w:rFonts w:ascii="Times New Roman" w:hAnsi="Times New Roman" w:cs="Times New Roman"/>
        </w:rPr>
        <w:t xml:space="preserve"> </w:t>
      </w:r>
      <w:r w:rsidRPr="006247BC">
        <w:rPr>
          <w:rFonts w:ascii="Times New Roman" w:hAnsi="Times New Roman" w:cs="Times New Roman"/>
        </w:rPr>
        <w:t xml:space="preserve">For </w:t>
      </w:r>
      <w:proofErr w:type="spellStart"/>
      <w:r w:rsidRPr="006247BC">
        <w:rPr>
          <w:rFonts w:ascii="Times New Roman" w:hAnsi="Times New Roman" w:cs="Times New Roman"/>
        </w:rPr>
        <w:t>iOAG</w:t>
      </w:r>
      <w:proofErr w:type="spellEnd"/>
      <w:r w:rsidRPr="006247BC">
        <w:rPr>
          <w:rFonts w:ascii="Times New Roman" w:hAnsi="Times New Roman" w:cs="Times New Roman"/>
        </w:rPr>
        <w:t xml:space="preserve"> cases, we used IOP measurements of the affected eye. If both eyes were affected or unaffected, a random eye was selected. </w:t>
      </w:r>
      <w:r w:rsidRPr="003E478B">
        <w:rPr>
          <w:rFonts w:ascii="Times New Roman" w:hAnsi="Times New Roman" w:cs="Times New Roman"/>
          <w:b/>
          <w:i/>
        </w:rPr>
        <w:t xml:space="preserve">IOP was not included in the definition of </w:t>
      </w:r>
      <w:proofErr w:type="spellStart"/>
      <w:r w:rsidRPr="003E478B">
        <w:rPr>
          <w:rFonts w:ascii="Times New Roman" w:hAnsi="Times New Roman" w:cs="Times New Roman"/>
          <w:b/>
          <w:i/>
        </w:rPr>
        <w:t>iOAG</w:t>
      </w:r>
      <w:proofErr w:type="spellEnd"/>
      <w:r w:rsidRPr="003E478B">
        <w:rPr>
          <w:rFonts w:ascii="Times New Roman" w:hAnsi="Times New Roman" w:cs="Times New Roman"/>
          <w:b/>
          <w:i/>
        </w:rPr>
        <w:t>.</w:t>
      </w:r>
      <w:r w:rsidRPr="006247BC">
        <w:rPr>
          <w:rFonts w:ascii="Times New Roman" w:hAnsi="Times New Roman" w:cs="Times New Roman"/>
        </w:rPr>
        <w:t>”</w:t>
      </w:r>
    </w:p>
    <w:p w14:paraId="3CC7F06E" w14:textId="77777777" w:rsidR="00C377A0" w:rsidRPr="006247BC" w:rsidRDefault="00C377A0" w:rsidP="00C377A0">
      <w:pPr>
        <w:pStyle w:val="Geenafstand"/>
        <w:jc w:val="both"/>
        <w:rPr>
          <w:rFonts w:ascii="Times New Roman" w:hAnsi="Times New Roman" w:cs="Times New Roman"/>
        </w:rPr>
      </w:pPr>
      <w:r w:rsidRPr="006247BC">
        <w:rPr>
          <w:rFonts w:ascii="Times New Roman" w:hAnsi="Times New Roman" w:cs="Times New Roman"/>
        </w:rPr>
        <w:t> </w:t>
      </w:r>
    </w:p>
    <w:p w14:paraId="5D5F8DBE" w14:textId="77777777" w:rsidR="00C377A0" w:rsidRPr="006247BC" w:rsidRDefault="00C377A0" w:rsidP="00C377A0">
      <w:pPr>
        <w:pStyle w:val="Geenafstand"/>
        <w:jc w:val="both"/>
        <w:rPr>
          <w:rFonts w:ascii="Times New Roman" w:hAnsi="Times New Roman" w:cs="Times New Roman"/>
          <w:b/>
        </w:rPr>
      </w:pPr>
      <w:r w:rsidRPr="006247BC">
        <w:rPr>
          <w:rFonts w:ascii="Times New Roman" w:hAnsi="Times New Roman" w:cs="Times New Roman"/>
          <w:b/>
        </w:rPr>
        <w:t>Was glaucoma also defined by an objective finding, such as the optic disc finding or imaging of the optic disc?</w:t>
      </w:r>
    </w:p>
    <w:p w14:paraId="35CD8D70" w14:textId="4CB25954" w:rsidR="00945174" w:rsidRPr="006247BC" w:rsidRDefault="00945174" w:rsidP="00C377A0">
      <w:pPr>
        <w:pStyle w:val="Geenafstand"/>
        <w:jc w:val="both"/>
        <w:rPr>
          <w:rFonts w:ascii="Times New Roman" w:hAnsi="Times New Roman" w:cs="Times New Roman"/>
        </w:rPr>
      </w:pPr>
      <w:r w:rsidRPr="006247BC">
        <w:rPr>
          <w:rFonts w:ascii="Times New Roman" w:hAnsi="Times New Roman" w:cs="Times New Roman"/>
        </w:rPr>
        <w:t xml:space="preserve">OCT images were taken with SD-OCT (Topcon Corp., Tokyo, Japan) since 2007. </w:t>
      </w:r>
      <w:r w:rsidR="009D01A4">
        <w:rPr>
          <w:rFonts w:ascii="Times New Roman" w:hAnsi="Times New Roman" w:cs="Times New Roman"/>
        </w:rPr>
        <w:t xml:space="preserve">This means that OCT images are not available for the first four visits of RS-I, </w:t>
      </w:r>
      <w:r w:rsidR="00613271">
        <w:rPr>
          <w:rFonts w:ascii="Times New Roman" w:hAnsi="Times New Roman" w:cs="Times New Roman"/>
        </w:rPr>
        <w:t>and</w:t>
      </w:r>
      <w:r w:rsidR="00A04FD7">
        <w:rPr>
          <w:rFonts w:ascii="Times New Roman" w:hAnsi="Times New Roman" w:cs="Times New Roman"/>
        </w:rPr>
        <w:t xml:space="preserve"> the</w:t>
      </w:r>
      <w:r w:rsidR="00613271">
        <w:rPr>
          <w:rFonts w:ascii="Times New Roman" w:hAnsi="Times New Roman" w:cs="Times New Roman"/>
        </w:rPr>
        <w:t xml:space="preserve"> </w:t>
      </w:r>
      <w:r w:rsidR="009D01A4">
        <w:rPr>
          <w:rFonts w:ascii="Times New Roman" w:hAnsi="Times New Roman" w:cs="Times New Roman"/>
        </w:rPr>
        <w:t xml:space="preserve">first two visits of RS-II. Additionally, </w:t>
      </w:r>
      <w:r w:rsidRPr="006247BC">
        <w:rPr>
          <w:rFonts w:ascii="Times New Roman" w:hAnsi="Times New Roman" w:cs="Times New Roman"/>
        </w:rPr>
        <w:t xml:space="preserve">only part of the images are </w:t>
      </w:r>
      <w:r w:rsidR="006B7C35" w:rsidRPr="006247BC">
        <w:rPr>
          <w:rFonts w:ascii="Times New Roman" w:hAnsi="Times New Roman" w:cs="Times New Roman"/>
        </w:rPr>
        <w:t xml:space="preserve">focused on the disc and even less are </w:t>
      </w:r>
      <w:r w:rsidR="001B1939" w:rsidRPr="006247BC">
        <w:rPr>
          <w:rFonts w:ascii="Times New Roman" w:hAnsi="Times New Roman" w:cs="Times New Roman"/>
        </w:rPr>
        <w:t xml:space="preserve">reliably </w:t>
      </w:r>
      <w:r w:rsidR="006B7C35" w:rsidRPr="006247BC">
        <w:rPr>
          <w:rFonts w:ascii="Times New Roman" w:hAnsi="Times New Roman" w:cs="Times New Roman"/>
        </w:rPr>
        <w:t xml:space="preserve">segmented. </w:t>
      </w:r>
      <w:r w:rsidR="001B1939" w:rsidRPr="006247BC">
        <w:rPr>
          <w:rFonts w:ascii="Times New Roman" w:hAnsi="Times New Roman" w:cs="Times New Roman"/>
        </w:rPr>
        <w:t xml:space="preserve">Fundus images were </w:t>
      </w:r>
      <w:r w:rsidR="009D01A4">
        <w:rPr>
          <w:rFonts w:ascii="Times New Roman" w:hAnsi="Times New Roman" w:cs="Times New Roman"/>
        </w:rPr>
        <w:t xml:space="preserve">available and were </w:t>
      </w:r>
      <w:r w:rsidR="001B1939" w:rsidRPr="006247BC">
        <w:rPr>
          <w:rFonts w:ascii="Times New Roman" w:hAnsi="Times New Roman" w:cs="Times New Roman"/>
        </w:rPr>
        <w:t xml:space="preserve">used </w:t>
      </w:r>
      <w:r w:rsidR="009D01A4">
        <w:rPr>
          <w:rFonts w:ascii="Times New Roman" w:hAnsi="Times New Roman" w:cs="Times New Roman"/>
        </w:rPr>
        <w:t xml:space="preserve">rather </w:t>
      </w:r>
      <w:r w:rsidR="001B1939" w:rsidRPr="006247BC">
        <w:rPr>
          <w:rFonts w:ascii="Times New Roman" w:hAnsi="Times New Roman" w:cs="Times New Roman"/>
        </w:rPr>
        <w:t>to exclude other cases of visual field loss in participants that showed visual field defects</w:t>
      </w:r>
      <w:r w:rsidR="009D01A4">
        <w:rPr>
          <w:rFonts w:ascii="Times New Roman" w:hAnsi="Times New Roman" w:cs="Times New Roman"/>
        </w:rPr>
        <w:t xml:space="preserve"> than to observe optic disc abnormalities</w:t>
      </w:r>
      <w:r w:rsidR="001B1939" w:rsidRPr="006247BC">
        <w:rPr>
          <w:rFonts w:ascii="Times New Roman" w:hAnsi="Times New Roman" w:cs="Times New Roman"/>
        </w:rPr>
        <w:t xml:space="preserve">. </w:t>
      </w:r>
    </w:p>
    <w:p w14:paraId="29B7CC3E" w14:textId="77777777" w:rsidR="00945174" w:rsidRPr="006247BC" w:rsidRDefault="00945174" w:rsidP="00C377A0">
      <w:pPr>
        <w:pStyle w:val="Geenafstand"/>
        <w:jc w:val="both"/>
        <w:rPr>
          <w:rFonts w:ascii="Times New Roman" w:hAnsi="Times New Roman" w:cs="Times New Roman"/>
          <w:b/>
        </w:rPr>
      </w:pPr>
    </w:p>
    <w:p w14:paraId="0B23361A" w14:textId="77777777" w:rsidR="00C377A0" w:rsidRPr="006247BC" w:rsidRDefault="00C377A0" w:rsidP="00C377A0">
      <w:pPr>
        <w:pStyle w:val="Geenafstand"/>
        <w:jc w:val="both"/>
        <w:rPr>
          <w:rFonts w:ascii="Times New Roman" w:hAnsi="Times New Roman" w:cs="Times New Roman"/>
          <w:b/>
        </w:rPr>
      </w:pPr>
      <w:r w:rsidRPr="006247BC">
        <w:rPr>
          <w:rFonts w:ascii="Times New Roman" w:hAnsi="Times New Roman" w:cs="Times New Roman"/>
          <w:b/>
        </w:rPr>
        <w:t>Were the incident cases of glaucoma or controls being treated in any case prior to their diagnoses?</w:t>
      </w:r>
    </w:p>
    <w:p w14:paraId="60DF332C" w14:textId="78FD3AE8" w:rsidR="006B7C35" w:rsidRPr="006247BC" w:rsidRDefault="00613271" w:rsidP="00C377A0">
      <w:pPr>
        <w:pStyle w:val="Geenafstand"/>
        <w:jc w:val="both"/>
        <w:rPr>
          <w:rFonts w:ascii="Times New Roman" w:hAnsi="Times New Roman" w:cs="Times New Roman"/>
        </w:rPr>
      </w:pPr>
      <w:r>
        <w:rPr>
          <w:rFonts w:ascii="Times New Roman" w:hAnsi="Times New Roman" w:cs="Times New Roman"/>
        </w:rPr>
        <w:t>Thank you for this comment. We understand that it might be useful to present the number of treated glaucoma cases in our baseline characteristics table. Unfortunately, detailed information on prior treatment/surgery for glaucoma is limited (only present for RS-I), and therefore we did not include this variable as covariate in our models. It is thus possible that i</w:t>
      </w:r>
      <w:r w:rsidR="00353407" w:rsidRPr="006247BC">
        <w:rPr>
          <w:rFonts w:ascii="Times New Roman" w:hAnsi="Times New Roman" w:cs="Times New Roman"/>
        </w:rPr>
        <w:t xml:space="preserve">ncident glaucoma cases have received treatment </w:t>
      </w:r>
      <w:r w:rsidR="00353407" w:rsidRPr="006247BC">
        <w:rPr>
          <w:rFonts w:ascii="Times New Roman" w:hAnsi="Times New Roman" w:cs="Times New Roman"/>
        </w:rPr>
        <w:lastRenderedPageBreak/>
        <w:t xml:space="preserve">for glaucoma </w:t>
      </w:r>
      <w:r>
        <w:rPr>
          <w:rFonts w:ascii="Times New Roman" w:hAnsi="Times New Roman" w:cs="Times New Roman"/>
        </w:rPr>
        <w:t>in between two</w:t>
      </w:r>
      <w:r w:rsidR="00353407" w:rsidRPr="006247BC">
        <w:rPr>
          <w:rFonts w:ascii="Times New Roman" w:hAnsi="Times New Roman" w:cs="Times New Roman"/>
        </w:rPr>
        <w:t xml:space="preserve"> research visits.</w:t>
      </w:r>
      <w:r w:rsidR="004A0082">
        <w:rPr>
          <w:rFonts w:ascii="Times New Roman" w:hAnsi="Times New Roman" w:cs="Times New Roman"/>
        </w:rPr>
        <w:t xml:space="preserve"> However, since all participants were </w:t>
      </w:r>
      <w:r w:rsidR="00A04FD7">
        <w:rPr>
          <w:rFonts w:ascii="Times New Roman" w:hAnsi="Times New Roman" w:cs="Times New Roman"/>
        </w:rPr>
        <w:t xml:space="preserve">(confirmed by examination) </w:t>
      </w:r>
      <w:r w:rsidR="004A0082">
        <w:rPr>
          <w:rFonts w:ascii="Times New Roman" w:hAnsi="Times New Roman" w:cs="Times New Roman"/>
        </w:rPr>
        <w:t xml:space="preserve">free of OAG at baseline, treatment for glaucoma could not have been longer than maximum of one follow-up visit. </w:t>
      </w:r>
      <w:r>
        <w:rPr>
          <w:rFonts w:ascii="Times New Roman" w:hAnsi="Times New Roman" w:cs="Times New Roman"/>
        </w:rPr>
        <w:t>Although not having this data is a limitation of this study, we do not think it is an important confounding factor, since we do not expect that glaucoma treatment would influence one’s diet. More importantly, dietary information was collected at baseline, with all participants free of OAG.</w:t>
      </w:r>
      <w:r w:rsidR="000075F7">
        <w:rPr>
          <w:rFonts w:ascii="Times New Roman" w:hAnsi="Times New Roman" w:cs="Times New Roman"/>
        </w:rPr>
        <w:t xml:space="preserve"> Therefore, if glaucoma presence o</w:t>
      </w:r>
      <w:r w:rsidR="00B330AE">
        <w:rPr>
          <w:rFonts w:ascii="Times New Roman" w:hAnsi="Times New Roman" w:cs="Times New Roman"/>
        </w:rPr>
        <w:t>r</w:t>
      </w:r>
      <w:r w:rsidR="000075F7">
        <w:rPr>
          <w:rFonts w:ascii="Times New Roman" w:hAnsi="Times New Roman" w:cs="Times New Roman"/>
        </w:rPr>
        <w:t xml:space="preserve"> glaucoma treatment would have an effect on dietary intake, this would not be applicable in our study.</w:t>
      </w:r>
      <w:r w:rsidR="00702B66">
        <w:rPr>
          <w:rFonts w:ascii="Times New Roman" w:hAnsi="Times New Roman" w:cs="Times New Roman"/>
        </w:rPr>
        <w:t xml:space="preserve"> We have added a short sentence explaining this in lines </w:t>
      </w:r>
      <w:r w:rsidR="0010234A">
        <w:rPr>
          <w:rFonts w:ascii="Times New Roman" w:hAnsi="Times New Roman" w:cs="Times New Roman"/>
        </w:rPr>
        <w:t>312-316</w:t>
      </w:r>
      <w:r w:rsidR="00702B66">
        <w:rPr>
          <w:rFonts w:ascii="Times New Roman" w:hAnsi="Times New Roman" w:cs="Times New Roman"/>
        </w:rPr>
        <w:t xml:space="preserve"> of the manuscript. </w:t>
      </w:r>
      <w:r w:rsidR="000075F7">
        <w:rPr>
          <w:rFonts w:ascii="Times New Roman" w:hAnsi="Times New Roman" w:cs="Times New Roman"/>
        </w:rPr>
        <w:t xml:space="preserve"> </w:t>
      </w:r>
      <w:r>
        <w:rPr>
          <w:rFonts w:ascii="Times New Roman" w:hAnsi="Times New Roman" w:cs="Times New Roman"/>
        </w:rPr>
        <w:t xml:space="preserve"> </w:t>
      </w:r>
    </w:p>
    <w:p w14:paraId="6DBB13DF" w14:textId="77777777" w:rsidR="00C377A0" w:rsidRPr="006247BC" w:rsidRDefault="00C377A0" w:rsidP="00C377A0">
      <w:pPr>
        <w:pStyle w:val="Geenafstand"/>
        <w:jc w:val="both"/>
        <w:rPr>
          <w:rFonts w:ascii="Times New Roman" w:hAnsi="Times New Roman" w:cs="Times New Roman"/>
        </w:rPr>
      </w:pPr>
      <w:r w:rsidRPr="006247BC">
        <w:rPr>
          <w:rFonts w:ascii="Times New Roman" w:hAnsi="Times New Roman" w:cs="Times New Roman"/>
        </w:rPr>
        <w:t> </w:t>
      </w:r>
    </w:p>
    <w:p w14:paraId="3CF639A3" w14:textId="77777777" w:rsidR="00C377A0" w:rsidRPr="006247BC" w:rsidRDefault="00C377A0" w:rsidP="00C377A0">
      <w:pPr>
        <w:pStyle w:val="Geenafstand"/>
        <w:jc w:val="both"/>
        <w:rPr>
          <w:rFonts w:ascii="Times New Roman" w:hAnsi="Times New Roman" w:cs="Times New Roman"/>
          <w:b/>
        </w:rPr>
      </w:pPr>
      <w:r w:rsidRPr="006247BC">
        <w:rPr>
          <w:rFonts w:ascii="Times New Roman" w:hAnsi="Times New Roman" w:cs="Times New Roman"/>
          <w:b/>
        </w:rPr>
        <w:t>"As we did not observe an association between dietary nitrate intake and IOP, nitrate may protect against glaucoma via other, IOP-independent, mechanisms." The authors should avoid making statements such as "nitrate is protective" since what they have found is a statistical association.</w:t>
      </w:r>
    </w:p>
    <w:p w14:paraId="4D0E0425" w14:textId="33C7AF24" w:rsidR="00C377A0" w:rsidRPr="006247BC" w:rsidRDefault="00353407" w:rsidP="00C377A0">
      <w:pPr>
        <w:pStyle w:val="Geenafstand"/>
        <w:jc w:val="both"/>
        <w:rPr>
          <w:rFonts w:ascii="Times New Roman" w:hAnsi="Times New Roman" w:cs="Times New Roman"/>
        </w:rPr>
      </w:pPr>
      <w:r w:rsidRPr="006247BC">
        <w:rPr>
          <w:rFonts w:ascii="Times New Roman" w:hAnsi="Times New Roman" w:cs="Times New Roman"/>
        </w:rPr>
        <w:t>We agree that</w:t>
      </w:r>
      <w:r w:rsidR="001B1939" w:rsidRPr="006247BC">
        <w:rPr>
          <w:rFonts w:ascii="Times New Roman" w:hAnsi="Times New Roman" w:cs="Times New Roman"/>
        </w:rPr>
        <w:t>,</w:t>
      </w:r>
      <w:r w:rsidRPr="006247BC">
        <w:rPr>
          <w:rFonts w:ascii="Times New Roman" w:hAnsi="Times New Roman" w:cs="Times New Roman"/>
        </w:rPr>
        <w:t xml:space="preserve"> although our findings confirm earlier reported associations between dietary nitrate intake and OAG, intervention studies are necessary to investigate and confirm the association between dietary nitrate intake and </w:t>
      </w:r>
      <w:proofErr w:type="spellStart"/>
      <w:r w:rsidRPr="006247BC">
        <w:rPr>
          <w:rFonts w:ascii="Times New Roman" w:hAnsi="Times New Roman" w:cs="Times New Roman"/>
        </w:rPr>
        <w:t>iOAG</w:t>
      </w:r>
      <w:proofErr w:type="spellEnd"/>
      <w:r w:rsidRPr="006247BC">
        <w:rPr>
          <w:rFonts w:ascii="Times New Roman" w:hAnsi="Times New Roman" w:cs="Times New Roman"/>
        </w:rPr>
        <w:t>. Therefore</w:t>
      </w:r>
      <w:r w:rsidR="00762881">
        <w:rPr>
          <w:rFonts w:ascii="Times New Roman" w:hAnsi="Times New Roman" w:cs="Times New Roman"/>
        </w:rPr>
        <w:t>,</w:t>
      </w:r>
      <w:r w:rsidRPr="006247BC">
        <w:rPr>
          <w:rFonts w:ascii="Times New Roman" w:hAnsi="Times New Roman" w:cs="Times New Roman"/>
        </w:rPr>
        <w:t xml:space="preserve"> we </w:t>
      </w:r>
      <w:r w:rsidR="007F27EC">
        <w:rPr>
          <w:rFonts w:ascii="Times New Roman" w:hAnsi="Times New Roman" w:cs="Times New Roman"/>
        </w:rPr>
        <w:t xml:space="preserve">will </w:t>
      </w:r>
      <w:r w:rsidRPr="006247BC">
        <w:rPr>
          <w:rFonts w:ascii="Times New Roman" w:hAnsi="Times New Roman" w:cs="Times New Roman"/>
        </w:rPr>
        <w:t xml:space="preserve">change all references to “protective (effect)” to “association/associated with”. </w:t>
      </w:r>
    </w:p>
    <w:p w14:paraId="2DC1E8CB" w14:textId="77777777" w:rsidR="00353407" w:rsidRPr="006247BC" w:rsidRDefault="00353407" w:rsidP="00C377A0">
      <w:pPr>
        <w:pStyle w:val="Geenafstand"/>
        <w:jc w:val="both"/>
        <w:rPr>
          <w:rFonts w:ascii="Times New Roman" w:hAnsi="Times New Roman" w:cs="Times New Roman"/>
        </w:rPr>
      </w:pPr>
    </w:p>
    <w:p w14:paraId="030C7610" w14:textId="77777777" w:rsidR="00C377A0" w:rsidRPr="006247BC" w:rsidRDefault="00C377A0" w:rsidP="00C377A0">
      <w:pPr>
        <w:pStyle w:val="Geenafstand"/>
        <w:jc w:val="both"/>
        <w:rPr>
          <w:rFonts w:ascii="Times New Roman" w:hAnsi="Times New Roman" w:cs="Times New Roman"/>
          <w:b/>
        </w:rPr>
      </w:pPr>
      <w:r w:rsidRPr="006247BC">
        <w:rPr>
          <w:rFonts w:ascii="Times New Roman" w:hAnsi="Times New Roman" w:cs="Times New Roman"/>
          <w:b/>
        </w:rPr>
        <w:t>There is very little association between ischemia--reperfusion and glaucoma pathogenesis hence the statements on page nine are irrelevant.</w:t>
      </w:r>
    </w:p>
    <w:p w14:paraId="1019EDC7" w14:textId="73FDF47A" w:rsidR="00C377A0" w:rsidRPr="006247BC" w:rsidRDefault="001B1939" w:rsidP="00C377A0">
      <w:pPr>
        <w:pStyle w:val="Geenafstand"/>
        <w:jc w:val="both"/>
        <w:rPr>
          <w:rFonts w:ascii="Times New Roman" w:hAnsi="Times New Roman" w:cs="Times New Roman"/>
        </w:rPr>
      </w:pPr>
      <w:r w:rsidRPr="006247BC">
        <w:rPr>
          <w:rFonts w:ascii="Times New Roman" w:hAnsi="Times New Roman" w:cs="Times New Roman"/>
        </w:rPr>
        <w:t xml:space="preserve">Thank you for this suggestion. Although the evidence for the association between ischemia--reperfusion and glaucoma pathogenesis might be scarce, this is only one possible pathway that is addressed in explaining the inverse association between dietary nitrate intake and glaucoma incidence. </w:t>
      </w:r>
      <w:r w:rsidR="000A4BA4">
        <w:rPr>
          <w:rFonts w:ascii="Times New Roman" w:hAnsi="Times New Roman" w:cs="Times New Roman"/>
        </w:rPr>
        <w:t>Nevertheless, we will adjust the manuscript</w:t>
      </w:r>
      <w:r w:rsidR="00A668ED">
        <w:rPr>
          <w:rFonts w:ascii="Times New Roman" w:hAnsi="Times New Roman" w:cs="Times New Roman"/>
        </w:rPr>
        <w:t xml:space="preserve"> (lines: </w:t>
      </w:r>
      <w:r w:rsidR="00B3009F">
        <w:rPr>
          <w:rFonts w:ascii="Times New Roman" w:hAnsi="Times New Roman" w:cs="Times New Roman"/>
        </w:rPr>
        <w:t>27</w:t>
      </w:r>
      <w:r w:rsidR="0054197D">
        <w:rPr>
          <w:rFonts w:ascii="Times New Roman" w:hAnsi="Times New Roman" w:cs="Times New Roman"/>
        </w:rPr>
        <w:t>1</w:t>
      </w:r>
      <w:r w:rsidR="00B3009F">
        <w:rPr>
          <w:rFonts w:ascii="Times New Roman" w:hAnsi="Times New Roman" w:cs="Times New Roman"/>
        </w:rPr>
        <w:t>-28</w:t>
      </w:r>
      <w:r w:rsidR="0054197D">
        <w:rPr>
          <w:rFonts w:ascii="Times New Roman" w:hAnsi="Times New Roman" w:cs="Times New Roman"/>
        </w:rPr>
        <w:t>8</w:t>
      </w:r>
      <w:r w:rsidR="00A668ED">
        <w:rPr>
          <w:rFonts w:ascii="Times New Roman" w:hAnsi="Times New Roman" w:cs="Times New Roman"/>
        </w:rPr>
        <w:t>)</w:t>
      </w:r>
      <w:r w:rsidR="000A4BA4">
        <w:rPr>
          <w:rFonts w:ascii="Times New Roman" w:hAnsi="Times New Roman" w:cs="Times New Roman"/>
        </w:rPr>
        <w:t xml:space="preserve"> so that this statement is less strong and the focus i</w:t>
      </w:r>
      <w:r w:rsidR="007B514A">
        <w:rPr>
          <w:rFonts w:ascii="Times New Roman" w:hAnsi="Times New Roman" w:cs="Times New Roman"/>
        </w:rPr>
        <w:t xml:space="preserve">s more on (a combination with) </w:t>
      </w:r>
      <w:r w:rsidR="000A4BA4">
        <w:rPr>
          <w:rFonts w:ascii="Times New Roman" w:hAnsi="Times New Roman" w:cs="Times New Roman"/>
        </w:rPr>
        <w:t>other pathway</w:t>
      </w:r>
      <w:r w:rsidR="007B514A">
        <w:rPr>
          <w:rFonts w:ascii="Times New Roman" w:hAnsi="Times New Roman" w:cs="Times New Roman"/>
        </w:rPr>
        <w:t>s</w:t>
      </w:r>
      <w:r w:rsidR="000A4BA4">
        <w:rPr>
          <w:rFonts w:ascii="Times New Roman" w:hAnsi="Times New Roman" w:cs="Times New Roman"/>
        </w:rPr>
        <w:t xml:space="preserve">, rather than this pathway alone. </w:t>
      </w:r>
    </w:p>
    <w:p w14:paraId="4DC393FB" w14:textId="77777777" w:rsidR="00353407" w:rsidRPr="006247BC" w:rsidRDefault="00353407" w:rsidP="00C377A0">
      <w:pPr>
        <w:pStyle w:val="Geenafstand"/>
        <w:jc w:val="both"/>
        <w:rPr>
          <w:rFonts w:ascii="Times New Roman" w:hAnsi="Times New Roman" w:cs="Times New Roman"/>
        </w:rPr>
      </w:pPr>
    </w:p>
    <w:p w14:paraId="6310E6DD" w14:textId="77777777" w:rsidR="00C377A0" w:rsidRPr="006247BC" w:rsidRDefault="00C377A0" w:rsidP="00C377A0">
      <w:pPr>
        <w:pStyle w:val="Geenafstand"/>
        <w:jc w:val="both"/>
        <w:rPr>
          <w:rFonts w:ascii="Times New Roman" w:hAnsi="Times New Roman" w:cs="Times New Roman"/>
          <w:b/>
        </w:rPr>
      </w:pPr>
      <w:r w:rsidRPr="006247BC">
        <w:rPr>
          <w:rFonts w:ascii="Times New Roman" w:hAnsi="Times New Roman" w:cs="Times New Roman"/>
          <w:b/>
        </w:rPr>
        <w:t xml:space="preserve">If I am calculating correctly it has been over 20 years since the incident cases average </w:t>
      </w:r>
      <w:proofErr w:type="spellStart"/>
      <w:r w:rsidRPr="006247BC">
        <w:rPr>
          <w:rFonts w:ascii="Times New Roman" w:hAnsi="Times New Roman" w:cs="Times New Roman"/>
          <w:b/>
        </w:rPr>
        <w:t>followup</w:t>
      </w:r>
      <w:proofErr w:type="spellEnd"/>
      <w:r w:rsidRPr="006247BC">
        <w:rPr>
          <w:rFonts w:ascii="Times New Roman" w:hAnsi="Times New Roman" w:cs="Times New Roman"/>
          <w:b/>
        </w:rPr>
        <w:t xml:space="preserve"> occurred, that is 10-20 years after the start of a study in 1991.  How much might the diet of persons in this population have changed since then?  Thus, is this study still relevant to today? 30 years ago eating more vegetables was not the vogue it is today.</w:t>
      </w:r>
    </w:p>
    <w:p w14:paraId="6B9F8D5E" w14:textId="7489BC0D" w:rsidR="00222933" w:rsidRDefault="00F33775" w:rsidP="00222933">
      <w:pPr>
        <w:pStyle w:val="Geenafstand"/>
        <w:jc w:val="both"/>
        <w:rPr>
          <w:rFonts w:ascii="Times New Roman" w:hAnsi="Times New Roman" w:cs="Times New Roman"/>
        </w:rPr>
      </w:pPr>
      <w:r w:rsidRPr="006247BC">
        <w:rPr>
          <w:rFonts w:ascii="Times New Roman" w:hAnsi="Times New Roman" w:cs="Times New Roman"/>
        </w:rPr>
        <w:t>We agree that the baseline dates of all three cohorts (RS-I, 1991-1993; RS-II, 2000-2001; RS-III, 2006-2008) are already quite some years ago</w:t>
      </w:r>
      <w:r w:rsidR="0086658D" w:rsidRPr="006247BC">
        <w:rPr>
          <w:rFonts w:ascii="Times New Roman" w:hAnsi="Times New Roman" w:cs="Times New Roman"/>
        </w:rPr>
        <w:t xml:space="preserve"> and that dietary patterns in general have changed over time</w:t>
      </w:r>
      <w:r w:rsidRPr="006247BC">
        <w:rPr>
          <w:rFonts w:ascii="Times New Roman" w:hAnsi="Times New Roman" w:cs="Times New Roman"/>
        </w:rPr>
        <w:t xml:space="preserve">. However, </w:t>
      </w:r>
      <w:r w:rsidR="006B6414">
        <w:rPr>
          <w:rFonts w:ascii="Times New Roman" w:hAnsi="Times New Roman" w:cs="Times New Roman"/>
        </w:rPr>
        <w:t xml:space="preserve">since dietary recommendations are not standard of care for glaucoma patients, we believe that </w:t>
      </w:r>
      <w:r w:rsidR="006B6414" w:rsidRPr="006B6414">
        <w:rPr>
          <w:rFonts w:ascii="Times New Roman" w:hAnsi="Times New Roman" w:cs="Times New Roman"/>
        </w:rPr>
        <w:t xml:space="preserve">this </w:t>
      </w:r>
      <w:r w:rsidR="006B6414">
        <w:rPr>
          <w:rFonts w:ascii="Times New Roman" w:hAnsi="Times New Roman" w:cs="Times New Roman"/>
        </w:rPr>
        <w:t xml:space="preserve">would </w:t>
      </w:r>
      <w:r w:rsidR="006B6414" w:rsidRPr="006B6414">
        <w:rPr>
          <w:rFonts w:ascii="Times New Roman" w:hAnsi="Times New Roman" w:cs="Times New Roman"/>
        </w:rPr>
        <w:t>likely</w:t>
      </w:r>
      <w:r w:rsidR="006B6414">
        <w:rPr>
          <w:rFonts w:ascii="Times New Roman" w:hAnsi="Times New Roman" w:cs="Times New Roman"/>
        </w:rPr>
        <w:t xml:space="preserve"> lead to </w:t>
      </w:r>
      <w:r w:rsidR="006B6414" w:rsidRPr="006B6414">
        <w:rPr>
          <w:rFonts w:ascii="Times New Roman" w:hAnsi="Times New Roman" w:cs="Times New Roman"/>
        </w:rPr>
        <w:t>non-differential</w:t>
      </w:r>
      <w:r w:rsidR="006B6414">
        <w:rPr>
          <w:rFonts w:ascii="Times New Roman" w:hAnsi="Times New Roman" w:cs="Times New Roman"/>
        </w:rPr>
        <w:t xml:space="preserve"> </w:t>
      </w:r>
      <w:r w:rsidR="006B6414" w:rsidRPr="006B6414">
        <w:rPr>
          <w:rFonts w:ascii="Times New Roman" w:hAnsi="Times New Roman" w:cs="Times New Roman"/>
        </w:rPr>
        <w:t xml:space="preserve">misclassification </w:t>
      </w:r>
      <w:r w:rsidR="006B6414">
        <w:rPr>
          <w:rFonts w:ascii="Times New Roman" w:hAnsi="Times New Roman" w:cs="Times New Roman"/>
        </w:rPr>
        <w:t>(</w:t>
      </w:r>
      <w:r w:rsidR="006B6414" w:rsidRPr="006B6414">
        <w:rPr>
          <w:rFonts w:ascii="Times New Roman" w:hAnsi="Times New Roman" w:cs="Times New Roman"/>
        </w:rPr>
        <w:t>that causes a bias towards the null hypothesis</w:t>
      </w:r>
      <w:r w:rsidR="006B6414">
        <w:rPr>
          <w:rFonts w:ascii="Times New Roman" w:hAnsi="Times New Roman" w:cs="Times New Roman"/>
        </w:rPr>
        <w:t>)</w:t>
      </w:r>
      <w:r w:rsidR="006B6414" w:rsidRPr="006B6414">
        <w:rPr>
          <w:rFonts w:ascii="Times New Roman" w:hAnsi="Times New Roman" w:cs="Times New Roman"/>
        </w:rPr>
        <w:t xml:space="preserve">, </w:t>
      </w:r>
      <w:r w:rsidR="006B6414">
        <w:rPr>
          <w:rFonts w:ascii="Times New Roman" w:hAnsi="Times New Roman" w:cs="Times New Roman"/>
        </w:rPr>
        <w:t xml:space="preserve">since we would expect that glaucoma cases would change their diet </w:t>
      </w:r>
      <w:r w:rsidR="00222933">
        <w:rPr>
          <w:rFonts w:ascii="Times New Roman" w:hAnsi="Times New Roman" w:cs="Times New Roman"/>
        </w:rPr>
        <w:t>similarly</w:t>
      </w:r>
      <w:r w:rsidR="006B6414">
        <w:rPr>
          <w:rFonts w:ascii="Times New Roman" w:hAnsi="Times New Roman" w:cs="Times New Roman"/>
        </w:rPr>
        <w:t xml:space="preserve"> to our control population and vice versa. </w:t>
      </w:r>
    </w:p>
    <w:p w14:paraId="7540FC22" w14:textId="77777777" w:rsidR="00222933" w:rsidRDefault="00222933" w:rsidP="00222933">
      <w:pPr>
        <w:pStyle w:val="Geenafstand"/>
        <w:jc w:val="both"/>
        <w:rPr>
          <w:rFonts w:ascii="Times New Roman" w:hAnsi="Times New Roman" w:cs="Times New Roman"/>
        </w:rPr>
      </w:pPr>
    </w:p>
    <w:p w14:paraId="0674DDAB" w14:textId="135F0B7D" w:rsidR="00222933" w:rsidRPr="006247BC" w:rsidRDefault="00222933" w:rsidP="00222933">
      <w:pPr>
        <w:pStyle w:val="Geenafstand"/>
        <w:jc w:val="both"/>
        <w:rPr>
          <w:rFonts w:ascii="Times New Roman" w:hAnsi="Times New Roman" w:cs="Times New Roman"/>
        </w:rPr>
      </w:pPr>
      <w:r>
        <w:rPr>
          <w:rFonts w:ascii="Times New Roman" w:hAnsi="Times New Roman" w:cs="Times New Roman"/>
        </w:rPr>
        <w:t>We thus feel that this study and its findings are still highly relevant today since n</w:t>
      </w:r>
      <w:r w:rsidRPr="006247BC">
        <w:rPr>
          <w:rFonts w:ascii="Times New Roman" w:hAnsi="Times New Roman" w:cs="Times New Roman"/>
        </w:rPr>
        <w:t xml:space="preserve">utrition has become ever more important in medical sciences. Ophthalmology is one of the disciplines which has gained enormous insights from these recent developments. However, to date, no nutritional recommendations have been made for glaucoma patients and research into the association between nutrition (on each level, e.g. diets, food groups, nutrients) and glaucoma is scarce. If associated, this may support diet recommendations in patients that show first signs of developing glaucoma and/or people at-risk for glaucoma as well, impacting millions of people worldwide.  </w:t>
      </w:r>
    </w:p>
    <w:p w14:paraId="4C68A12B" w14:textId="77777777" w:rsidR="00222933" w:rsidRPr="006247BC" w:rsidRDefault="00222933" w:rsidP="00222933">
      <w:pPr>
        <w:pStyle w:val="Geenafstand"/>
        <w:jc w:val="both"/>
        <w:rPr>
          <w:rFonts w:ascii="Times New Roman" w:hAnsi="Times New Roman" w:cs="Times New Roman"/>
        </w:rPr>
      </w:pPr>
    </w:p>
    <w:p w14:paraId="64FBC35D" w14:textId="6EBDDECE" w:rsidR="00222933" w:rsidRPr="006247BC" w:rsidRDefault="00222933" w:rsidP="00222933">
      <w:pPr>
        <w:pStyle w:val="Geenafstand"/>
        <w:jc w:val="both"/>
        <w:rPr>
          <w:rFonts w:ascii="Times New Roman" w:hAnsi="Times New Roman" w:cs="Times New Roman"/>
        </w:rPr>
      </w:pPr>
      <w:r w:rsidRPr="006247BC">
        <w:rPr>
          <w:rFonts w:ascii="Times New Roman" w:hAnsi="Times New Roman" w:cs="Times New Roman"/>
        </w:rPr>
        <w:t>Especially since diet changes into a vegetarian of vegan diet are becoming more popular, we think that understanding the potential beneficial effects of these changes, thus the effects of vegetables and their nutrients, is more important than ever. We do agree that these findings should be replicated or validated in a</w:t>
      </w:r>
      <w:r>
        <w:rPr>
          <w:rFonts w:ascii="Times New Roman" w:hAnsi="Times New Roman" w:cs="Times New Roman"/>
        </w:rPr>
        <w:t>nother</w:t>
      </w:r>
      <w:r w:rsidRPr="006247BC">
        <w:rPr>
          <w:rFonts w:ascii="Times New Roman" w:hAnsi="Times New Roman" w:cs="Times New Roman"/>
        </w:rPr>
        <w:t xml:space="preserve"> </w:t>
      </w:r>
      <w:r>
        <w:rPr>
          <w:rFonts w:ascii="Times New Roman" w:hAnsi="Times New Roman" w:cs="Times New Roman"/>
        </w:rPr>
        <w:t xml:space="preserve">(preferably, </w:t>
      </w:r>
      <w:r w:rsidR="00510878">
        <w:rPr>
          <w:rFonts w:ascii="Times New Roman" w:hAnsi="Times New Roman" w:cs="Times New Roman"/>
        </w:rPr>
        <w:t>an intervention study</w:t>
      </w:r>
      <w:r>
        <w:rPr>
          <w:rFonts w:ascii="Times New Roman" w:hAnsi="Times New Roman" w:cs="Times New Roman"/>
        </w:rPr>
        <w:t>)</w:t>
      </w:r>
      <w:r w:rsidRPr="006247BC">
        <w:rPr>
          <w:rFonts w:ascii="Times New Roman" w:hAnsi="Times New Roman" w:cs="Times New Roman"/>
        </w:rPr>
        <w:t xml:space="preserve"> study before dietary nitrate intake should be considered as an important public health implication. </w:t>
      </w:r>
    </w:p>
    <w:p w14:paraId="40D91C49" w14:textId="77777777" w:rsidR="00222933" w:rsidRDefault="00222933" w:rsidP="006B6414">
      <w:pPr>
        <w:pStyle w:val="Geenafstand"/>
        <w:jc w:val="both"/>
        <w:rPr>
          <w:rFonts w:ascii="Times New Roman" w:hAnsi="Times New Roman" w:cs="Times New Roman"/>
        </w:rPr>
      </w:pPr>
    </w:p>
    <w:p w14:paraId="62732CE5" w14:textId="57F8DB7A" w:rsidR="006B6414" w:rsidRDefault="00222933" w:rsidP="006B6414">
      <w:pPr>
        <w:pStyle w:val="Geenafstand"/>
        <w:jc w:val="both"/>
        <w:rPr>
          <w:rFonts w:ascii="Times New Roman" w:hAnsi="Times New Roman" w:cs="Times New Roman"/>
        </w:rPr>
      </w:pPr>
      <w:r>
        <w:rPr>
          <w:rFonts w:ascii="Times New Roman" w:hAnsi="Times New Roman" w:cs="Times New Roman"/>
        </w:rPr>
        <w:t xml:space="preserve">To address your question about the change of dietary patterns over time more thoroughly: </w:t>
      </w:r>
    </w:p>
    <w:p w14:paraId="752FEA51" w14:textId="293023D6" w:rsidR="00B817BA" w:rsidRDefault="00ED7EA8" w:rsidP="006B6414">
      <w:pPr>
        <w:pStyle w:val="Geenafstand"/>
        <w:jc w:val="both"/>
        <w:rPr>
          <w:rFonts w:ascii="Times New Roman" w:hAnsi="Times New Roman" w:cs="Times New Roman"/>
        </w:rPr>
      </w:pPr>
      <w:proofErr w:type="spellStart"/>
      <w:r w:rsidRPr="00D350D6">
        <w:rPr>
          <w:rFonts w:ascii="Times New Roman" w:hAnsi="Times New Roman" w:cs="Times New Roman"/>
        </w:rPr>
        <w:lastRenderedPageBreak/>
        <w:t>D</w:t>
      </w:r>
      <w:r w:rsidR="00B817BA" w:rsidRPr="00D350D6">
        <w:rPr>
          <w:rFonts w:ascii="Times New Roman" w:hAnsi="Times New Roman" w:cs="Times New Roman"/>
        </w:rPr>
        <w:t>innisen</w:t>
      </w:r>
      <w:proofErr w:type="spellEnd"/>
      <w:r w:rsidR="00B817BA" w:rsidRPr="00D350D6">
        <w:rPr>
          <w:rFonts w:ascii="Times New Roman" w:hAnsi="Times New Roman" w:cs="Times New Roman"/>
        </w:rPr>
        <w:t xml:space="preserve"> et al. </w:t>
      </w:r>
      <w:r w:rsidR="00505BAE">
        <w:rPr>
          <w:rFonts w:ascii="Times New Roman" w:hAnsi="Times New Roman" w:cs="Times New Roman"/>
          <w:lang w:val="nl-NL"/>
        </w:rPr>
        <w:fldChar w:fldCharType="begin"/>
      </w:r>
      <w:r w:rsidR="00D350D6" w:rsidRPr="00D350D6">
        <w:rPr>
          <w:rFonts w:ascii="Times New Roman" w:hAnsi="Times New Roman" w:cs="Times New Roman"/>
        </w:rPr>
        <w:instrText xml:space="preserve"> ADDIN EN.CITE &lt;EndNote&gt;&lt;Cite&gt;&lt;Author&gt;Dinnissen&lt;/Author&gt;&lt;Year&gt;2021&lt;/Year&gt;&lt;RecNum&gt;82&lt;/RecNum&gt;&lt;DisplayText&gt;&lt;style size="10"&gt;[6]&lt;/style&gt;&lt;/DisplayText&gt;&lt;record&gt;&lt;rec-number&gt;82&lt;/rec-number&gt;&lt;foreign-keys&gt;&lt;key app="EN" db-id="aetxwzwr9t9wxmetvzg52s0vtzwttxaared9" timestamp="1654435769"&gt;82&lt;/key&gt;&lt;/foreign-keys&gt;&lt;ref-type name="Journal Article"&gt;17&lt;/ref-type&gt;&lt;contributors&gt;&lt;authors&gt;&lt;author&gt;Dinnissen, C. S.&lt;/author&gt;&lt;author&gt;Ocké, M. C.&lt;/author&gt;&lt;author&gt;Buurma-Rethans, E. J. M.&lt;/author&gt;&lt;author&gt;van Rossum, C. T. M.&lt;/author&gt;&lt;/authors&gt;&lt;/contributors&gt;&lt;auth-address&gt;National Institute for Public Health and the Environment (RIVM), 3721 BA Bilthoven, The Netherlands.&amp;#xD;Division of Human Nutrition and Health, Wageningen University and Research, 6708 WE Wageningen, The Netherlands.&lt;/auth-address&gt;&lt;titles&gt;&lt;title&gt;Dietary Changes among Adults in The Netherlands in the Period 2007-2010 and 2012-2016. Results from Two Cross-Sectional National Food Consumption Surveys&lt;/title&gt;&lt;secondary-title&gt;Nutrients&lt;/secondary-title&gt;&lt;/titles&gt;&lt;periodical&gt;&lt;full-title&gt;Nutrients&lt;/full-title&gt;&lt;abbr-1&gt;Nutrients&lt;/abbr-1&gt;&lt;/periodical&gt;&lt;volume&gt;13&lt;/volume&gt;&lt;number&gt;5&lt;/number&gt;&lt;keywords&gt;&lt;keyword&gt;0 (Dietary Fiber)&lt;/keyword&gt;&lt;keyword&gt;Adult&lt;/keyword&gt;&lt;keyword&gt;Aged&lt;/keyword&gt;&lt;keyword&gt;Cross-Sectional Studies&lt;/keyword&gt;&lt;keyword&gt;Diet Surveys&lt;/keyword&gt;&lt;keyword&gt;Dietary Fiber&lt;/keyword&gt;&lt;keyword&gt;Edible Grain&lt;/keyword&gt;&lt;keyword&gt;Feeding Behavior&lt;/keyword&gt;&lt;keyword&gt;Female&lt;/keyword&gt;&lt;keyword&gt;Humans&lt;/keyword&gt;&lt;keyword&gt;Male&lt;/keyword&gt;&lt;keyword&gt;Meat&lt;/keyword&gt;&lt;keyword&gt;Middle Aged&lt;/keyword&gt;&lt;keyword&gt;Netherlands&lt;/keyword&gt;&lt;keyword&gt;Young Adult&lt;/keyword&gt;&lt;keyword&gt;dietary change&lt;/keyword&gt;&lt;keyword&gt;educational level&lt;/keyword&gt;&lt;keyword&gt;food consumption&lt;/keyword&gt;&lt;keyword&gt;food monitoring&lt;/keyword&gt;&lt;/keywords&gt;&lt;dates&gt;&lt;year&gt;2021&lt;/year&gt;&lt;pub-dates&gt;&lt;date&gt;Apr 30&lt;/date&gt;&lt;/pub-dates&gt;&lt;/dates&gt;&lt;isbn&gt;2072-6643 (Electronic)&amp;#xD;2072-6643 (Linking)&lt;/isbn&gt;&lt;accession-num&gt;33946365&lt;/accession-num&gt;&lt;urls&gt;&lt;/urls&gt;&lt;/record&gt;&lt;/Cite&gt;&lt;/EndNote&gt;</w:instrText>
      </w:r>
      <w:r w:rsidR="00505BAE">
        <w:rPr>
          <w:rFonts w:ascii="Times New Roman" w:hAnsi="Times New Roman" w:cs="Times New Roman"/>
          <w:lang w:val="nl-NL"/>
        </w:rPr>
        <w:fldChar w:fldCharType="separate"/>
      </w:r>
      <w:r w:rsidR="00D350D6" w:rsidRPr="00D350D6">
        <w:rPr>
          <w:rFonts w:ascii="Times New Roman" w:hAnsi="Times New Roman" w:cs="Times New Roman"/>
          <w:noProof/>
          <w:sz w:val="20"/>
        </w:rPr>
        <w:t>[6]</w:t>
      </w:r>
      <w:r w:rsidR="00505BAE">
        <w:rPr>
          <w:rFonts w:ascii="Times New Roman" w:hAnsi="Times New Roman" w:cs="Times New Roman"/>
          <w:lang w:val="nl-NL"/>
        </w:rPr>
        <w:fldChar w:fldCharType="end"/>
      </w:r>
      <w:r w:rsidR="00505BAE" w:rsidRPr="00505BAE">
        <w:rPr>
          <w:rFonts w:ascii="Times New Roman" w:hAnsi="Times New Roman" w:cs="Times New Roman"/>
        </w:rPr>
        <w:t xml:space="preserve"> </w:t>
      </w:r>
      <w:r w:rsidR="00B817BA">
        <w:rPr>
          <w:rFonts w:ascii="Times New Roman" w:hAnsi="Times New Roman" w:cs="Times New Roman"/>
        </w:rPr>
        <w:t xml:space="preserve">recently published an article in </w:t>
      </w:r>
      <w:r w:rsidR="00B817BA">
        <w:rPr>
          <w:rFonts w:ascii="Times New Roman" w:hAnsi="Times New Roman" w:cs="Times New Roman"/>
          <w:i/>
        </w:rPr>
        <w:t>Nutrients</w:t>
      </w:r>
      <w:r w:rsidR="00B817BA">
        <w:rPr>
          <w:rFonts w:ascii="Times New Roman" w:hAnsi="Times New Roman" w:cs="Times New Roman"/>
        </w:rPr>
        <w:t xml:space="preserve"> where they </w:t>
      </w:r>
      <w:r w:rsidR="00B817BA" w:rsidRPr="00B817BA">
        <w:rPr>
          <w:rFonts w:ascii="Times New Roman" w:hAnsi="Times New Roman" w:cs="Times New Roman"/>
        </w:rPr>
        <w:t>describe</w:t>
      </w:r>
      <w:r w:rsidR="00B817BA">
        <w:rPr>
          <w:rFonts w:ascii="Times New Roman" w:hAnsi="Times New Roman" w:cs="Times New Roman"/>
        </w:rPr>
        <w:t>d</w:t>
      </w:r>
      <w:r w:rsidR="00B817BA" w:rsidRPr="00B817BA">
        <w:rPr>
          <w:rFonts w:ascii="Times New Roman" w:hAnsi="Times New Roman" w:cs="Times New Roman"/>
        </w:rPr>
        <w:t xml:space="preserve"> changes in dietary intakes of Dutch adults </w:t>
      </w:r>
      <w:r w:rsidR="00B817BA">
        <w:rPr>
          <w:rFonts w:ascii="Times New Roman" w:hAnsi="Times New Roman" w:cs="Times New Roman"/>
        </w:rPr>
        <w:t xml:space="preserve">between 2007-2010 and 2012-2016, and </w:t>
      </w:r>
      <w:r w:rsidR="00B817BA" w:rsidRPr="00B817BA">
        <w:rPr>
          <w:rFonts w:ascii="Times New Roman" w:hAnsi="Times New Roman" w:cs="Times New Roman"/>
        </w:rPr>
        <w:t>evaluate</w:t>
      </w:r>
      <w:r w:rsidR="00B817BA">
        <w:rPr>
          <w:rFonts w:ascii="Times New Roman" w:hAnsi="Times New Roman" w:cs="Times New Roman"/>
        </w:rPr>
        <w:t>d</w:t>
      </w:r>
      <w:r w:rsidR="00B817BA" w:rsidRPr="00B817BA">
        <w:rPr>
          <w:rFonts w:ascii="Times New Roman" w:hAnsi="Times New Roman" w:cs="Times New Roman"/>
        </w:rPr>
        <w:t xml:space="preserve"> these changes by age, gender, and education.</w:t>
      </w:r>
      <w:r w:rsidR="00B817BA">
        <w:rPr>
          <w:rFonts w:ascii="Times New Roman" w:hAnsi="Times New Roman" w:cs="Times New Roman"/>
        </w:rPr>
        <w:t xml:space="preserve"> They demonstrated that there was no significant increase in vegetable intake </w:t>
      </w:r>
      <w:r w:rsidR="00B817BA" w:rsidRPr="00B817BA">
        <w:rPr>
          <w:rFonts w:ascii="Times New Roman" w:hAnsi="Times New Roman" w:cs="Times New Roman"/>
        </w:rPr>
        <w:t xml:space="preserve">for Dutch adults aged 19–69 years </w:t>
      </w:r>
      <w:r w:rsidR="00B817BA">
        <w:rPr>
          <w:rFonts w:ascii="Times New Roman" w:hAnsi="Times New Roman" w:cs="Times New Roman"/>
        </w:rPr>
        <w:t xml:space="preserve">between </w:t>
      </w:r>
      <w:r w:rsidR="00B817BA" w:rsidRPr="00B817BA">
        <w:rPr>
          <w:rFonts w:ascii="Times New Roman" w:hAnsi="Times New Roman" w:cs="Times New Roman"/>
        </w:rPr>
        <w:t>2007–2010 (n = 2106; DNFCS 2007–2010) and 2012–2016 (n = 1540; DNFCS 2007–2010) for the total population</w:t>
      </w:r>
      <w:r w:rsidR="00B817BA">
        <w:rPr>
          <w:rFonts w:ascii="Times New Roman" w:hAnsi="Times New Roman" w:cs="Times New Roman"/>
        </w:rPr>
        <w:t xml:space="preserve">. There was also no difference when they compared the change in vegetable intake over time per sex or per age category (51-69 years being closest to the </w:t>
      </w:r>
      <w:r w:rsidR="00821988">
        <w:rPr>
          <w:rFonts w:ascii="Times New Roman" w:hAnsi="Times New Roman" w:cs="Times New Roman"/>
        </w:rPr>
        <w:t xml:space="preserve">baseline </w:t>
      </w:r>
      <w:r w:rsidR="00B817BA">
        <w:rPr>
          <w:rFonts w:ascii="Times New Roman" w:hAnsi="Times New Roman" w:cs="Times New Roman"/>
        </w:rPr>
        <w:t xml:space="preserve">age used in our study). </w:t>
      </w:r>
      <w:r w:rsidR="00B817BA" w:rsidRPr="00B817BA">
        <w:rPr>
          <w:rFonts w:ascii="Times New Roman" w:hAnsi="Times New Roman" w:cs="Times New Roman"/>
        </w:rPr>
        <w:t>Only in the group with the highest educational level, the mean consumption of vegetables increased</w:t>
      </w:r>
      <w:r w:rsidR="00821988">
        <w:rPr>
          <w:rFonts w:ascii="Times New Roman" w:hAnsi="Times New Roman" w:cs="Times New Roman"/>
        </w:rPr>
        <w:t xml:space="preserve"> over time</w:t>
      </w:r>
      <w:r w:rsidR="00B817BA" w:rsidRPr="00B817BA">
        <w:rPr>
          <w:rFonts w:ascii="Times New Roman" w:hAnsi="Times New Roman" w:cs="Times New Roman"/>
        </w:rPr>
        <w:t>.</w:t>
      </w:r>
      <w:r w:rsidR="00B817BA">
        <w:rPr>
          <w:rFonts w:ascii="Times New Roman" w:hAnsi="Times New Roman" w:cs="Times New Roman"/>
        </w:rPr>
        <w:t xml:space="preserve"> However, since there was no significant difference in education level in our study between cases and controls (Table 1), we assume that changes in vegetable intake would be similar </w:t>
      </w:r>
      <w:r w:rsidR="00821988">
        <w:rPr>
          <w:rFonts w:ascii="Times New Roman" w:hAnsi="Times New Roman" w:cs="Times New Roman"/>
        </w:rPr>
        <w:t>between both groups, leading to non-differential misclassification.</w:t>
      </w:r>
      <w:r w:rsidR="003F0F12">
        <w:rPr>
          <w:rFonts w:ascii="Times New Roman" w:hAnsi="Times New Roman" w:cs="Times New Roman"/>
        </w:rPr>
        <w:t xml:space="preserve"> Moreover, we adjusted for education level in our additional model. </w:t>
      </w:r>
      <w:r w:rsidR="00821988">
        <w:rPr>
          <w:rFonts w:ascii="Times New Roman" w:hAnsi="Times New Roman" w:cs="Times New Roman"/>
        </w:rPr>
        <w:t xml:space="preserve"> </w:t>
      </w:r>
    </w:p>
    <w:p w14:paraId="251057BA" w14:textId="77777777" w:rsidR="00B817BA" w:rsidRDefault="00B817BA" w:rsidP="006B6414">
      <w:pPr>
        <w:pStyle w:val="Geenafstand"/>
        <w:jc w:val="both"/>
        <w:rPr>
          <w:rFonts w:ascii="Times New Roman" w:hAnsi="Times New Roman" w:cs="Times New Roman"/>
        </w:rPr>
      </w:pPr>
    </w:p>
    <w:p w14:paraId="22A2855C" w14:textId="4E357592" w:rsidR="00222933" w:rsidRDefault="00B817BA" w:rsidP="006B6414">
      <w:pPr>
        <w:pStyle w:val="Geenafstand"/>
        <w:jc w:val="both"/>
        <w:rPr>
          <w:rFonts w:ascii="Times New Roman" w:hAnsi="Times New Roman" w:cs="Times New Roman"/>
        </w:rPr>
      </w:pPr>
      <w:r>
        <w:rPr>
          <w:rFonts w:ascii="Times New Roman" w:hAnsi="Times New Roman" w:cs="Times New Roman"/>
        </w:rPr>
        <w:t>Regarding dietary nitrate intake from non-vegetable sources, this article states that the intake of red or processed meat decreased over time. This was applicable to both males and females and seen for all age gro</w:t>
      </w:r>
      <w:r w:rsidR="00222933">
        <w:rPr>
          <w:rFonts w:ascii="Times New Roman" w:hAnsi="Times New Roman" w:cs="Times New Roman"/>
        </w:rPr>
        <w:t xml:space="preserve">ups. </w:t>
      </w:r>
      <w:r w:rsidR="00A84DB1">
        <w:rPr>
          <w:rFonts w:ascii="Times New Roman" w:hAnsi="Times New Roman" w:cs="Times New Roman"/>
        </w:rPr>
        <w:t>Again, we would expect that this decrease is similar for glaucoma cases and controls</w:t>
      </w:r>
      <w:r w:rsidR="00A668ED">
        <w:rPr>
          <w:rFonts w:ascii="Times New Roman" w:hAnsi="Times New Roman" w:cs="Times New Roman"/>
        </w:rPr>
        <w:t>.</w:t>
      </w:r>
    </w:p>
    <w:p w14:paraId="438EF636" w14:textId="5E8855E6" w:rsidR="00AE2047" w:rsidRDefault="00AE2047" w:rsidP="006B6414">
      <w:pPr>
        <w:pStyle w:val="Geenafstand"/>
        <w:jc w:val="both"/>
        <w:rPr>
          <w:rFonts w:ascii="Times New Roman" w:hAnsi="Times New Roman" w:cs="Times New Roman"/>
        </w:rPr>
      </w:pPr>
    </w:p>
    <w:p w14:paraId="2F54420E" w14:textId="0C654D35" w:rsidR="00AE2047" w:rsidRDefault="00AE2047" w:rsidP="00AE2047">
      <w:pPr>
        <w:pStyle w:val="Geenafstand"/>
        <w:jc w:val="both"/>
        <w:rPr>
          <w:rFonts w:ascii="Times New Roman" w:hAnsi="Times New Roman" w:cs="Times New Roman"/>
        </w:rPr>
      </w:pPr>
      <w:r>
        <w:rPr>
          <w:rFonts w:ascii="Times New Roman" w:hAnsi="Times New Roman" w:cs="Times New Roman"/>
        </w:rPr>
        <w:t>Another Dutch study</w:t>
      </w:r>
      <w:r w:rsidR="00375810" w:rsidRPr="00375810">
        <w:t xml:space="preserve"> </w:t>
      </w:r>
      <w:r w:rsidR="00375810">
        <w:rPr>
          <w:rFonts w:ascii="Times New Roman" w:hAnsi="Times New Roman" w:cs="Times New Roman"/>
        </w:rPr>
        <w:fldChar w:fldCharType="begin"/>
      </w:r>
      <w:r w:rsidR="00D350D6">
        <w:rPr>
          <w:rFonts w:ascii="Times New Roman" w:hAnsi="Times New Roman" w:cs="Times New Roman"/>
        </w:rPr>
        <w:instrText xml:space="preserve"> ADDIN EN.CITE &lt;EndNote&gt;&lt;Cite&gt;&lt;Author&gt;Balder&lt;/Author&gt;&lt;Year&gt;2005&lt;/Year&gt;&lt;RecNum&gt;83&lt;/RecNum&gt;&lt;DisplayText&gt;&lt;style size="10"&gt;[7]&lt;/style&gt;&lt;/DisplayText&gt;&lt;record&gt;&lt;rec-number&gt;83&lt;/rec-number&gt;&lt;foreign-keys&gt;&lt;key app="EN" db-id="aetxwzwr9t9wxmetvzg52s0vtzwttxaared9" timestamp="1654435850"&gt;83&lt;/key&gt;&lt;/foreign-keys&gt;&lt;ref-type name="Journal Article"&gt;17&lt;/ref-type&gt;&lt;contributors&gt;&lt;authors&gt;&lt;author&gt;Balder, H. F.&lt;/author&gt;&lt;author&gt;Goldbohm, R. A.&lt;/author&gt;&lt;author&gt;van den Brandt, P. A.&lt;/author&gt;&lt;/authors&gt;&lt;/contributors&gt;&lt;auth-address&gt;Department of Food and Chemical Risk Analysis, TNO Nutrition and Food Research, P.O. Box 360, 3700 AJ Zeist, the Netherlands. balder@voeding.tno.nl&lt;/auth-address&gt;&lt;titles&gt;&lt;title&gt;Dietary patterns associated with male lung cancer risk in the Netherlands Cohort Study&lt;/title&gt;&lt;secondary-title&gt;Cancer Epidemiol Biomarkers Prev&lt;/secondary-title&gt;&lt;/titles&gt;&lt;periodical&gt;&lt;full-title&gt;Cancer Epidemiol Biomarkers Prev&lt;/full-title&gt;&lt;/periodical&gt;&lt;pages&gt;483-90&lt;/pages&gt;&lt;volume&gt;14&lt;/volume&gt;&lt;number&gt;2&lt;/number&gt;&lt;keywords&gt;&lt;keyword&gt;Aged&lt;/keyword&gt;&lt;keyword&gt;Cohort Studies&lt;/keyword&gt;&lt;keyword&gt;Diet&lt;/keyword&gt;&lt;keyword&gt;Diet Surveys&lt;/keyword&gt;&lt;keyword&gt;Food&lt;/keyword&gt;&lt;keyword&gt;Humans&lt;/keyword&gt;&lt;keyword&gt;Lung Neoplasms/ epidemiology&lt;/keyword&gt;&lt;keyword&gt;Male&lt;/keyword&gt;&lt;keyword&gt;Middle Aged&lt;/keyword&gt;&lt;keyword&gt;Netherlands/epidemiology&lt;/keyword&gt;&lt;keyword&gt;Prospective Studies&lt;/keyword&gt;&lt;keyword&gt;Risk Factors&lt;/keyword&gt;&lt;keyword&gt;Smoking&lt;/keyword&gt;&lt;/keywords&gt;&lt;dates&gt;&lt;year&gt;2005&lt;/year&gt;&lt;pub-dates&gt;&lt;date&gt;Feb&lt;/date&gt;&lt;/pub-dates&gt;&lt;/dates&gt;&lt;isbn&gt;1055-9965 (Print)&amp;#xD;1055-9965 (Linking)&lt;/isbn&gt;&lt;accession-num&gt;15734976&lt;/accession-num&gt;&lt;urls&gt;&lt;/urls&gt;&lt;/record&gt;&lt;/Cite&gt;&lt;/EndNote&gt;</w:instrText>
      </w:r>
      <w:r w:rsidR="00375810">
        <w:rPr>
          <w:rFonts w:ascii="Times New Roman" w:hAnsi="Times New Roman" w:cs="Times New Roman"/>
        </w:rPr>
        <w:fldChar w:fldCharType="separate"/>
      </w:r>
      <w:r w:rsidR="00D350D6" w:rsidRPr="00D350D6">
        <w:rPr>
          <w:rFonts w:ascii="Times New Roman" w:hAnsi="Times New Roman" w:cs="Times New Roman"/>
          <w:noProof/>
          <w:sz w:val="20"/>
        </w:rPr>
        <w:t>[7]</w:t>
      </w:r>
      <w:r w:rsidR="00375810">
        <w:rPr>
          <w:rFonts w:ascii="Times New Roman" w:hAnsi="Times New Roman" w:cs="Times New Roman"/>
        </w:rPr>
        <w:fldChar w:fldCharType="end"/>
      </w:r>
      <w:r>
        <w:rPr>
          <w:rFonts w:ascii="Times New Roman" w:hAnsi="Times New Roman" w:cs="Times New Roman"/>
        </w:rPr>
        <w:t>, starting in 1986 (which is more close to the first visit of RS-I) stated that “</w:t>
      </w:r>
      <w:r w:rsidRPr="00AE2047">
        <w:rPr>
          <w:rFonts w:ascii="Times New Roman" w:hAnsi="Times New Roman" w:cs="Times New Roman"/>
        </w:rPr>
        <w:t>Another potential limitation that should be considered is</w:t>
      </w:r>
      <w:r>
        <w:rPr>
          <w:rFonts w:ascii="Times New Roman" w:hAnsi="Times New Roman" w:cs="Times New Roman"/>
        </w:rPr>
        <w:t xml:space="preserve"> </w:t>
      </w:r>
      <w:r w:rsidRPr="00AE2047">
        <w:rPr>
          <w:rFonts w:ascii="Times New Roman" w:hAnsi="Times New Roman" w:cs="Times New Roman"/>
        </w:rPr>
        <w:t>whether the food frequency questionnaire at baseline was a</w:t>
      </w:r>
      <w:r>
        <w:rPr>
          <w:rFonts w:ascii="Times New Roman" w:hAnsi="Times New Roman" w:cs="Times New Roman"/>
        </w:rPr>
        <w:t xml:space="preserve"> </w:t>
      </w:r>
      <w:r w:rsidRPr="00AE2047">
        <w:rPr>
          <w:rFonts w:ascii="Times New Roman" w:hAnsi="Times New Roman" w:cs="Times New Roman"/>
        </w:rPr>
        <w:t>reliable estimate of past and future diet. The stability of dietary</w:t>
      </w:r>
      <w:r>
        <w:rPr>
          <w:rFonts w:ascii="Times New Roman" w:hAnsi="Times New Roman" w:cs="Times New Roman"/>
        </w:rPr>
        <w:t xml:space="preserve"> </w:t>
      </w:r>
      <w:r w:rsidRPr="00AE2047">
        <w:rPr>
          <w:rFonts w:ascii="Times New Roman" w:hAnsi="Times New Roman" w:cs="Times New Roman"/>
        </w:rPr>
        <w:t>habits over time was evaluated from five annually repeated</w:t>
      </w:r>
      <w:r>
        <w:rPr>
          <w:rFonts w:ascii="Times New Roman" w:hAnsi="Times New Roman" w:cs="Times New Roman"/>
        </w:rPr>
        <w:t xml:space="preserve"> </w:t>
      </w:r>
      <w:r w:rsidRPr="00AE2047">
        <w:rPr>
          <w:rFonts w:ascii="Times New Roman" w:hAnsi="Times New Roman" w:cs="Times New Roman"/>
        </w:rPr>
        <w:t>questionnaire administrations in independent random samples</w:t>
      </w:r>
      <w:r>
        <w:rPr>
          <w:rFonts w:ascii="Times New Roman" w:hAnsi="Times New Roman" w:cs="Times New Roman"/>
        </w:rPr>
        <w:t xml:space="preserve"> </w:t>
      </w:r>
      <w:r w:rsidRPr="00AE2047">
        <w:rPr>
          <w:rFonts w:ascii="Times New Roman" w:hAnsi="Times New Roman" w:cs="Times New Roman"/>
        </w:rPr>
        <w:t>of the cohort. The mean intakes barely changed and the correlation between two measurements decreased only slightly</w:t>
      </w:r>
      <w:r>
        <w:rPr>
          <w:rFonts w:ascii="Times New Roman" w:hAnsi="Times New Roman" w:cs="Times New Roman"/>
        </w:rPr>
        <w:t xml:space="preserve"> </w:t>
      </w:r>
      <w:r w:rsidRPr="00AE2047">
        <w:rPr>
          <w:rFonts w:ascii="Times New Roman" w:hAnsi="Times New Roman" w:cs="Times New Roman"/>
        </w:rPr>
        <w:t>over an increasing time interval. It was concluded that the</w:t>
      </w:r>
      <w:r>
        <w:rPr>
          <w:rFonts w:ascii="Times New Roman" w:hAnsi="Times New Roman" w:cs="Times New Roman"/>
        </w:rPr>
        <w:t xml:space="preserve"> </w:t>
      </w:r>
      <w:r w:rsidRPr="00AE2047">
        <w:rPr>
          <w:rFonts w:ascii="Times New Roman" w:hAnsi="Times New Roman" w:cs="Times New Roman"/>
        </w:rPr>
        <w:t>single food frequency questionnaire measurement characterizes dietary habits for a period of at least 5 to 10 years</w:t>
      </w:r>
      <w:r>
        <w:rPr>
          <w:rFonts w:ascii="Times New Roman" w:hAnsi="Times New Roman" w:cs="Times New Roman"/>
        </w:rPr>
        <w:t>.”</w:t>
      </w:r>
      <w:r w:rsidR="00D350D6">
        <w:rPr>
          <w:rFonts w:ascii="Times New Roman" w:hAnsi="Times New Roman" w:cs="Times New Roman"/>
        </w:rPr>
        <w:t xml:space="preserve"> </w:t>
      </w:r>
      <w:r w:rsidR="00D350D6">
        <w:rPr>
          <w:rFonts w:ascii="Times New Roman" w:hAnsi="Times New Roman" w:cs="Times New Roman"/>
          <w:lang w:val="nl-NL"/>
        </w:rPr>
        <w:fldChar w:fldCharType="begin"/>
      </w:r>
      <w:r w:rsidR="00D350D6" w:rsidRPr="00510878">
        <w:rPr>
          <w:rFonts w:ascii="Times New Roman" w:hAnsi="Times New Roman" w:cs="Times New Roman"/>
        </w:rPr>
        <w:instrText xml:space="preserve"> ADDIN EN.CITE &lt;EndNote&gt;&lt;Cite&gt;&lt;Author&gt;Goldbohm&lt;/Author&gt;&lt;Year&gt;1995&lt;/Year&gt;&lt;RecNum&gt;81&lt;/RecNum&gt;&lt;DisplayText&gt;&lt;style size="10"&gt;[8]&lt;/style&gt;&lt;/DisplayText&gt;&lt;record&gt;&lt;rec-number&gt;81&lt;/rec-number&gt;&lt;foreign-keys&gt;&lt;key app="EN" db-id="aetxwzwr9t9wxmetvzg52s0vtzwttxaared9" timestamp="1654435713"&gt;81&lt;/key&gt;&lt;/foreign-keys&gt;&lt;ref-type name="Journal Article"&gt;17&lt;/ref-type&gt;&lt;contributors&gt;&lt;authors&gt;&lt;author&gt;Goldbohm, R. A.&lt;/author&gt;&lt;author&gt;van &amp;apos;t Veer, P.&lt;/author&gt;&lt;author&gt;van den Brandt, P. A.&lt;/author&gt;&lt;author&gt;van &amp;apos;t Hof, M. A.&lt;/author&gt;&lt;author&gt;Brants, H. A.&lt;/author&gt;&lt;author&gt;Sturmans, F.&lt;/author&gt;&lt;author&gt;Hermus, R. J.&lt;/author&gt;&lt;/authors&gt;&lt;/contributors&gt;&lt;auth-address&gt;TNO Nutrition and Food Research Institute, Department of Epidemiology, Zeist, The Netherlands.&lt;/auth-address&gt;&lt;titles&gt;&lt;title&gt;Reproducibility of a food frequency questionnaire and stability of dietary habits determined from five annually repeated measurements&lt;/title&gt;&lt;secondary-title&gt;Eur J Clin Nutr&lt;/secondary-title&gt;&lt;/titles&gt;&lt;periodical&gt;&lt;full-title&gt;Eur J Clin Nutr&lt;/full-title&gt;&lt;/periodical&gt;&lt;pages&gt;420-9&lt;/pages&gt;&lt;volume&gt;49&lt;/volume&gt;&lt;number&gt;6&lt;/number&gt;&lt;keywords&gt;&lt;keyword&gt;Aged&lt;/keyword&gt;&lt;keyword&gt;Bias&lt;/keyword&gt;&lt;keyword&gt;Diet&lt;/keyword&gt;&lt;keyword&gt;Diet Surveys&lt;/keyword&gt;&lt;keyword&gt;Feeding Behavior&lt;/keyword&gt;&lt;keyword&gt;Female&lt;/keyword&gt;&lt;keyword&gt;Follow-Up Studies&lt;/keyword&gt;&lt;keyword&gt;Humans&lt;/keyword&gt;&lt;keyword&gt;Male&lt;/keyword&gt;&lt;keyword&gt;Mid</w:instrText>
      </w:r>
      <w:r w:rsidR="00D350D6">
        <w:rPr>
          <w:rFonts w:ascii="Times New Roman" w:hAnsi="Times New Roman" w:cs="Times New Roman"/>
          <w:lang w:val="nl-NL"/>
        </w:rPr>
        <w:instrText>dle Aged&lt;/keyword&gt;&lt;keyword&gt;Neoplasms/etiology&lt;/keyword&gt;&lt;keyword&gt;Netherlands&lt;/keyword&gt;&lt;keyword&gt;Regression Analysis&lt;/keyword&gt;&lt;keyword&gt;Reproducibility of Results&lt;/keyword&gt;&lt;keyword&gt;Surveys and Questionnaires/standards&lt;/keyword&gt;&lt;/keywords&gt;&lt;dates&gt;&lt;year&gt;1995&lt;/year&gt;&lt;pub-dates&gt;&lt;date&gt;Jun&lt;/date&gt;&lt;/pub-dates&gt;&lt;/dates&gt;&lt;isbn&gt;0954-3007 (Print)&amp;#xD;0954-3007 (Linking)&lt;/isbn&gt;&lt;accession-num&gt;7656885&lt;/accession-num&gt;&lt;urls&gt;&lt;/urls&gt;&lt;/record&gt;&lt;/Cite&gt;&lt;/EndNote&gt;</w:instrText>
      </w:r>
      <w:r w:rsidR="00D350D6">
        <w:rPr>
          <w:rFonts w:ascii="Times New Roman" w:hAnsi="Times New Roman" w:cs="Times New Roman"/>
          <w:lang w:val="nl-NL"/>
        </w:rPr>
        <w:fldChar w:fldCharType="separate"/>
      </w:r>
      <w:r w:rsidR="00D350D6" w:rsidRPr="00D350D6">
        <w:rPr>
          <w:rFonts w:ascii="Times New Roman" w:hAnsi="Times New Roman" w:cs="Times New Roman"/>
          <w:noProof/>
          <w:sz w:val="20"/>
        </w:rPr>
        <w:t>[8]</w:t>
      </w:r>
      <w:r w:rsidR="00D350D6">
        <w:rPr>
          <w:rFonts w:ascii="Times New Roman" w:hAnsi="Times New Roman" w:cs="Times New Roman"/>
          <w:lang w:val="nl-NL"/>
        </w:rPr>
        <w:fldChar w:fldCharType="end"/>
      </w:r>
      <w:r w:rsidR="00D350D6" w:rsidRPr="00D25EFD">
        <w:rPr>
          <w:rFonts w:ascii="Times New Roman" w:hAnsi="Times New Roman" w:cs="Times New Roman"/>
        </w:rPr>
        <w:t xml:space="preserve"> </w:t>
      </w:r>
      <w:r w:rsidRPr="00006A71">
        <w:rPr>
          <w:rFonts w:ascii="Times New Roman" w:hAnsi="Times New Roman" w:cs="Times New Roman"/>
        </w:rPr>
        <w:t xml:space="preserve"> </w:t>
      </w:r>
    </w:p>
    <w:p w14:paraId="4D05BB03" w14:textId="77777777" w:rsidR="00222933" w:rsidRDefault="00222933" w:rsidP="006B6414">
      <w:pPr>
        <w:pStyle w:val="Geenafstand"/>
        <w:jc w:val="both"/>
        <w:rPr>
          <w:rFonts w:ascii="Times New Roman" w:hAnsi="Times New Roman" w:cs="Times New Roman"/>
        </w:rPr>
      </w:pPr>
    </w:p>
    <w:p w14:paraId="2AEC1CAF" w14:textId="5ED4849B" w:rsidR="00F33775" w:rsidRPr="006247BC" w:rsidRDefault="00222933" w:rsidP="00C377A0">
      <w:pPr>
        <w:pStyle w:val="Geenafstand"/>
        <w:jc w:val="both"/>
        <w:rPr>
          <w:rFonts w:ascii="Times New Roman" w:hAnsi="Times New Roman" w:cs="Times New Roman"/>
        </w:rPr>
      </w:pPr>
      <w:r>
        <w:rPr>
          <w:rFonts w:ascii="Times New Roman" w:hAnsi="Times New Roman" w:cs="Times New Roman"/>
        </w:rPr>
        <w:t xml:space="preserve">Nevertheless, since </w:t>
      </w:r>
      <w:r w:rsidR="00006A71">
        <w:rPr>
          <w:rFonts w:ascii="Times New Roman" w:hAnsi="Times New Roman" w:cs="Times New Roman"/>
        </w:rPr>
        <w:t>both</w:t>
      </w:r>
      <w:r>
        <w:rPr>
          <w:rFonts w:ascii="Times New Roman" w:hAnsi="Times New Roman" w:cs="Times New Roman"/>
        </w:rPr>
        <w:t xml:space="preserve"> stud</w:t>
      </w:r>
      <w:r w:rsidR="00006A71">
        <w:rPr>
          <w:rFonts w:ascii="Times New Roman" w:hAnsi="Times New Roman" w:cs="Times New Roman"/>
        </w:rPr>
        <w:t xml:space="preserve">ies are </w:t>
      </w:r>
      <w:r>
        <w:rPr>
          <w:rFonts w:ascii="Times New Roman" w:hAnsi="Times New Roman" w:cs="Times New Roman"/>
        </w:rPr>
        <w:t xml:space="preserve">not directly translatable to the Rotterdam Study, we have </w:t>
      </w:r>
      <w:r w:rsidRPr="00222933">
        <w:rPr>
          <w:rFonts w:ascii="Times New Roman" w:hAnsi="Times New Roman" w:cs="Times New Roman"/>
        </w:rPr>
        <w:t xml:space="preserve">assessed the association between the dietary nitrate intake and </w:t>
      </w:r>
      <w:proofErr w:type="spellStart"/>
      <w:r w:rsidRPr="00222933">
        <w:rPr>
          <w:rFonts w:ascii="Times New Roman" w:hAnsi="Times New Roman" w:cs="Times New Roman"/>
        </w:rPr>
        <w:t>iOAG</w:t>
      </w:r>
      <w:proofErr w:type="spellEnd"/>
      <w:r w:rsidRPr="00222933">
        <w:rPr>
          <w:rFonts w:ascii="Times New Roman" w:hAnsi="Times New Roman" w:cs="Times New Roman"/>
        </w:rPr>
        <w:t xml:space="preserve"> over cumulative follow-up periods to provide insight into </w:t>
      </w:r>
      <w:r w:rsidR="004874CE">
        <w:rPr>
          <w:rFonts w:ascii="Times New Roman" w:hAnsi="Times New Roman" w:cs="Times New Roman"/>
        </w:rPr>
        <w:t>the stability of the found estimate</w:t>
      </w:r>
      <w:r w:rsidR="00006A71">
        <w:rPr>
          <w:rFonts w:ascii="Times New Roman" w:hAnsi="Times New Roman" w:cs="Times New Roman"/>
        </w:rPr>
        <w:t>s</w:t>
      </w:r>
      <w:r w:rsidR="004874CE">
        <w:rPr>
          <w:rFonts w:ascii="Times New Roman" w:hAnsi="Times New Roman" w:cs="Times New Roman"/>
        </w:rPr>
        <w:t xml:space="preserve"> over time</w:t>
      </w:r>
      <w:r>
        <w:rPr>
          <w:rFonts w:ascii="Times New Roman" w:hAnsi="Times New Roman" w:cs="Times New Roman"/>
        </w:rPr>
        <w:t xml:space="preserve">. Please see our comment </w:t>
      </w:r>
      <w:r w:rsidR="004874CE">
        <w:rPr>
          <w:rFonts w:ascii="Times New Roman" w:hAnsi="Times New Roman" w:cs="Times New Roman"/>
        </w:rPr>
        <w:t>regarding</w:t>
      </w:r>
      <w:r>
        <w:rPr>
          <w:rFonts w:ascii="Times New Roman" w:hAnsi="Times New Roman" w:cs="Times New Roman"/>
        </w:rPr>
        <w:t xml:space="preserve"> your next suggestion</w:t>
      </w:r>
      <w:r w:rsidR="00797567">
        <w:rPr>
          <w:rFonts w:ascii="Times New Roman" w:hAnsi="Times New Roman" w:cs="Times New Roman"/>
        </w:rPr>
        <w:t xml:space="preserve"> for more details</w:t>
      </w:r>
      <w:r>
        <w:rPr>
          <w:rFonts w:ascii="Times New Roman" w:hAnsi="Times New Roman" w:cs="Times New Roman"/>
        </w:rPr>
        <w:t xml:space="preserve">. </w:t>
      </w:r>
    </w:p>
    <w:p w14:paraId="698C290E" w14:textId="77777777" w:rsidR="00C377A0" w:rsidRPr="006247BC" w:rsidRDefault="00C377A0" w:rsidP="00C377A0">
      <w:pPr>
        <w:pStyle w:val="Geenafstand"/>
        <w:jc w:val="both"/>
        <w:rPr>
          <w:rFonts w:ascii="Times New Roman" w:hAnsi="Times New Roman" w:cs="Times New Roman"/>
        </w:rPr>
      </w:pPr>
      <w:r w:rsidRPr="006247BC">
        <w:rPr>
          <w:rFonts w:ascii="Times New Roman" w:hAnsi="Times New Roman" w:cs="Times New Roman"/>
        </w:rPr>
        <w:t> </w:t>
      </w:r>
    </w:p>
    <w:p w14:paraId="410FF2D3" w14:textId="77777777" w:rsidR="00C377A0" w:rsidRPr="006247BC" w:rsidRDefault="00C377A0" w:rsidP="00C377A0">
      <w:pPr>
        <w:pStyle w:val="Geenafstand"/>
        <w:jc w:val="both"/>
        <w:rPr>
          <w:rFonts w:ascii="Times New Roman" w:hAnsi="Times New Roman" w:cs="Times New Roman"/>
          <w:b/>
        </w:rPr>
      </w:pPr>
      <w:r w:rsidRPr="006247BC">
        <w:rPr>
          <w:rFonts w:ascii="Times New Roman" w:hAnsi="Times New Roman" w:cs="Times New Roman"/>
          <w:b/>
        </w:rPr>
        <w:t>This study would have been that much stronger if a follow-up food questionnaire had been administered.  The long space between the questionnaire and the incidence of glaucoma (only mentioned at the last part of the limitations) is quite a major limitation.</w:t>
      </w:r>
    </w:p>
    <w:p w14:paraId="1BE36258" w14:textId="558B1D6C" w:rsidR="00C377A0" w:rsidRDefault="0086658D" w:rsidP="00D016EC">
      <w:pPr>
        <w:pStyle w:val="Geenafstand"/>
        <w:jc w:val="both"/>
        <w:rPr>
          <w:rFonts w:ascii="Times New Roman" w:hAnsi="Times New Roman" w:cs="Times New Roman"/>
        </w:rPr>
      </w:pPr>
      <w:r w:rsidRPr="006247BC">
        <w:rPr>
          <w:rFonts w:ascii="Times New Roman" w:hAnsi="Times New Roman" w:cs="Times New Roman"/>
        </w:rPr>
        <w:t xml:space="preserve">We agree that the lack of follow-up food questionnaires is a </w:t>
      </w:r>
      <w:r w:rsidR="00AA1A08" w:rsidRPr="006247BC">
        <w:rPr>
          <w:rFonts w:ascii="Times New Roman" w:hAnsi="Times New Roman" w:cs="Times New Roman"/>
        </w:rPr>
        <w:t xml:space="preserve">major limitation of this study. </w:t>
      </w:r>
      <w:r w:rsidR="00161518">
        <w:rPr>
          <w:rFonts w:ascii="Times New Roman" w:hAnsi="Times New Roman" w:cs="Times New Roman"/>
        </w:rPr>
        <w:t xml:space="preserve">Please find an additional </w:t>
      </w:r>
      <w:r w:rsidR="00D016EC" w:rsidRPr="006247BC">
        <w:rPr>
          <w:rFonts w:ascii="Times New Roman" w:hAnsi="Times New Roman" w:cs="Times New Roman"/>
        </w:rPr>
        <w:t>supplementary figure (Figure S1</w:t>
      </w:r>
      <w:r w:rsidR="006D3862">
        <w:rPr>
          <w:rFonts w:ascii="Times New Roman" w:hAnsi="Times New Roman" w:cs="Times New Roman"/>
        </w:rPr>
        <w:t>; original Figure S1 has now become Figure S2</w:t>
      </w:r>
      <w:r w:rsidR="00D016EC" w:rsidRPr="006247BC">
        <w:rPr>
          <w:rFonts w:ascii="Times New Roman" w:hAnsi="Times New Roman" w:cs="Times New Roman"/>
        </w:rPr>
        <w:t>)</w:t>
      </w:r>
      <w:r w:rsidR="00161518">
        <w:rPr>
          <w:rFonts w:ascii="Times New Roman" w:hAnsi="Times New Roman" w:cs="Times New Roman"/>
        </w:rPr>
        <w:t xml:space="preserve"> below and in the </w:t>
      </w:r>
      <w:r w:rsidR="0077234B">
        <w:rPr>
          <w:rFonts w:ascii="Times New Roman" w:hAnsi="Times New Roman" w:cs="Times New Roman"/>
        </w:rPr>
        <w:t xml:space="preserve">supplements of the </w:t>
      </w:r>
      <w:r w:rsidR="00161518">
        <w:rPr>
          <w:rFonts w:ascii="Times New Roman" w:hAnsi="Times New Roman" w:cs="Times New Roman"/>
        </w:rPr>
        <w:t>manuscript,</w:t>
      </w:r>
      <w:r w:rsidR="00D016EC" w:rsidRPr="006247BC">
        <w:rPr>
          <w:rFonts w:ascii="Times New Roman" w:hAnsi="Times New Roman" w:cs="Times New Roman"/>
        </w:rPr>
        <w:t xml:space="preserve"> to show that we assessed the association between the dietary nitrate intake and </w:t>
      </w:r>
      <w:proofErr w:type="spellStart"/>
      <w:r w:rsidR="00D016EC" w:rsidRPr="006247BC">
        <w:rPr>
          <w:rFonts w:ascii="Times New Roman" w:hAnsi="Times New Roman" w:cs="Times New Roman"/>
        </w:rPr>
        <w:t>iOAG</w:t>
      </w:r>
      <w:proofErr w:type="spellEnd"/>
      <w:r w:rsidR="00D016EC" w:rsidRPr="006247BC">
        <w:rPr>
          <w:rFonts w:ascii="Times New Roman" w:hAnsi="Times New Roman" w:cs="Times New Roman"/>
        </w:rPr>
        <w:t xml:space="preserve"> over cumulative follow-up periods </w:t>
      </w:r>
      <w:r w:rsidR="00A92193">
        <w:rPr>
          <w:rFonts w:ascii="Times New Roman" w:hAnsi="Times New Roman" w:cs="Times New Roman"/>
        </w:rPr>
        <w:t xml:space="preserve">(x-axis) </w:t>
      </w:r>
      <w:r w:rsidR="00D016EC" w:rsidRPr="006247BC">
        <w:rPr>
          <w:rFonts w:ascii="Times New Roman" w:hAnsi="Times New Roman" w:cs="Times New Roman"/>
        </w:rPr>
        <w:t xml:space="preserve">to provide insight into possible reversed causality. The persistence of the association over time implies that reverse causality </w:t>
      </w:r>
      <w:r w:rsidR="00DD3C8E" w:rsidRPr="006247BC">
        <w:rPr>
          <w:rFonts w:ascii="Times New Roman" w:hAnsi="Times New Roman" w:cs="Times New Roman"/>
        </w:rPr>
        <w:t xml:space="preserve">is unlikely. The effect of </w:t>
      </w:r>
      <w:r w:rsidR="0048268A" w:rsidRPr="006247BC">
        <w:rPr>
          <w:rFonts w:ascii="Times New Roman" w:hAnsi="Times New Roman" w:cs="Times New Roman"/>
        </w:rPr>
        <w:t xml:space="preserve">(baseline) </w:t>
      </w:r>
      <w:r w:rsidR="00DD3C8E" w:rsidRPr="006247BC">
        <w:rPr>
          <w:rFonts w:ascii="Times New Roman" w:hAnsi="Times New Roman" w:cs="Times New Roman"/>
        </w:rPr>
        <w:t xml:space="preserve">dietary nitrate intake on glaucoma appears to be relatively stable over time. </w:t>
      </w:r>
      <w:r w:rsidR="00514F43">
        <w:rPr>
          <w:rFonts w:ascii="Times New Roman" w:hAnsi="Times New Roman" w:cs="Times New Roman"/>
        </w:rPr>
        <w:t xml:space="preserve">We therefore consider our results reliable, although we agree limitations are </w:t>
      </w:r>
      <w:r w:rsidR="00AF3F1D">
        <w:rPr>
          <w:rFonts w:ascii="Times New Roman" w:hAnsi="Times New Roman" w:cs="Times New Roman"/>
        </w:rPr>
        <w:t>present</w:t>
      </w:r>
      <w:r w:rsidR="00514F43">
        <w:rPr>
          <w:rFonts w:ascii="Times New Roman" w:hAnsi="Times New Roman" w:cs="Times New Roman"/>
        </w:rPr>
        <w:t xml:space="preserve"> and these findings should be interpreted with caution.</w:t>
      </w:r>
      <w:r w:rsidR="0054197D">
        <w:rPr>
          <w:rFonts w:ascii="Times New Roman" w:hAnsi="Times New Roman" w:cs="Times New Roman"/>
        </w:rPr>
        <w:t xml:space="preserve"> In addition to the new supplementary figure, we have added information about this analysis to the methods (lines 152-153), results (209-211), and discussion (296-298).</w:t>
      </w:r>
    </w:p>
    <w:p w14:paraId="7D408DB3" w14:textId="77777777" w:rsidR="00AF3F1D" w:rsidRDefault="00AF3F1D" w:rsidP="00D016EC">
      <w:pPr>
        <w:pStyle w:val="Geenafstand"/>
        <w:jc w:val="both"/>
        <w:rPr>
          <w:rFonts w:ascii="Times New Roman" w:hAnsi="Times New Roman" w:cs="Times New Roman"/>
        </w:rPr>
      </w:pPr>
    </w:p>
    <w:p w14:paraId="30891406" w14:textId="0E6CBA16" w:rsidR="00AF3F1D" w:rsidRDefault="00F30EE7" w:rsidP="00D016EC">
      <w:pPr>
        <w:pStyle w:val="Geenafstand"/>
        <w:jc w:val="both"/>
        <w:rPr>
          <w:rFonts w:ascii="Times New Roman" w:hAnsi="Times New Roman" w:cs="Times New Roman"/>
        </w:rPr>
      </w:pPr>
      <w:r>
        <w:rPr>
          <w:rFonts w:ascii="Times New Roman" w:hAnsi="Times New Roman" w:cs="Times New Roman"/>
          <w:noProof/>
        </w:rPr>
        <w:lastRenderedPageBreak/>
        <w:drawing>
          <wp:inline distT="0" distB="0" distL="0" distR="0" wp14:anchorId="7C2B8A32" wp14:editId="12AD4F26">
            <wp:extent cx="5943600" cy="30702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S1.tiff"/>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70225"/>
                    </a:xfrm>
                    <a:prstGeom prst="rect">
                      <a:avLst/>
                    </a:prstGeom>
                  </pic:spPr>
                </pic:pic>
              </a:graphicData>
            </a:graphic>
          </wp:inline>
        </w:drawing>
      </w:r>
    </w:p>
    <w:p w14:paraId="15D1F7BC" w14:textId="77777777" w:rsidR="00961953" w:rsidRPr="00961953" w:rsidRDefault="00961953" w:rsidP="00D016EC">
      <w:pPr>
        <w:pStyle w:val="Geenafstand"/>
        <w:jc w:val="both"/>
        <w:rPr>
          <w:rFonts w:ascii="Times New Roman" w:hAnsi="Times New Roman" w:cs="Times New Roman"/>
          <w:sz w:val="18"/>
        </w:rPr>
      </w:pPr>
      <w:r w:rsidRPr="00961953">
        <w:rPr>
          <w:rFonts w:ascii="Times New Roman" w:hAnsi="Times New Roman" w:cs="Times New Roman"/>
          <w:b/>
          <w:sz w:val="18"/>
        </w:rPr>
        <w:t>Figure S1.</w:t>
      </w:r>
      <w:r w:rsidRPr="00961953">
        <w:rPr>
          <w:rFonts w:ascii="Times New Roman" w:hAnsi="Times New Roman" w:cs="Times New Roman"/>
          <w:sz w:val="18"/>
        </w:rPr>
        <w:t xml:space="preserve"> Multivariable-adjusted odds ratios with corresponding 95% confidence intervals (CIs) for incident open-angle glaucoma per 1</w:t>
      </w:r>
      <w:r>
        <w:rPr>
          <w:rFonts w:ascii="Times New Roman" w:hAnsi="Times New Roman" w:cs="Times New Roman"/>
          <w:sz w:val="18"/>
        </w:rPr>
        <w:t xml:space="preserve">0 gram/day </w:t>
      </w:r>
      <w:r w:rsidRPr="00961953">
        <w:rPr>
          <w:rFonts w:ascii="Times New Roman" w:hAnsi="Times New Roman" w:cs="Times New Roman"/>
          <w:sz w:val="18"/>
        </w:rPr>
        <w:t xml:space="preserve">increase in total dietary nitrate intake (A), nitrate intake from vegetables (B), and nitrate intake from non-vegetable food sources </w:t>
      </w:r>
      <w:r>
        <w:rPr>
          <w:rFonts w:ascii="Times New Roman" w:hAnsi="Times New Roman" w:cs="Times New Roman"/>
          <w:sz w:val="18"/>
        </w:rPr>
        <w:t>(C)</w:t>
      </w:r>
      <w:r w:rsidRPr="00961953">
        <w:rPr>
          <w:rFonts w:ascii="Times New Roman" w:hAnsi="Times New Roman" w:cs="Times New Roman"/>
          <w:sz w:val="18"/>
        </w:rPr>
        <w:t>, shown per cumulative follow-up interval. Model 1: adjusted for body mass index, total energy intake, diet quality, physical activity, and follow-up time. Model 2: model 1 additionally adjusted for intraocular pressure. Model 3: model 1 additionally adjusted for education level and smoking status.</w:t>
      </w:r>
    </w:p>
    <w:p w14:paraId="33199AB3" w14:textId="77777777" w:rsidR="0086658D" w:rsidRPr="006247BC" w:rsidRDefault="0086658D" w:rsidP="00C377A0">
      <w:pPr>
        <w:pStyle w:val="Geenafstand"/>
        <w:jc w:val="both"/>
        <w:rPr>
          <w:rFonts w:ascii="Times New Roman" w:hAnsi="Times New Roman" w:cs="Times New Roman"/>
        </w:rPr>
      </w:pPr>
    </w:p>
    <w:p w14:paraId="78508FBA" w14:textId="77777777" w:rsidR="00C377A0" w:rsidRPr="006247BC" w:rsidRDefault="00C377A0" w:rsidP="00C377A0">
      <w:pPr>
        <w:pStyle w:val="Geenafstand"/>
        <w:jc w:val="both"/>
        <w:rPr>
          <w:rFonts w:ascii="Times New Roman" w:hAnsi="Times New Roman" w:cs="Times New Roman"/>
          <w:b/>
        </w:rPr>
      </w:pPr>
      <w:r w:rsidRPr="006247BC">
        <w:rPr>
          <w:rFonts w:ascii="Times New Roman" w:hAnsi="Times New Roman" w:cs="Times New Roman"/>
          <w:b/>
        </w:rPr>
        <w:t>Past studies of the Rotterdam population mention several other risk factors which were not taken into account in this study including myopia, cup-to-disc ratio, and family history of glaucoma, as well as other features such as exfoliation. How big is the nitrate association compared to these?</w:t>
      </w:r>
    </w:p>
    <w:p w14:paraId="45A6D672" w14:textId="77777777" w:rsidR="00F55DD4" w:rsidRPr="006247BC" w:rsidRDefault="00D016EC" w:rsidP="00C377A0">
      <w:pPr>
        <w:pStyle w:val="Geenafstand"/>
        <w:jc w:val="both"/>
        <w:rPr>
          <w:rFonts w:ascii="Times New Roman" w:hAnsi="Times New Roman" w:cs="Times New Roman"/>
        </w:rPr>
      </w:pPr>
      <w:r w:rsidRPr="006247BC">
        <w:rPr>
          <w:rFonts w:ascii="Times New Roman" w:hAnsi="Times New Roman" w:cs="Times New Roman"/>
        </w:rPr>
        <w:t>Thank you very much for assessing the covariates included in these analyses so thoroughly. Unfortunately, family history of glaucoma was only available for a subset of the first cohort, and not for the second and third cohort. Therefore, we were unable to include this variable as a covariate</w:t>
      </w:r>
      <w:r w:rsidR="00EE123B" w:rsidRPr="006247BC">
        <w:rPr>
          <w:rFonts w:ascii="Times New Roman" w:hAnsi="Times New Roman" w:cs="Times New Roman"/>
        </w:rPr>
        <w:t>, as this would severely limit our power (528 participants of 1038 participants; 133 glaucoma cases and 389 controls)</w:t>
      </w:r>
      <w:r w:rsidRPr="006247BC">
        <w:rPr>
          <w:rFonts w:ascii="Times New Roman" w:hAnsi="Times New Roman" w:cs="Times New Roman"/>
        </w:rPr>
        <w:t xml:space="preserve">. </w:t>
      </w:r>
    </w:p>
    <w:p w14:paraId="2C7DA144" w14:textId="77777777" w:rsidR="00EC5E60" w:rsidRPr="006247BC" w:rsidRDefault="00EC5E60" w:rsidP="00C377A0">
      <w:pPr>
        <w:pStyle w:val="Geenafstand"/>
        <w:jc w:val="both"/>
        <w:rPr>
          <w:rFonts w:ascii="Times New Roman" w:hAnsi="Times New Roman" w:cs="Times New Roman"/>
        </w:rPr>
      </w:pPr>
    </w:p>
    <w:p w14:paraId="2E9E5C2E" w14:textId="18CF44C8" w:rsidR="00C338C0" w:rsidRDefault="00C338C0" w:rsidP="00C377A0">
      <w:pPr>
        <w:pStyle w:val="Geenafstand"/>
        <w:jc w:val="both"/>
        <w:rPr>
          <w:rFonts w:ascii="Times New Roman" w:hAnsi="Times New Roman" w:cs="Times New Roman"/>
        </w:rPr>
      </w:pPr>
      <w:r>
        <w:rPr>
          <w:rFonts w:ascii="Times New Roman" w:hAnsi="Times New Roman" w:cs="Times New Roman"/>
        </w:rPr>
        <w:t>As cup-to-disc ratio is highly correlated with glaucoma diagnosis, we feel that cup-to-disc ratio should not be included in the model. Moreover, cup-to-disc ratio is not associated with dietary nitrate intake, and therefore cannot be considered as confounding factor. By including cup-to-disc ratio into the model, we would adjust the association between dietary nitrate intake and glaucoma by “glaucoma presence” and thus diminish any existing association.</w:t>
      </w:r>
    </w:p>
    <w:p w14:paraId="3BEC86DE" w14:textId="40CD8629" w:rsidR="008F469D" w:rsidRDefault="008F469D" w:rsidP="00EC5E60">
      <w:pPr>
        <w:pStyle w:val="Geenafstand"/>
        <w:jc w:val="both"/>
        <w:rPr>
          <w:rFonts w:ascii="Times New Roman" w:hAnsi="Times New Roman" w:cs="Times New Roman"/>
        </w:rPr>
      </w:pPr>
    </w:p>
    <w:p w14:paraId="42A24BA0" w14:textId="74A831F9" w:rsidR="00A668ED" w:rsidRDefault="00EC5E60" w:rsidP="00EC5E60">
      <w:pPr>
        <w:pStyle w:val="Geenafstand"/>
        <w:jc w:val="both"/>
        <w:rPr>
          <w:rFonts w:ascii="Times New Roman" w:hAnsi="Times New Roman" w:cs="Times New Roman"/>
        </w:rPr>
      </w:pPr>
      <w:r w:rsidRPr="006247BC">
        <w:rPr>
          <w:rFonts w:ascii="Times New Roman" w:hAnsi="Times New Roman" w:cs="Times New Roman"/>
        </w:rPr>
        <w:t>To meet your comment/suggestion, we have added baseline spherical equivalent (</w:t>
      </w:r>
      <w:r w:rsidR="007F27EC">
        <w:rPr>
          <w:rFonts w:ascii="Times New Roman" w:hAnsi="Times New Roman" w:cs="Times New Roman"/>
        </w:rPr>
        <w:t>proxy for my</w:t>
      </w:r>
      <w:r w:rsidR="006A21F3">
        <w:rPr>
          <w:rFonts w:ascii="Times New Roman" w:hAnsi="Times New Roman" w:cs="Times New Roman"/>
        </w:rPr>
        <w:t>o</w:t>
      </w:r>
      <w:r w:rsidR="007F27EC">
        <w:rPr>
          <w:rFonts w:ascii="Times New Roman" w:hAnsi="Times New Roman" w:cs="Times New Roman"/>
        </w:rPr>
        <w:t xml:space="preserve">pia, excluding </w:t>
      </w:r>
      <w:proofErr w:type="spellStart"/>
      <w:r w:rsidR="007F27EC">
        <w:rPr>
          <w:rFonts w:ascii="Times New Roman" w:hAnsi="Times New Roman" w:cs="Times New Roman"/>
        </w:rPr>
        <w:t>aphakic</w:t>
      </w:r>
      <w:proofErr w:type="spellEnd"/>
      <w:r w:rsidR="007F27EC">
        <w:rPr>
          <w:rFonts w:ascii="Times New Roman" w:hAnsi="Times New Roman" w:cs="Times New Roman"/>
        </w:rPr>
        <w:t xml:space="preserve"> or </w:t>
      </w:r>
      <w:proofErr w:type="spellStart"/>
      <w:r w:rsidRPr="006247BC">
        <w:rPr>
          <w:rFonts w:ascii="Times New Roman" w:hAnsi="Times New Roman" w:cs="Times New Roman"/>
        </w:rPr>
        <w:t>pseudophakic</w:t>
      </w:r>
      <w:proofErr w:type="spellEnd"/>
      <w:r w:rsidRPr="006247BC">
        <w:rPr>
          <w:rFonts w:ascii="Times New Roman" w:hAnsi="Times New Roman" w:cs="Times New Roman"/>
        </w:rPr>
        <w:t xml:space="preserve"> participants) to model 3. As you can see in the results below (</w:t>
      </w:r>
      <w:r w:rsidR="004E72F6">
        <w:rPr>
          <w:rFonts w:ascii="Times New Roman" w:hAnsi="Times New Roman" w:cs="Times New Roman"/>
        </w:rPr>
        <w:t>original results</w:t>
      </w:r>
      <w:r w:rsidRPr="006247BC">
        <w:rPr>
          <w:rFonts w:ascii="Times New Roman" w:hAnsi="Times New Roman" w:cs="Times New Roman"/>
        </w:rPr>
        <w:t xml:space="preserve"> visualized in Figure 2 in the manuscript), adjusting additionally for SE did not change the results of the continuous nitrate intake analyses and did only marginally change the results of the quintile analyses, leading to a more significant finding for Q5 as compared to Q1. Because both analyses are similar, </w:t>
      </w:r>
      <w:r w:rsidR="00A668ED">
        <w:rPr>
          <w:rFonts w:ascii="Times New Roman" w:hAnsi="Times New Roman" w:cs="Times New Roman"/>
        </w:rPr>
        <w:t xml:space="preserve">and since myopia is associated with education level, </w:t>
      </w:r>
      <w:r w:rsidRPr="006247BC">
        <w:rPr>
          <w:rFonts w:ascii="Times New Roman" w:hAnsi="Times New Roman" w:cs="Times New Roman"/>
        </w:rPr>
        <w:t>we chose to keep the original model 3 in the manuscript</w:t>
      </w:r>
      <w:r w:rsidR="00A668ED">
        <w:rPr>
          <w:rFonts w:ascii="Times New Roman" w:hAnsi="Times New Roman" w:cs="Times New Roman"/>
        </w:rPr>
        <w:t>, adjusting for education level</w:t>
      </w:r>
      <w:r w:rsidRPr="006247BC">
        <w:rPr>
          <w:rFonts w:ascii="Times New Roman" w:hAnsi="Times New Roman" w:cs="Times New Roman"/>
        </w:rPr>
        <w:t xml:space="preserve">, </w:t>
      </w:r>
      <w:r w:rsidR="00A668ED">
        <w:rPr>
          <w:rFonts w:ascii="Times New Roman" w:hAnsi="Times New Roman" w:cs="Times New Roman"/>
        </w:rPr>
        <w:t xml:space="preserve">but </w:t>
      </w:r>
      <w:r w:rsidRPr="006247BC">
        <w:rPr>
          <w:rFonts w:ascii="Times New Roman" w:hAnsi="Times New Roman" w:cs="Times New Roman"/>
        </w:rPr>
        <w:t xml:space="preserve">without adjustment for SE. </w:t>
      </w:r>
    </w:p>
    <w:p w14:paraId="27BEFD57" w14:textId="77777777" w:rsidR="00A668ED" w:rsidRDefault="00A668ED" w:rsidP="00EC5E60">
      <w:pPr>
        <w:pStyle w:val="Geenafstand"/>
        <w:jc w:val="both"/>
        <w:rPr>
          <w:rFonts w:ascii="Times New Roman" w:hAnsi="Times New Roman" w:cs="Times New Roman"/>
        </w:rPr>
      </w:pPr>
    </w:p>
    <w:p w14:paraId="3FBD4CBA" w14:textId="2252633F" w:rsidR="007F27EC" w:rsidRDefault="007F27EC" w:rsidP="00EC5E60">
      <w:pPr>
        <w:pStyle w:val="Geenafstand"/>
        <w:jc w:val="both"/>
        <w:rPr>
          <w:rFonts w:ascii="Times New Roman" w:hAnsi="Times New Roman" w:cs="Times New Roman"/>
        </w:rPr>
      </w:pPr>
      <w:r>
        <w:rPr>
          <w:rFonts w:ascii="Times New Roman" w:hAnsi="Times New Roman" w:cs="Times New Roman"/>
        </w:rPr>
        <w:t xml:space="preserve">To address your question, </w:t>
      </w:r>
      <w:r w:rsidR="00555200">
        <w:rPr>
          <w:rFonts w:ascii="Times New Roman" w:hAnsi="Times New Roman" w:cs="Times New Roman"/>
        </w:rPr>
        <w:t xml:space="preserve">in </w:t>
      </w:r>
      <w:bookmarkStart w:id="0" w:name="_GoBack"/>
      <w:r w:rsidR="00555200">
        <w:rPr>
          <w:rFonts w:ascii="Times New Roman" w:hAnsi="Times New Roman" w:cs="Times New Roman"/>
        </w:rPr>
        <w:t>line</w:t>
      </w:r>
      <w:bookmarkEnd w:id="0"/>
      <w:r w:rsidR="00555200">
        <w:rPr>
          <w:rFonts w:ascii="Times New Roman" w:hAnsi="Times New Roman" w:cs="Times New Roman"/>
        </w:rPr>
        <w:t xml:space="preserve">s </w:t>
      </w:r>
      <w:r w:rsidR="0010234A">
        <w:rPr>
          <w:rFonts w:ascii="Times New Roman" w:hAnsi="Times New Roman" w:cs="Times New Roman"/>
        </w:rPr>
        <w:t>318-323</w:t>
      </w:r>
      <w:r w:rsidR="00555200">
        <w:rPr>
          <w:rFonts w:ascii="Times New Roman" w:hAnsi="Times New Roman" w:cs="Times New Roman"/>
        </w:rPr>
        <w:t xml:space="preserve">, </w:t>
      </w:r>
      <w:r>
        <w:rPr>
          <w:rFonts w:ascii="Times New Roman" w:hAnsi="Times New Roman" w:cs="Times New Roman"/>
        </w:rPr>
        <w:t xml:space="preserve">we will change: </w:t>
      </w:r>
    </w:p>
    <w:p w14:paraId="5C354526" w14:textId="77777777" w:rsidR="007F27EC" w:rsidRDefault="007F27EC" w:rsidP="00EC5E60">
      <w:pPr>
        <w:pStyle w:val="Geenafstand"/>
        <w:jc w:val="both"/>
        <w:rPr>
          <w:rFonts w:ascii="Times New Roman" w:hAnsi="Times New Roman" w:cs="Times New Roman"/>
        </w:rPr>
      </w:pPr>
      <w:r>
        <w:rPr>
          <w:rFonts w:ascii="Times New Roman" w:hAnsi="Times New Roman" w:cs="Times New Roman"/>
        </w:rPr>
        <w:t>“</w:t>
      </w:r>
      <w:r w:rsidRPr="007F27EC">
        <w:rPr>
          <w:rFonts w:ascii="Times New Roman" w:hAnsi="Times New Roman" w:cs="Times New Roman"/>
        </w:rPr>
        <w:t>Finally, although the analyses were adjusted for several confounders, residual confounding cannot completely be excluded.</w:t>
      </w:r>
      <w:r>
        <w:rPr>
          <w:rFonts w:ascii="Times New Roman" w:hAnsi="Times New Roman" w:cs="Times New Roman"/>
        </w:rPr>
        <w:t>”</w:t>
      </w:r>
    </w:p>
    <w:p w14:paraId="686A5F0A" w14:textId="77777777" w:rsidR="007F27EC" w:rsidRDefault="007F27EC" w:rsidP="00EC5E60">
      <w:pPr>
        <w:pStyle w:val="Geenafstand"/>
        <w:jc w:val="both"/>
        <w:rPr>
          <w:rFonts w:ascii="Times New Roman" w:hAnsi="Times New Roman" w:cs="Times New Roman"/>
        </w:rPr>
      </w:pPr>
      <w:r>
        <w:rPr>
          <w:rFonts w:ascii="Times New Roman" w:hAnsi="Times New Roman" w:cs="Times New Roman"/>
        </w:rPr>
        <w:t>To:</w:t>
      </w:r>
    </w:p>
    <w:p w14:paraId="53CCF2A7" w14:textId="52BB03AF" w:rsidR="007F27EC" w:rsidRPr="006247BC" w:rsidRDefault="007F27EC" w:rsidP="00EC5E60">
      <w:pPr>
        <w:pStyle w:val="Geenafstand"/>
        <w:jc w:val="both"/>
        <w:rPr>
          <w:rFonts w:ascii="Times New Roman" w:hAnsi="Times New Roman" w:cs="Times New Roman"/>
        </w:rPr>
      </w:pPr>
      <w:r>
        <w:rPr>
          <w:rFonts w:ascii="Times New Roman" w:hAnsi="Times New Roman" w:cs="Times New Roman"/>
        </w:rPr>
        <w:lastRenderedPageBreak/>
        <w:t xml:space="preserve">“Although the analyses were adjusted for multiple confounders, we were unable to adjust for other possible confounders such </w:t>
      </w:r>
      <w:r w:rsidR="00A668ED">
        <w:rPr>
          <w:rFonts w:ascii="Times New Roman" w:hAnsi="Times New Roman" w:cs="Times New Roman"/>
        </w:rPr>
        <w:t xml:space="preserve">as </w:t>
      </w:r>
      <w:r>
        <w:rPr>
          <w:rFonts w:ascii="Times New Roman" w:hAnsi="Times New Roman" w:cs="Times New Roman"/>
        </w:rPr>
        <w:t>family history of glaucoma due to a lack of data. We did consider the risk factor myopia,</w:t>
      </w:r>
      <w:r w:rsidR="00AB1E54">
        <w:rPr>
          <w:rFonts w:ascii="Times New Roman" w:hAnsi="Times New Roman" w:cs="Times New Roman"/>
        </w:rPr>
        <w:t xml:space="preserve"> for which we adjusted by including education level into model 3. We also </w:t>
      </w:r>
      <w:r>
        <w:rPr>
          <w:rFonts w:ascii="Times New Roman" w:hAnsi="Times New Roman" w:cs="Times New Roman"/>
        </w:rPr>
        <w:t>includ</w:t>
      </w:r>
      <w:r w:rsidR="00AB1E54">
        <w:rPr>
          <w:rFonts w:ascii="Times New Roman" w:hAnsi="Times New Roman" w:cs="Times New Roman"/>
        </w:rPr>
        <w:t>ed</w:t>
      </w:r>
      <w:r>
        <w:rPr>
          <w:rFonts w:ascii="Times New Roman" w:hAnsi="Times New Roman" w:cs="Times New Roman"/>
        </w:rPr>
        <w:t xml:space="preserve"> spherical equivalent into the model</w:t>
      </w:r>
      <w:r w:rsidR="00AB1E54">
        <w:rPr>
          <w:rFonts w:ascii="Times New Roman" w:hAnsi="Times New Roman" w:cs="Times New Roman"/>
        </w:rPr>
        <w:t xml:space="preserve"> (data not shown)</w:t>
      </w:r>
      <w:r>
        <w:rPr>
          <w:rFonts w:ascii="Times New Roman" w:hAnsi="Times New Roman" w:cs="Times New Roman"/>
        </w:rPr>
        <w:t>, but this did not change the results.</w:t>
      </w:r>
      <w:r w:rsidR="007B5861">
        <w:rPr>
          <w:rFonts w:ascii="Times New Roman" w:hAnsi="Times New Roman" w:cs="Times New Roman"/>
        </w:rPr>
        <w:t xml:space="preserve"> </w:t>
      </w:r>
      <w:r>
        <w:rPr>
          <w:rFonts w:ascii="Times New Roman" w:hAnsi="Times New Roman" w:cs="Times New Roman"/>
        </w:rPr>
        <w:t xml:space="preserve">Lastly, residual confounding cannot completely be excluded.” </w:t>
      </w:r>
    </w:p>
    <w:p w14:paraId="7885D059" w14:textId="77777777" w:rsidR="00EC5E60" w:rsidRPr="006247BC" w:rsidRDefault="00EC5E60" w:rsidP="00C377A0">
      <w:pPr>
        <w:pStyle w:val="Geenafstand"/>
        <w:jc w:val="both"/>
        <w:rPr>
          <w:rFonts w:ascii="Times New Roman" w:hAnsi="Times New Roman" w:cs="Times New Roman"/>
        </w:rPr>
      </w:pPr>
    </w:p>
    <w:p w14:paraId="4096E4D0" w14:textId="77777777" w:rsidR="009D47A4" w:rsidRPr="006247BC" w:rsidRDefault="009D47A4" w:rsidP="00C377A0">
      <w:pPr>
        <w:pStyle w:val="Geenafstand"/>
        <w:jc w:val="both"/>
        <w:rPr>
          <w:rFonts w:ascii="Times New Roman" w:hAnsi="Times New Roman" w:cs="Times New Roman"/>
        </w:rPr>
      </w:pPr>
      <w:r w:rsidRPr="006247BC">
        <w:rPr>
          <w:rFonts w:ascii="Times New Roman" w:hAnsi="Times New Roman" w:cs="Times New Roman"/>
        </w:rPr>
        <w:t>Original model 3: model 1 additionally adjusted for education level and smoking status.</w:t>
      </w:r>
    </w:p>
    <w:tbl>
      <w:tblPr>
        <w:tblStyle w:val="Tabelraster"/>
        <w:tblW w:w="5000" w:type="pct"/>
        <w:tblLook w:val="04A0" w:firstRow="1" w:lastRow="0" w:firstColumn="1" w:lastColumn="0" w:noHBand="0" w:noVBand="1"/>
      </w:tblPr>
      <w:tblGrid>
        <w:gridCol w:w="6485"/>
        <w:gridCol w:w="813"/>
        <w:gridCol w:w="1040"/>
        <w:gridCol w:w="1012"/>
      </w:tblGrid>
      <w:tr w:rsidR="009D47A4" w:rsidRPr="006247BC" w14:paraId="4FD6CEC5" w14:textId="77777777" w:rsidTr="000C3782">
        <w:trPr>
          <w:trHeight w:val="291"/>
        </w:trPr>
        <w:tc>
          <w:tcPr>
            <w:tcW w:w="3468" w:type="pct"/>
          </w:tcPr>
          <w:p w14:paraId="77D4CA6A" w14:textId="77777777" w:rsidR="009D47A4" w:rsidRPr="006247BC" w:rsidRDefault="009D47A4" w:rsidP="00C377A0">
            <w:pPr>
              <w:pStyle w:val="Geenafstand"/>
              <w:jc w:val="both"/>
              <w:rPr>
                <w:rFonts w:ascii="Times New Roman" w:hAnsi="Times New Roman" w:cs="Times New Roman"/>
              </w:rPr>
            </w:pPr>
          </w:p>
        </w:tc>
        <w:tc>
          <w:tcPr>
            <w:tcW w:w="435" w:type="pct"/>
          </w:tcPr>
          <w:p w14:paraId="39662FF5" w14:textId="77777777" w:rsidR="009D47A4" w:rsidRPr="006247BC" w:rsidRDefault="009D47A4" w:rsidP="00C377A0">
            <w:pPr>
              <w:pStyle w:val="Geenafstand"/>
              <w:jc w:val="both"/>
              <w:rPr>
                <w:rFonts w:ascii="Times New Roman" w:hAnsi="Times New Roman" w:cs="Times New Roman"/>
              </w:rPr>
            </w:pPr>
            <w:r w:rsidRPr="006247BC">
              <w:rPr>
                <w:rFonts w:ascii="Times New Roman" w:hAnsi="Times New Roman" w:cs="Times New Roman"/>
              </w:rPr>
              <w:t>OR</w:t>
            </w:r>
          </w:p>
        </w:tc>
        <w:tc>
          <w:tcPr>
            <w:tcW w:w="556" w:type="pct"/>
          </w:tcPr>
          <w:p w14:paraId="204A8FC4" w14:textId="77777777" w:rsidR="009D47A4" w:rsidRPr="006247BC" w:rsidRDefault="009D47A4" w:rsidP="00C377A0">
            <w:pPr>
              <w:pStyle w:val="Geenafstand"/>
              <w:jc w:val="both"/>
              <w:rPr>
                <w:rFonts w:ascii="Times New Roman" w:hAnsi="Times New Roman" w:cs="Times New Roman"/>
              </w:rPr>
            </w:pPr>
            <w:r w:rsidRPr="006247BC">
              <w:rPr>
                <w:rFonts w:ascii="Times New Roman" w:hAnsi="Times New Roman" w:cs="Times New Roman"/>
              </w:rPr>
              <w:t>Lower</w:t>
            </w:r>
          </w:p>
        </w:tc>
        <w:tc>
          <w:tcPr>
            <w:tcW w:w="541" w:type="pct"/>
          </w:tcPr>
          <w:p w14:paraId="677A09CC" w14:textId="77777777" w:rsidR="009D47A4" w:rsidRPr="006247BC" w:rsidRDefault="009D47A4" w:rsidP="00C377A0">
            <w:pPr>
              <w:pStyle w:val="Geenafstand"/>
              <w:jc w:val="both"/>
              <w:rPr>
                <w:rFonts w:ascii="Times New Roman" w:hAnsi="Times New Roman" w:cs="Times New Roman"/>
              </w:rPr>
            </w:pPr>
            <w:r w:rsidRPr="006247BC">
              <w:rPr>
                <w:rFonts w:ascii="Times New Roman" w:hAnsi="Times New Roman" w:cs="Times New Roman"/>
              </w:rPr>
              <w:t>Upper</w:t>
            </w:r>
          </w:p>
        </w:tc>
      </w:tr>
      <w:tr w:rsidR="009D47A4" w:rsidRPr="006247BC" w14:paraId="667CA8C5" w14:textId="77777777" w:rsidTr="000C3782">
        <w:trPr>
          <w:trHeight w:val="304"/>
        </w:trPr>
        <w:tc>
          <w:tcPr>
            <w:tcW w:w="3468" w:type="pct"/>
          </w:tcPr>
          <w:p w14:paraId="7EC73879" w14:textId="77777777" w:rsidR="009D47A4" w:rsidRPr="006247BC" w:rsidRDefault="009D47A4" w:rsidP="00C377A0">
            <w:pPr>
              <w:pStyle w:val="Geenafstand"/>
              <w:jc w:val="both"/>
              <w:rPr>
                <w:rFonts w:ascii="Times New Roman" w:hAnsi="Times New Roman" w:cs="Times New Roman"/>
                <w:b/>
              </w:rPr>
            </w:pPr>
            <w:r w:rsidRPr="006247BC">
              <w:rPr>
                <w:rFonts w:ascii="Times New Roman" w:hAnsi="Times New Roman" w:cs="Times New Roman"/>
                <w:b/>
              </w:rPr>
              <w:t>Total dietary nitrate</w:t>
            </w:r>
          </w:p>
        </w:tc>
        <w:tc>
          <w:tcPr>
            <w:tcW w:w="435" w:type="pct"/>
          </w:tcPr>
          <w:p w14:paraId="3BCE8327" w14:textId="77777777" w:rsidR="009D47A4" w:rsidRPr="006247BC" w:rsidRDefault="009D47A4" w:rsidP="00C377A0">
            <w:pPr>
              <w:pStyle w:val="Geenafstand"/>
              <w:jc w:val="both"/>
              <w:rPr>
                <w:rFonts w:ascii="Times New Roman" w:hAnsi="Times New Roman" w:cs="Times New Roman"/>
              </w:rPr>
            </w:pPr>
          </w:p>
        </w:tc>
        <w:tc>
          <w:tcPr>
            <w:tcW w:w="556" w:type="pct"/>
          </w:tcPr>
          <w:p w14:paraId="7C8A391E" w14:textId="77777777" w:rsidR="009D47A4" w:rsidRPr="006247BC" w:rsidRDefault="009D47A4" w:rsidP="00C377A0">
            <w:pPr>
              <w:pStyle w:val="Geenafstand"/>
              <w:jc w:val="both"/>
              <w:rPr>
                <w:rFonts w:ascii="Times New Roman" w:hAnsi="Times New Roman" w:cs="Times New Roman"/>
              </w:rPr>
            </w:pPr>
          </w:p>
        </w:tc>
        <w:tc>
          <w:tcPr>
            <w:tcW w:w="541" w:type="pct"/>
          </w:tcPr>
          <w:p w14:paraId="5DBE3ED0" w14:textId="77777777" w:rsidR="009D47A4" w:rsidRPr="006247BC" w:rsidRDefault="009D47A4" w:rsidP="00C377A0">
            <w:pPr>
              <w:pStyle w:val="Geenafstand"/>
              <w:jc w:val="both"/>
              <w:rPr>
                <w:rFonts w:ascii="Times New Roman" w:hAnsi="Times New Roman" w:cs="Times New Roman"/>
              </w:rPr>
            </w:pPr>
          </w:p>
        </w:tc>
      </w:tr>
      <w:tr w:rsidR="001B16BB" w:rsidRPr="006247BC" w14:paraId="78A11AAF" w14:textId="77777777" w:rsidTr="000C3782">
        <w:trPr>
          <w:trHeight w:val="64"/>
        </w:trPr>
        <w:tc>
          <w:tcPr>
            <w:tcW w:w="3468" w:type="pct"/>
          </w:tcPr>
          <w:p w14:paraId="57638D65" w14:textId="77777777" w:rsidR="001B16BB" w:rsidRPr="006247BC" w:rsidRDefault="001B16BB" w:rsidP="00F42051">
            <w:pPr>
              <w:pStyle w:val="Geenafstand"/>
              <w:jc w:val="both"/>
              <w:rPr>
                <w:rFonts w:ascii="Times New Roman" w:hAnsi="Times New Roman" w:cs="Times New Roman"/>
              </w:rPr>
            </w:pPr>
            <w:r w:rsidRPr="006247BC">
              <w:rPr>
                <w:rFonts w:ascii="Times New Roman" w:hAnsi="Times New Roman" w:cs="Times New Roman"/>
              </w:rPr>
              <w:t xml:space="preserve">   Continuous (per 10mg/day)</w:t>
            </w:r>
          </w:p>
        </w:tc>
        <w:tc>
          <w:tcPr>
            <w:tcW w:w="435" w:type="pct"/>
            <w:vAlign w:val="bottom"/>
          </w:tcPr>
          <w:p w14:paraId="213430E3" w14:textId="77777777" w:rsidR="001B16BB" w:rsidRPr="006247BC" w:rsidRDefault="001B16BB" w:rsidP="001B16BB">
            <w:pPr>
              <w:rPr>
                <w:rFonts w:ascii="Times New Roman" w:hAnsi="Times New Roman" w:cs="Times New Roman"/>
                <w:color w:val="000000"/>
              </w:rPr>
            </w:pPr>
            <w:r w:rsidRPr="006247BC">
              <w:rPr>
                <w:rFonts w:ascii="Times New Roman" w:hAnsi="Times New Roman" w:cs="Times New Roman"/>
                <w:color w:val="000000"/>
              </w:rPr>
              <w:t>0.95</w:t>
            </w:r>
          </w:p>
        </w:tc>
        <w:tc>
          <w:tcPr>
            <w:tcW w:w="556" w:type="pct"/>
            <w:vAlign w:val="bottom"/>
          </w:tcPr>
          <w:p w14:paraId="6A443C18" w14:textId="77777777" w:rsidR="001B16BB" w:rsidRPr="006247BC" w:rsidRDefault="001B16BB" w:rsidP="001B16BB">
            <w:pPr>
              <w:rPr>
                <w:rFonts w:ascii="Times New Roman" w:hAnsi="Times New Roman" w:cs="Times New Roman"/>
                <w:color w:val="000000"/>
              </w:rPr>
            </w:pPr>
            <w:r w:rsidRPr="006247BC">
              <w:rPr>
                <w:rFonts w:ascii="Times New Roman" w:hAnsi="Times New Roman" w:cs="Times New Roman"/>
                <w:color w:val="000000"/>
              </w:rPr>
              <w:t>0.91</w:t>
            </w:r>
          </w:p>
        </w:tc>
        <w:tc>
          <w:tcPr>
            <w:tcW w:w="541" w:type="pct"/>
            <w:vAlign w:val="bottom"/>
          </w:tcPr>
          <w:p w14:paraId="56C2576F" w14:textId="77777777" w:rsidR="001B16BB" w:rsidRPr="006247BC" w:rsidRDefault="001B16BB" w:rsidP="001B16BB">
            <w:pPr>
              <w:rPr>
                <w:rFonts w:ascii="Times New Roman" w:hAnsi="Times New Roman" w:cs="Times New Roman"/>
                <w:color w:val="000000"/>
              </w:rPr>
            </w:pPr>
            <w:r w:rsidRPr="006247BC">
              <w:rPr>
                <w:rFonts w:ascii="Times New Roman" w:hAnsi="Times New Roman" w:cs="Times New Roman"/>
                <w:color w:val="000000"/>
              </w:rPr>
              <w:t>0.98</w:t>
            </w:r>
          </w:p>
        </w:tc>
      </w:tr>
      <w:tr w:rsidR="001B16BB" w:rsidRPr="006247BC" w14:paraId="0E1FD7B2" w14:textId="77777777" w:rsidTr="000C3782">
        <w:trPr>
          <w:trHeight w:val="291"/>
        </w:trPr>
        <w:tc>
          <w:tcPr>
            <w:tcW w:w="3468" w:type="pct"/>
          </w:tcPr>
          <w:p w14:paraId="578991DA" w14:textId="77777777" w:rsidR="001B16BB" w:rsidRPr="006247BC" w:rsidRDefault="001B16BB" w:rsidP="001B16BB">
            <w:pPr>
              <w:pStyle w:val="Geenafstand"/>
              <w:jc w:val="both"/>
              <w:rPr>
                <w:rFonts w:ascii="Times New Roman" w:hAnsi="Times New Roman" w:cs="Times New Roman"/>
              </w:rPr>
            </w:pPr>
            <w:r w:rsidRPr="006247BC">
              <w:rPr>
                <w:rFonts w:ascii="Times New Roman" w:hAnsi="Times New Roman" w:cs="Times New Roman"/>
              </w:rPr>
              <w:t xml:space="preserve">   Quintile 1</w:t>
            </w:r>
          </w:p>
        </w:tc>
        <w:tc>
          <w:tcPr>
            <w:tcW w:w="435" w:type="pct"/>
            <w:vAlign w:val="bottom"/>
          </w:tcPr>
          <w:p w14:paraId="53AD2FC9" w14:textId="77777777" w:rsidR="001B16BB" w:rsidRPr="006247BC" w:rsidRDefault="001B16BB" w:rsidP="001B16BB">
            <w:pPr>
              <w:rPr>
                <w:rFonts w:ascii="Times New Roman" w:hAnsi="Times New Roman" w:cs="Times New Roman"/>
                <w:color w:val="000000"/>
              </w:rPr>
            </w:pPr>
            <w:r w:rsidRPr="006247BC">
              <w:rPr>
                <w:rFonts w:ascii="Times New Roman" w:hAnsi="Times New Roman" w:cs="Times New Roman"/>
                <w:color w:val="000000"/>
              </w:rPr>
              <w:t>1</w:t>
            </w:r>
          </w:p>
        </w:tc>
        <w:tc>
          <w:tcPr>
            <w:tcW w:w="556" w:type="pct"/>
            <w:vAlign w:val="bottom"/>
          </w:tcPr>
          <w:p w14:paraId="360F18D2" w14:textId="77777777" w:rsidR="001B16BB" w:rsidRPr="006247BC" w:rsidRDefault="001B16BB" w:rsidP="001B16BB">
            <w:pPr>
              <w:rPr>
                <w:rFonts w:ascii="Times New Roman" w:hAnsi="Times New Roman" w:cs="Times New Roman"/>
                <w:color w:val="000000"/>
              </w:rPr>
            </w:pPr>
            <w:r w:rsidRPr="006247BC">
              <w:rPr>
                <w:rFonts w:ascii="Times New Roman" w:hAnsi="Times New Roman" w:cs="Times New Roman"/>
                <w:color w:val="000000"/>
              </w:rPr>
              <w:t>1</w:t>
            </w:r>
          </w:p>
        </w:tc>
        <w:tc>
          <w:tcPr>
            <w:tcW w:w="541" w:type="pct"/>
            <w:vAlign w:val="bottom"/>
          </w:tcPr>
          <w:p w14:paraId="7C381238" w14:textId="77777777" w:rsidR="001B16BB" w:rsidRPr="006247BC" w:rsidRDefault="001B16BB" w:rsidP="001B16BB">
            <w:pPr>
              <w:rPr>
                <w:rFonts w:ascii="Times New Roman" w:hAnsi="Times New Roman" w:cs="Times New Roman"/>
                <w:color w:val="000000"/>
              </w:rPr>
            </w:pPr>
            <w:r w:rsidRPr="006247BC">
              <w:rPr>
                <w:rFonts w:ascii="Times New Roman" w:hAnsi="Times New Roman" w:cs="Times New Roman"/>
                <w:color w:val="000000"/>
              </w:rPr>
              <w:t>1</w:t>
            </w:r>
          </w:p>
        </w:tc>
      </w:tr>
      <w:tr w:rsidR="001B16BB" w:rsidRPr="006247BC" w14:paraId="3B3B68AB" w14:textId="77777777" w:rsidTr="000C3782">
        <w:trPr>
          <w:trHeight w:val="291"/>
        </w:trPr>
        <w:tc>
          <w:tcPr>
            <w:tcW w:w="3468" w:type="pct"/>
          </w:tcPr>
          <w:p w14:paraId="76A28A1F" w14:textId="77777777" w:rsidR="001B16BB" w:rsidRPr="006247BC" w:rsidRDefault="001B16BB" w:rsidP="001B16BB">
            <w:pPr>
              <w:pStyle w:val="Geenafstand"/>
              <w:jc w:val="both"/>
              <w:rPr>
                <w:rFonts w:ascii="Times New Roman" w:hAnsi="Times New Roman" w:cs="Times New Roman"/>
              </w:rPr>
            </w:pPr>
            <w:r w:rsidRPr="006247BC">
              <w:rPr>
                <w:rFonts w:ascii="Times New Roman" w:hAnsi="Times New Roman" w:cs="Times New Roman"/>
              </w:rPr>
              <w:t xml:space="preserve">   Quintile 2</w:t>
            </w:r>
          </w:p>
        </w:tc>
        <w:tc>
          <w:tcPr>
            <w:tcW w:w="435" w:type="pct"/>
            <w:vAlign w:val="bottom"/>
          </w:tcPr>
          <w:p w14:paraId="5499CBE2" w14:textId="77777777" w:rsidR="001B16BB" w:rsidRPr="006247BC" w:rsidRDefault="001B16BB" w:rsidP="001B16BB">
            <w:pPr>
              <w:rPr>
                <w:rFonts w:ascii="Times New Roman" w:hAnsi="Times New Roman" w:cs="Times New Roman"/>
                <w:color w:val="000000"/>
              </w:rPr>
            </w:pPr>
            <w:r w:rsidRPr="006247BC">
              <w:rPr>
                <w:rFonts w:ascii="Times New Roman" w:hAnsi="Times New Roman" w:cs="Times New Roman"/>
                <w:color w:val="000000"/>
              </w:rPr>
              <w:t>0.86</w:t>
            </w:r>
          </w:p>
        </w:tc>
        <w:tc>
          <w:tcPr>
            <w:tcW w:w="556" w:type="pct"/>
            <w:vAlign w:val="bottom"/>
          </w:tcPr>
          <w:p w14:paraId="2B2F8A6C" w14:textId="77777777" w:rsidR="001B16BB" w:rsidRPr="006247BC" w:rsidRDefault="001B16BB" w:rsidP="001B16BB">
            <w:pPr>
              <w:rPr>
                <w:rFonts w:ascii="Times New Roman" w:hAnsi="Times New Roman" w:cs="Times New Roman"/>
                <w:color w:val="000000"/>
              </w:rPr>
            </w:pPr>
            <w:r w:rsidRPr="006247BC">
              <w:rPr>
                <w:rFonts w:ascii="Times New Roman" w:hAnsi="Times New Roman" w:cs="Times New Roman"/>
                <w:color w:val="000000"/>
              </w:rPr>
              <w:t>0.5</w:t>
            </w:r>
          </w:p>
        </w:tc>
        <w:tc>
          <w:tcPr>
            <w:tcW w:w="541" w:type="pct"/>
            <w:vAlign w:val="bottom"/>
          </w:tcPr>
          <w:p w14:paraId="59DE2B99" w14:textId="77777777" w:rsidR="001B16BB" w:rsidRPr="006247BC" w:rsidRDefault="001B16BB" w:rsidP="001B16BB">
            <w:pPr>
              <w:rPr>
                <w:rFonts w:ascii="Times New Roman" w:hAnsi="Times New Roman" w:cs="Times New Roman"/>
                <w:color w:val="000000"/>
              </w:rPr>
            </w:pPr>
            <w:r w:rsidRPr="006247BC">
              <w:rPr>
                <w:rFonts w:ascii="Times New Roman" w:hAnsi="Times New Roman" w:cs="Times New Roman"/>
                <w:color w:val="000000"/>
              </w:rPr>
              <w:t>1.48</w:t>
            </w:r>
          </w:p>
        </w:tc>
      </w:tr>
      <w:tr w:rsidR="001B16BB" w:rsidRPr="006247BC" w14:paraId="463B5813" w14:textId="77777777" w:rsidTr="000C3782">
        <w:trPr>
          <w:trHeight w:val="291"/>
        </w:trPr>
        <w:tc>
          <w:tcPr>
            <w:tcW w:w="3468" w:type="pct"/>
          </w:tcPr>
          <w:p w14:paraId="712B4B06" w14:textId="77777777" w:rsidR="001B16BB" w:rsidRPr="006247BC" w:rsidRDefault="001B16BB" w:rsidP="001B16BB">
            <w:pPr>
              <w:pStyle w:val="Geenafstand"/>
              <w:jc w:val="both"/>
              <w:rPr>
                <w:rFonts w:ascii="Times New Roman" w:hAnsi="Times New Roman" w:cs="Times New Roman"/>
              </w:rPr>
            </w:pPr>
            <w:r w:rsidRPr="006247BC">
              <w:rPr>
                <w:rFonts w:ascii="Times New Roman" w:hAnsi="Times New Roman" w:cs="Times New Roman"/>
              </w:rPr>
              <w:t xml:space="preserve">   Quintile 3</w:t>
            </w:r>
          </w:p>
        </w:tc>
        <w:tc>
          <w:tcPr>
            <w:tcW w:w="435" w:type="pct"/>
            <w:vAlign w:val="bottom"/>
          </w:tcPr>
          <w:p w14:paraId="24EA1C65" w14:textId="77777777" w:rsidR="001B16BB" w:rsidRPr="006247BC" w:rsidRDefault="001B16BB" w:rsidP="001B16BB">
            <w:pPr>
              <w:rPr>
                <w:rFonts w:ascii="Times New Roman" w:hAnsi="Times New Roman" w:cs="Times New Roman"/>
                <w:color w:val="000000"/>
              </w:rPr>
            </w:pPr>
            <w:r w:rsidRPr="006247BC">
              <w:rPr>
                <w:rFonts w:ascii="Times New Roman" w:hAnsi="Times New Roman" w:cs="Times New Roman"/>
                <w:color w:val="000000"/>
              </w:rPr>
              <w:t>0.77</w:t>
            </w:r>
          </w:p>
        </w:tc>
        <w:tc>
          <w:tcPr>
            <w:tcW w:w="556" w:type="pct"/>
            <w:vAlign w:val="bottom"/>
          </w:tcPr>
          <w:p w14:paraId="445001DE" w14:textId="77777777" w:rsidR="001B16BB" w:rsidRPr="006247BC" w:rsidRDefault="001B16BB" w:rsidP="001B16BB">
            <w:pPr>
              <w:rPr>
                <w:rFonts w:ascii="Times New Roman" w:hAnsi="Times New Roman" w:cs="Times New Roman"/>
                <w:color w:val="000000"/>
              </w:rPr>
            </w:pPr>
            <w:r w:rsidRPr="006247BC">
              <w:rPr>
                <w:rFonts w:ascii="Times New Roman" w:hAnsi="Times New Roman" w:cs="Times New Roman"/>
                <w:color w:val="000000"/>
              </w:rPr>
              <w:t>0.44</w:t>
            </w:r>
          </w:p>
        </w:tc>
        <w:tc>
          <w:tcPr>
            <w:tcW w:w="541" w:type="pct"/>
            <w:vAlign w:val="bottom"/>
          </w:tcPr>
          <w:p w14:paraId="4C647DCF" w14:textId="77777777" w:rsidR="001B16BB" w:rsidRPr="006247BC" w:rsidRDefault="001B16BB" w:rsidP="001B16BB">
            <w:pPr>
              <w:rPr>
                <w:rFonts w:ascii="Times New Roman" w:hAnsi="Times New Roman" w:cs="Times New Roman"/>
                <w:color w:val="000000"/>
              </w:rPr>
            </w:pPr>
            <w:r w:rsidRPr="006247BC">
              <w:rPr>
                <w:rFonts w:ascii="Times New Roman" w:hAnsi="Times New Roman" w:cs="Times New Roman"/>
                <w:color w:val="000000"/>
              </w:rPr>
              <w:t>1.33</w:t>
            </w:r>
          </w:p>
        </w:tc>
      </w:tr>
      <w:tr w:rsidR="001B16BB" w:rsidRPr="006247BC" w14:paraId="5FB35621" w14:textId="77777777" w:rsidTr="000C3782">
        <w:trPr>
          <w:trHeight w:val="291"/>
        </w:trPr>
        <w:tc>
          <w:tcPr>
            <w:tcW w:w="3468" w:type="pct"/>
          </w:tcPr>
          <w:p w14:paraId="6DAE9DA0" w14:textId="77777777" w:rsidR="001B16BB" w:rsidRPr="006247BC" w:rsidRDefault="001B16BB" w:rsidP="001B16BB">
            <w:pPr>
              <w:pStyle w:val="Geenafstand"/>
              <w:jc w:val="both"/>
              <w:rPr>
                <w:rFonts w:ascii="Times New Roman" w:hAnsi="Times New Roman" w:cs="Times New Roman"/>
              </w:rPr>
            </w:pPr>
            <w:r w:rsidRPr="006247BC">
              <w:rPr>
                <w:rFonts w:ascii="Times New Roman" w:hAnsi="Times New Roman" w:cs="Times New Roman"/>
              </w:rPr>
              <w:t xml:space="preserve">   Quintile 4</w:t>
            </w:r>
          </w:p>
        </w:tc>
        <w:tc>
          <w:tcPr>
            <w:tcW w:w="435" w:type="pct"/>
            <w:vAlign w:val="bottom"/>
          </w:tcPr>
          <w:p w14:paraId="5EE20353" w14:textId="77777777" w:rsidR="001B16BB" w:rsidRPr="006247BC" w:rsidRDefault="001B16BB" w:rsidP="001B16BB">
            <w:pPr>
              <w:rPr>
                <w:rFonts w:ascii="Times New Roman" w:hAnsi="Times New Roman" w:cs="Times New Roman"/>
                <w:color w:val="000000"/>
              </w:rPr>
            </w:pPr>
            <w:r w:rsidRPr="006247BC">
              <w:rPr>
                <w:rFonts w:ascii="Times New Roman" w:hAnsi="Times New Roman" w:cs="Times New Roman"/>
                <w:color w:val="000000"/>
              </w:rPr>
              <w:t>0.78</w:t>
            </w:r>
          </w:p>
        </w:tc>
        <w:tc>
          <w:tcPr>
            <w:tcW w:w="556" w:type="pct"/>
            <w:vAlign w:val="bottom"/>
          </w:tcPr>
          <w:p w14:paraId="1FA67F44" w14:textId="77777777" w:rsidR="001B16BB" w:rsidRPr="006247BC" w:rsidRDefault="001B16BB" w:rsidP="001B16BB">
            <w:pPr>
              <w:rPr>
                <w:rFonts w:ascii="Times New Roman" w:hAnsi="Times New Roman" w:cs="Times New Roman"/>
                <w:color w:val="000000"/>
              </w:rPr>
            </w:pPr>
            <w:r w:rsidRPr="006247BC">
              <w:rPr>
                <w:rFonts w:ascii="Times New Roman" w:hAnsi="Times New Roman" w:cs="Times New Roman"/>
                <w:color w:val="000000"/>
              </w:rPr>
              <w:t>0.45</w:t>
            </w:r>
          </w:p>
        </w:tc>
        <w:tc>
          <w:tcPr>
            <w:tcW w:w="541" w:type="pct"/>
            <w:vAlign w:val="bottom"/>
          </w:tcPr>
          <w:p w14:paraId="516D0DB2" w14:textId="77777777" w:rsidR="001B16BB" w:rsidRPr="006247BC" w:rsidRDefault="001B16BB" w:rsidP="001B16BB">
            <w:pPr>
              <w:rPr>
                <w:rFonts w:ascii="Times New Roman" w:hAnsi="Times New Roman" w:cs="Times New Roman"/>
                <w:color w:val="000000"/>
              </w:rPr>
            </w:pPr>
            <w:r w:rsidRPr="006247BC">
              <w:rPr>
                <w:rFonts w:ascii="Times New Roman" w:hAnsi="Times New Roman" w:cs="Times New Roman"/>
                <w:color w:val="000000"/>
              </w:rPr>
              <w:t>1.35</w:t>
            </w:r>
          </w:p>
        </w:tc>
      </w:tr>
      <w:tr w:rsidR="001B16BB" w:rsidRPr="006247BC" w14:paraId="5A87D311" w14:textId="77777777" w:rsidTr="000C3782">
        <w:trPr>
          <w:trHeight w:val="291"/>
        </w:trPr>
        <w:tc>
          <w:tcPr>
            <w:tcW w:w="3468" w:type="pct"/>
          </w:tcPr>
          <w:p w14:paraId="7DFC227A" w14:textId="77777777" w:rsidR="001B16BB" w:rsidRPr="006247BC" w:rsidRDefault="001B16BB" w:rsidP="001B16BB">
            <w:pPr>
              <w:pStyle w:val="Geenafstand"/>
              <w:jc w:val="both"/>
              <w:rPr>
                <w:rFonts w:ascii="Times New Roman" w:hAnsi="Times New Roman" w:cs="Times New Roman"/>
              </w:rPr>
            </w:pPr>
            <w:r w:rsidRPr="006247BC">
              <w:rPr>
                <w:rFonts w:ascii="Times New Roman" w:hAnsi="Times New Roman" w:cs="Times New Roman"/>
              </w:rPr>
              <w:t xml:space="preserve">   Quintile 5</w:t>
            </w:r>
          </w:p>
        </w:tc>
        <w:tc>
          <w:tcPr>
            <w:tcW w:w="435" w:type="pct"/>
            <w:vAlign w:val="bottom"/>
          </w:tcPr>
          <w:p w14:paraId="4CC39124" w14:textId="77777777" w:rsidR="001B16BB" w:rsidRPr="006247BC" w:rsidRDefault="001B16BB" w:rsidP="001B16BB">
            <w:pPr>
              <w:rPr>
                <w:rFonts w:ascii="Times New Roman" w:hAnsi="Times New Roman" w:cs="Times New Roman"/>
                <w:color w:val="000000"/>
              </w:rPr>
            </w:pPr>
            <w:r w:rsidRPr="006247BC">
              <w:rPr>
                <w:rFonts w:ascii="Times New Roman" w:hAnsi="Times New Roman" w:cs="Times New Roman"/>
                <w:color w:val="000000"/>
              </w:rPr>
              <w:t>0.39</w:t>
            </w:r>
          </w:p>
        </w:tc>
        <w:tc>
          <w:tcPr>
            <w:tcW w:w="556" w:type="pct"/>
            <w:vAlign w:val="bottom"/>
          </w:tcPr>
          <w:p w14:paraId="05A3DE6F" w14:textId="77777777" w:rsidR="001B16BB" w:rsidRPr="006247BC" w:rsidRDefault="001B16BB" w:rsidP="001B16BB">
            <w:pPr>
              <w:rPr>
                <w:rFonts w:ascii="Times New Roman" w:hAnsi="Times New Roman" w:cs="Times New Roman"/>
                <w:color w:val="000000"/>
              </w:rPr>
            </w:pPr>
            <w:r w:rsidRPr="006247BC">
              <w:rPr>
                <w:rFonts w:ascii="Times New Roman" w:hAnsi="Times New Roman" w:cs="Times New Roman"/>
                <w:color w:val="000000"/>
              </w:rPr>
              <w:t>0.2</w:t>
            </w:r>
          </w:p>
        </w:tc>
        <w:tc>
          <w:tcPr>
            <w:tcW w:w="541" w:type="pct"/>
            <w:vAlign w:val="bottom"/>
          </w:tcPr>
          <w:p w14:paraId="7A98FF51" w14:textId="77777777" w:rsidR="001B16BB" w:rsidRPr="006247BC" w:rsidRDefault="001B16BB" w:rsidP="001B16BB">
            <w:pPr>
              <w:rPr>
                <w:rFonts w:ascii="Times New Roman" w:hAnsi="Times New Roman" w:cs="Times New Roman"/>
                <w:color w:val="000000"/>
              </w:rPr>
            </w:pPr>
            <w:r w:rsidRPr="006247BC">
              <w:rPr>
                <w:rFonts w:ascii="Times New Roman" w:hAnsi="Times New Roman" w:cs="Times New Roman"/>
                <w:color w:val="000000"/>
              </w:rPr>
              <w:t>0.74</w:t>
            </w:r>
          </w:p>
        </w:tc>
      </w:tr>
      <w:tr w:rsidR="009D47A4" w:rsidRPr="006247BC" w14:paraId="3E4B5965" w14:textId="77777777" w:rsidTr="000C3782">
        <w:trPr>
          <w:trHeight w:val="291"/>
        </w:trPr>
        <w:tc>
          <w:tcPr>
            <w:tcW w:w="3468" w:type="pct"/>
          </w:tcPr>
          <w:p w14:paraId="27B90AC5" w14:textId="77777777" w:rsidR="009D47A4" w:rsidRPr="006247BC" w:rsidRDefault="009D47A4" w:rsidP="009D47A4">
            <w:pPr>
              <w:pStyle w:val="Geenafstand"/>
              <w:jc w:val="both"/>
              <w:rPr>
                <w:rFonts w:ascii="Times New Roman" w:hAnsi="Times New Roman" w:cs="Times New Roman"/>
                <w:b/>
              </w:rPr>
            </w:pPr>
            <w:r w:rsidRPr="006247BC">
              <w:rPr>
                <w:rFonts w:ascii="Times New Roman" w:hAnsi="Times New Roman" w:cs="Times New Roman"/>
                <w:b/>
              </w:rPr>
              <w:t>Dietary nitrate intake from vegetables</w:t>
            </w:r>
          </w:p>
        </w:tc>
        <w:tc>
          <w:tcPr>
            <w:tcW w:w="435" w:type="pct"/>
          </w:tcPr>
          <w:p w14:paraId="00DEE802" w14:textId="77777777" w:rsidR="009D47A4" w:rsidRPr="006247BC" w:rsidRDefault="009D47A4" w:rsidP="009D47A4">
            <w:pPr>
              <w:pStyle w:val="Geenafstand"/>
              <w:jc w:val="both"/>
              <w:rPr>
                <w:rFonts w:ascii="Times New Roman" w:hAnsi="Times New Roman" w:cs="Times New Roman"/>
              </w:rPr>
            </w:pPr>
          </w:p>
        </w:tc>
        <w:tc>
          <w:tcPr>
            <w:tcW w:w="556" w:type="pct"/>
          </w:tcPr>
          <w:p w14:paraId="0277504C" w14:textId="77777777" w:rsidR="009D47A4" w:rsidRPr="006247BC" w:rsidRDefault="009D47A4" w:rsidP="009D47A4">
            <w:pPr>
              <w:pStyle w:val="Geenafstand"/>
              <w:jc w:val="both"/>
              <w:rPr>
                <w:rFonts w:ascii="Times New Roman" w:hAnsi="Times New Roman" w:cs="Times New Roman"/>
              </w:rPr>
            </w:pPr>
          </w:p>
        </w:tc>
        <w:tc>
          <w:tcPr>
            <w:tcW w:w="541" w:type="pct"/>
          </w:tcPr>
          <w:p w14:paraId="36503699" w14:textId="77777777" w:rsidR="009D47A4" w:rsidRPr="006247BC" w:rsidRDefault="009D47A4" w:rsidP="009D47A4">
            <w:pPr>
              <w:pStyle w:val="Geenafstand"/>
              <w:jc w:val="both"/>
              <w:rPr>
                <w:rFonts w:ascii="Times New Roman" w:hAnsi="Times New Roman" w:cs="Times New Roman"/>
              </w:rPr>
            </w:pPr>
          </w:p>
        </w:tc>
      </w:tr>
      <w:tr w:rsidR="001B16BB" w:rsidRPr="006247BC" w14:paraId="6F5D5CE8" w14:textId="77777777" w:rsidTr="000C3782">
        <w:trPr>
          <w:trHeight w:val="291"/>
        </w:trPr>
        <w:tc>
          <w:tcPr>
            <w:tcW w:w="3468" w:type="pct"/>
          </w:tcPr>
          <w:p w14:paraId="6BB13FB2" w14:textId="77777777" w:rsidR="001B16BB" w:rsidRPr="006247BC" w:rsidRDefault="001B16BB" w:rsidP="000C3782">
            <w:pPr>
              <w:pStyle w:val="Geenafstand"/>
              <w:jc w:val="both"/>
              <w:rPr>
                <w:rFonts w:ascii="Times New Roman" w:hAnsi="Times New Roman" w:cs="Times New Roman"/>
              </w:rPr>
            </w:pPr>
            <w:r w:rsidRPr="006247BC">
              <w:rPr>
                <w:rFonts w:ascii="Times New Roman" w:hAnsi="Times New Roman" w:cs="Times New Roman"/>
              </w:rPr>
              <w:t xml:space="preserve">   Continuous (per 10mg/day)</w:t>
            </w:r>
          </w:p>
        </w:tc>
        <w:tc>
          <w:tcPr>
            <w:tcW w:w="435" w:type="pct"/>
            <w:vAlign w:val="bottom"/>
          </w:tcPr>
          <w:p w14:paraId="09E57EDC" w14:textId="77777777" w:rsidR="001B16BB" w:rsidRPr="006247BC" w:rsidRDefault="001B16BB" w:rsidP="001B16BB">
            <w:pPr>
              <w:rPr>
                <w:rFonts w:ascii="Times New Roman" w:hAnsi="Times New Roman" w:cs="Times New Roman"/>
                <w:color w:val="000000"/>
              </w:rPr>
            </w:pPr>
            <w:r w:rsidRPr="006247BC">
              <w:rPr>
                <w:rFonts w:ascii="Times New Roman" w:hAnsi="Times New Roman" w:cs="Times New Roman"/>
                <w:color w:val="000000"/>
              </w:rPr>
              <w:t>0.95</w:t>
            </w:r>
          </w:p>
        </w:tc>
        <w:tc>
          <w:tcPr>
            <w:tcW w:w="556" w:type="pct"/>
            <w:vAlign w:val="bottom"/>
          </w:tcPr>
          <w:p w14:paraId="444086AD" w14:textId="77777777" w:rsidR="001B16BB" w:rsidRPr="006247BC" w:rsidRDefault="001B16BB" w:rsidP="001B16BB">
            <w:pPr>
              <w:rPr>
                <w:rFonts w:ascii="Times New Roman" w:hAnsi="Times New Roman" w:cs="Times New Roman"/>
                <w:color w:val="000000"/>
              </w:rPr>
            </w:pPr>
            <w:r w:rsidRPr="006247BC">
              <w:rPr>
                <w:rFonts w:ascii="Times New Roman" w:hAnsi="Times New Roman" w:cs="Times New Roman"/>
                <w:color w:val="000000"/>
              </w:rPr>
              <w:t>0.91</w:t>
            </w:r>
          </w:p>
        </w:tc>
        <w:tc>
          <w:tcPr>
            <w:tcW w:w="541" w:type="pct"/>
            <w:vAlign w:val="bottom"/>
          </w:tcPr>
          <w:p w14:paraId="7A7B82FF" w14:textId="77777777" w:rsidR="001B16BB" w:rsidRPr="006247BC" w:rsidRDefault="001B16BB" w:rsidP="001B16BB">
            <w:pPr>
              <w:rPr>
                <w:rFonts w:ascii="Times New Roman" w:hAnsi="Times New Roman" w:cs="Times New Roman"/>
                <w:color w:val="000000"/>
              </w:rPr>
            </w:pPr>
            <w:r w:rsidRPr="006247BC">
              <w:rPr>
                <w:rFonts w:ascii="Times New Roman" w:hAnsi="Times New Roman" w:cs="Times New Roman"/>
                <w:color w:val="000000"/>
              </w:rPr>
              <w:t>0.98</w:t>
            </w:r>
          </w:p>
        </w:tc>
      </w:tr>
      <w:tr w:rsidR="001B16BB" w:rsidRPr="006247BC" w14:paraId="1CCF5C66" w14:textId="77777777" w:rsidTr="000C3782">
        <w:trPr>
          <w:trHeight w:val="291"/>
        </w:trPr>
        <w:tc>
          <w:tcPr>
            <w:tcW w:w="3468" w:type="pct"/>
          </w:tcPr>
          <w:p w14:paraId="6BC21C40" w14:textId="77777777" w:rsidR="001B16BB" w:rsidRPr="006247BC" w:rsidRDefault="001B16BB" w:rsidP="001B16BB">
            <w:pPr>
              <w:pStyle w:val="Geenafstand"/>
              <w:jc w:val="both"/>
              <w:rPr>
                <w:rFonts w:ascii="Times New Roman" w:hAnsi="Times New Roman" w:cs="Times New Roman"/>
              </w:rPr>
            </w:pPr>
            <w:r w:rsidRPr="006247BC">
              <w:rPr>
                <w:rFonts w:ascii="Times New Roman" w:hAnsi="Times New Roman" w:cs="Times New Roman"/>
              </w:rPr>
              <w:t xml:space="preserve">   Quintile 1</w:t>
            </w:r>
          </w:p>
        </w:tc>
        <w:tc>
          <w:tcPr>
            <w:tcW w:w="435" w:type="pct"/>
            <w:vAlign w:val="bottom"/>
          </w:tcPr>
          <w:p w14:paraId="10C2B9B7" w14:textId="77777777" w:rsidR="001B16BB" w:rsidRPr="006247BC" w:rsidRDefault="001B16BB" w:rsidP="001B16BB">
            <w:pPr>
              <w:rPr>
                <w:rFonts w:ascii="Times New Roman" w:hAnsi="Times New Roman" w:cs="Times New Roman"/>
                <w:color w:val="000000"/>
              </w:rPr>
            </w:pPr>
            <w:r w:rsidRPr="006247BC">
              <w:rPr>
                <w:rFonts w:ascii="Times New Roman" w:hAnsi="Times New Roman" w:cs="Times New Roman"/>
                <w:color w:val="000000"/>
              </w:rPr>
              <w:t>1</w:t>
            </w:r>
          </w:p>
        </w:tc>
        <w:tc>
          <w:tcPr>
            <w:tcW w:w="556" w:type="pct"/>
            <w:vAlign w:val="bottom"/>
          </w:tcPr>
          <w:p w14:paraId="195B5BB4" w14:textId="77777777" w:rsidR="001B16BB" w:rsidRPr="006247BC" w:rsidRDefault="001B16BB" w:rsidP="001B16BB">
            <w:pPr>
              <w:rPr>
                <w:rFonts w:ascii="Times New Roman" w:hAnsi="Times New Roman" w:cs="Times New Roman"/>
                <w:color w:val="000000"/>
              </w:rPr>
            </w:pPr>
            <w:r w:rsidRPr="006247BC">
              <w:rPr>
                <w:rFonts w:ascii="Times New Roman" w:hAnsi="Times New Roman" w:cs="Times New Roman"/>
                <w:color w:val="000000"/>
              </w:rPr>
              <w:t>1</w:t>
            </w:r>
          </w:p>
        </w:tc>
        <w:tc>
          <w:tcPr>
            <w:tcW w:w="541" w:type="pct"/>
            <w:vAlign w:val="bottom"/>
          </w:tcPr>
          <w:p w14:paraId="60D9C109" w14:textId="77777777" w:rsidR="001B16BB" w:rsidRPr="006247BC" w:rsidRDefault="001B16BB" w:rsidP="001B16BB">
            <w:pPr>
              <w:rPr>
                <w:rFonts w:ascii="Times New Roman" w:hAnsi="Times New Roman" w:cs="Times New Roman"/>
                <w:color w:val="000000"/>
              </w:rPr>
            </w:pPr>
            <w:r w:rsidRPr="006247BC">
              <w:rPr>
                <w:rFonts w:ascii="Times New Roman" w:hAnsi="Times New Roman" w:cs="Times New Roman"/>
                <w:color w:val="000000"/>
              </w:rPr>
              <w:t>1</w:t>
            </w:r>
          </w:p>
        </w:tc>
      </w:tr>
      <w:tr w:rsidR="001B16BB" w:rsidRPr="006247BC" w14:paraId="38A88B95" w14:textId="77777777" w:rsidTr="000C3782">
        <w:trPr>
          <w:trHeight w:val="291"/>
        </w:trPr>
        <w:tc>
          <w:tcPr>
            <w:tcW w:w="3468" w:type="pct"/>
          </w:tcPr>
          <w:p w14:paraId="5A187EA2" w14:textId="77777777" w:rsidR="001B16BB" w:rsidRPr="006247BC" w:rsidRDefault="001B16BB" w:rsidP="001B16BB">
            <w:pPr>
              <w:pStyle w:val="Geenafstand"/>
              <w:jc w:val="both"/>
              <w:rPr>
                <w:rFonts w:ascii="Times New Roman" w:hAnsi="Times New Roman" w:cs="Times New Roman"/>
              </w:rPr>
            </w:pPr>
            <w:r w:rsidRPr="006247BC">
              <w:rPr>
                <w:rFonts w:ascii="Times New Roman" w:hAnsi="Times New Roman" w:cs="Times New Roman"/>
              </w:rPr>
              <w:t xml:space="preserve">   Quintile 2</w:t>
            </w:r>
          </w:p>
        </w:tc>
        <w:tc>
          <w:tcPr>
            <w:tcW w:w="435" w:type="pct"/>
            <w:vAlign w:val="bottom"/>
          </w:tcPr>
          <w:p w14:paraId="78BEF4EC" w14:textId="77777777" w:rsidR="001B16BB" w:rsidRPr="006247BC" w:rsidRDefault="001B16BB" w:rsidP="001B16BB">
            <w:pPr>
              <w:rPr>
                <w:rFonts w:ascii="Times New Roman" w:hAnsi="Times New Roman" w:cs="Times New Roman"/>
                <w:color w:val="000000"/>
              </w:rPr>
            </w:pPr>
            <w:r w:rsidRPr="006247BC">
              <w:rPr>
                <w:rFonts w:ascii="Times New Roman" w:hAnsi="Times New Roman" w:cs="Times New Roman"/>
                <w:color w:val="000000"/>
              </w:rPr>
              <w:t>0.79</w:t>
            </w:r>
          </w:p>
        </w:tc>
        <w:tc>
          <w:tcPr>
            <w:tcW w:w="556" w:type="pct"/>
            <w:vAlign w:val="bottom"/>
          </w:tcPr>
          <w:p w14:paraId="50C70D66" w14:textId="77777777" w:rsidR="001B16BB" w:rsidRPr="006247BC" w:rsidRDefault="001B16BB" w:rsidP="001B16BB">
            <w:pPr>
              <w:rPr>
                <w:rFonts w:ascii="Times New Roman" w:hAnsi="Times New Roman" w:cs="Times New Roman"/>
                <w:color w:val="000000"/>
              </w:rPr>
            </w:pPr>
            <w:r w:rsidRPr="006247BC">
              <w:rPr>
                <w:rFonts w:ascii="Times New Roman" w:hAnsi="Times New Roman" w:cs="Times New Roman"/>
                <w:color w:val="000000"/>
              </w:rPr>
              <w:t>0.46</w:t>
            </w:r>
          </w:p>
        </w:tc>
        <w:tc>
          <w:tcPr>
            <w:tcW w:w="541" w:type="pct"/>
            <w:vAlign w:val="bottom"/>
          </w:tcPr>
          <w:p w14:paraId="7F59F212" w14:textId="77777777" w:rsidR="001B16BB" w:rsidRPr="006247BC" w:rsidRDefault="001B16BB" w:rsidP="001B16BB">
            <w:pPr>
              <w:rPr>
                <w:rFonts w:ascii="Times New Roman" w:hAnsi="Times New Roman" w:cs="Times New Roman"/>
                <w:color w:val="000000"/>
              </w:rPr>
            </w:pPr>
            <w:r w:rsidRPr="006247BC">
              <w:rPr>
                <w:rFonts w:ascii="Times New Roman" w:hAnsi="Times New Roman" w:cs="Times New Roman"/>
                <w:color w:val="000000"/>
              </w:rPr>
              <w:t>1.36</w:t>
            </w:r>
          </w:p>
        </w:tc>
      </w:tr>
      <w:tr w:rsidR="001B16BB" w:rsidRPr="006247BC" w14:paraId="357C6E11" w14:textId="77777777" w:rsidTr="000C3782">
        <w:trPr>
          <w:trHeight w:val="291"/>
        </w:trPr>
        <w:tc>
          <w:tcPr>
            <w:tcW w:w="3468" w:type="pct"/>
          </w:tcPr>
          <w:p w14:paraId="34FFB476" w14:textId="77777777" w:rsidR="001B16BB" w:rsidRPr="006247BC" w:rsidRDefault="001B16BB" w:rsidP="001B16BB">
            <w:pPr>
              <w:pStyle w:val="Geenafstand"/>
              <w:jc w:val="both"/>
              <w:rPr>
                <w:rFonts w:ascii="Times New Roman" w:hAnsi="Times New Roman" w:cs="Times New Roman"/>
              </w:rPr>
            </w:pPr>
            <w:r w:rsidRPr="006247BC">
              <w:rPr>
                <w:rFonts w:ascii="Times New Roman" w:hAnsi="Times New Roman" w:cs="Times New Roman"/>
              </w:rPr>
              <w:t xml:space="preserve">   Quintile 3</w:t>
            </w:r>
          </w:p>
        </w:tc>
        <w:tc>
          <w:tcPr>
            <w:tcW w:w="435" w:type="pct"/>
            <w:vAlign w:val="bottom"/>
          </w:tcPr>
          <w:p w14:paraId="50BAEAD5" w14:textId="77777777" w:rsidR="001B16BB" w:rsidRPr="006247BC" w:rsidRDefault="001B16BB" w:rsidP="001B16BB">
            <w:pPr>
              <w:rPr>
                <w:rFonts w:ascii="Times New Roman" w:hAnsi="Times New Roman" w:cs="Times New Roman"/>
                <w:color w:val="000000"/>
              </w:rPr>
            </w:pPr>
            <w:r w:rsidRPr="006247BC">
              <w:rPr>
                <w:rFonts w:ascii="Times New Roman" w:hAnsi="Times New Roman" w:cs="Times New Roman"/>
                <w:color w:val="000000"/>
              </w:rPr>
              <w:t>0.83</w:t>
            </w:r>
          </w:p>
        </w:tc>
        <w:tc>
          <w:tcPr>
            <w:tcW w:w="556" w:type="pct"/>
            <w:vAlign w:val="bottom"/>
          </w:tcPr>
          <w:p w14:paraId="2DCFD0A9" w14:textId="77777777" w:rsidR="001B16BB" w:rsidRPr="006247BC" w:rsidRDefault="001B16BB" w:rsidP="001B16BB">
            <w:pPr>
              <w:rPr>
                <w:rFonts w:ascii="Times New Roman" w:hAnsi="Times New Roman" w:cs="Times New Roman"/>
                <w:color w:val="000000"/>
              </w:rPr>
            </w:pPr>
            <w:r w:rsidRPr="006247BC">
              <w:rPr>
                <w:rFonts w:ascii="Times New Roman" w:hAnsi="Times New Roman" w:cs="Times New Roman"/>
                <w:color w:val="000000"/>
              </w:rPr>
              <w:t>0.49</w:t>
            </w:r>
          </w:p>
        </w:tc>
        <w:tc>
          <w:tcPr>
            <w:tcW w:w="541" w:type="pct"/>
            <w:vAlign w:val="bottom"/>
          </w:tcPr>
          <w:p w14:paraId="1884B0B9" w14:textId="77777777" w:rsidR="001B16BB" w:rsidRPr="006247BC" w:rsidRDefault="001B16BB" w:rsidP="001B16BB">
            <w:pPr>
              <w:rPr>
                <w:rFonts w:ascii="Times New Roman" w:hAnsi="Times New Roman" w:cs="Times New Roman"/>
                <w:color w:val="000000"/>
              </w:rPr>
            </w:pPr>
            <w:r w:rsidRPr="006247BC">
              <w:rPr>
                <w:rFonts w:ascii="Times New Roman" w:hAnsi="Times New Roman" w:cs="Times New Roman"/>
                <w:color w:val="000000"/>
              </w:rPr>
              <w:t>1.42</w:t>
            </w:r>
          </w:p>
        </w:tc>
      </w:tr>
      <w:tr w:rsidR="001B16BB" w:rsidRPr="006247BC" w14:paraId="41E62576" w14:textId="77777777" w:rsidTr="000C3782">
        <w:trPr>
          <w:trHeight w:val="291"/>
        </w:trPr>
        <w:tc>
          <w:tcPr>
            <w:tcW w:w="3468" w:type="pct"/>
          </w:tcPr>
          <w:p w14:paraId="0197593F" w14:textId="77777777" w:rsidR="001B16BB" w:rsidRPr="006247BC" w:rsidRDefault="001B16BB" w:rsidP="001B16BB">
            <w:pPr>
              <w:pStyle w:val="Geenafstand"/>
              <w:jc w:val="both"/>
              <w:rPr>
                <w:rFonts w:ascii="Times New Roman" w:hAnsi="Times New Roman" w:cs="Times New Roman"/>
              </w:rPr>
            </w:pPr>
            <w:r w:rsidRPr="006247BC">
              <w:rPr>
                <w:rFonts w:ascii="Times New Roman" w:hAnsi="Times New Roman" w:cs="Times New Roman"/>
              </w:rPr>
              <w:t xml:space="preserve">   Quintile 4</w:t>
            </w:r>
          </w:p>
        </w:tc>
        <w:tc>
          <w:tcPr>
            <w:tcW w:w="435" w:type="pct"/>
            <w:vAlign w:val="bottom"/>
          </w:tcPr>
          <w:p w14:paraId="26477BE9" w14:textId="77777777" w:rsidR="001B16BB" w:rsidRPr="006247BC" w:rsidRDefault="001B16BB" w:rsidP="001B16BB">
            <w:pPr>
              <w:rPr>
                <w:rFonts w:ascii="Times New Roman" w:hAnsi="Times New Roman" w:cs="Times New Roman"/>
                <w:color w:val="000000"/>
              </w:rPr>
            </w:pPr>
            <w:r w:rsidRPr="006247BC">
              <w:rPr>
                <w:rFonts w:ascii="Times New Roman" w:hAnsi="Times New Roman" w:cs="Times New Roman"/>
                <w:color w:val="000000"/>
              </w:rPr>
              <w:t>0.79</w:t>
            </w:r>
          </w:p>
        </w:tc>
        <w:tc>
          <w:tcPr>
            <w:tcW w:w="556" w:type="pct"/>
            <w:vAlign w:val="bottom"/>
          </w:tcPr>
          <w:p w14:paraId="1F697210" w14:textId="77777777" w:rsidR="001B16BB" w:rsidRPr="006247BC" w:rsidRDefault="001B16BB" w:rsidP="001B16BB">
            <w:pPr>
              <w:rPr>
                <w:rFonts w:ascii="Times New Roman" w:hAnsi="Times New Roman" w:cs="Times New Roman"/>
                <w:color w:val="000000"/>
              </w:rPr>
            </w:pPr>
            <w:r w:rsidRPr="006247BC">
              <w:rPr>
                <w:rFonts w:ascii="Times New Roman" w:hAnsi="Times New Roman" w:cs="Times New Roman"/>
                <w:color w:val="000000"/>
              </w:rPr>
              <w:t>0.45</w:t>
            </w:r>
          </w:p>
        </w:tc>
        <w:tc>
          <w:tcPr>
            <w:tcW w:w="541" w:type="pct"/>
            <w:vAlign w:val="bottom"/>
          </w:tcPr>
          <w:p w14:paraId="2B499BAE" w14:textId="77777777" w:rsidR="001B16BB" w:rsidRPr="006247BC" w:rsidRDefault="001B16BB" w:rsidP="001B16BB">
            <w:pPr>
              <w:rPr>
                <w:rFonts w:ascii="Times New Roman" w:hAnsi="Times New Roman" w:cs="Times New Roman"/>
                <w:color w:val="000000"/>
              </w:rPr>
            </w:pPr>
            <w:r w:rsidRPr="006247BC">
              <w:rPr>
                <w:rFonts w:ascii="Times New Roman" w:hAnsi="Times New Roman" w:cs="Times New Roman"/>
                <w:color w:val="000000"/>
              </w:rPr>
              <w:t>1.37</w:t>
            </w:r>
          </w:p>
        </w:tc>
      </w:tr>
      <w:tr w:rsidR="001B16BB" w:rsidRPr="006247BC" w14:paraId="0EA77501" w14:textId="77777777" w:rsidTr="000C3782">
        <w:trPr>
          <w:trHeight w:val="291"/>
        </w:trPr>
        <w:tc>
          <w:tcPr>
            <w:tcW w:w="3468" w:type="pct"/>
          </w:tcPr>
          <w:p w14:paraId="3537E763" w14:textId="77777777" w:rsidR="001B16BB" w:rsidRPr="006247BC" w:rsidRDefault="001B16BB" w:rsidP="001B16BB">
            <w:pPr>
              <w:pStyle w:val="Geenafstand"/>
              <w:jc w:val="both"/>
              <w:rPr>
                <w:rFonts w:ascii="Times New Roman" w:hAnsi="Times New Roman" w:cs="Times New Roman"/>
              </w:rPr>
            </w:pPr>
            <w:r w:rsidRPr="006247BC">
              <w:rPr>
                <w:rFonts w:ascii="Times New Roman" w:hAnsi="Times New Roman" w:cs="Times New Roman"/>
              </w:rPr>
              <w:t xml:space="preserve">   Quintile 5</w:t>
            </w:r>
          </w:p>
        </w:tc>
        <w:tc>
          <w:tcPr>
            <w:tcW w:w="435" w:type="pct"/>
            <w:vAlign w:val="bottom"/>
          </w:tcPr>
          <w:p w14:paraId="3CB49615" w14:textId="77777777" w:rsidR="001B16BB" w:rsidRPr="006247BC" w:rsidRDefault="001B16BB" w:rsidP="001B16BB">
            <w:pPr>
              <w:rPr>
                <w:rFonts w:ascii="Times New Roman" w:hAnsi="Times New Roman" w:cs="Times New Roman"/>
                <w:color w:val="000000"/>
              </w:rPr>
            </w:pPr>
            <w:r w:rsidRPr="006247BC">
              <w:rPr>
                <w:rFonts w:ascii="Times New Roman" w:hAnsi="Times New Roman" w:cs="Times New Roman"/>
                <w:color w:val="000000"/>
              </w:rPr>
              <w:t>0.39</w:t>
            </w:r>
          </w:p>
        </w:tc>
        <w:tc>
          <w:tcPr>
            <w:tcW w:w="556" w:type="pct"/>
            <w:vAlign w:val="bottom"/>
          </w:tcPr>
          <w:p w14:paraId="76EE8AA7" w14:textId="77777777" w:rsidR="001B16BB" w:rsidRPr="006247BC" w:rsidRDefault="001B16BB" w:rsidP="001B16BB">
            <w:pPr>
              <w:rPr>
                <w:rFonts w:ascii="Times New Roman" w:hAnsi="Times New Roman" w:cs="Times New Roman"/>
                <w:color w:val="000000"/>
              </w:rPr>
            </w:pPr>
            <w:r w:rsidRPr="006247BC">
              <w:rPr>
                <w:rFonts w:ascii="Times New Roman" w:hAnsi="Times New Roman" w:cs="Times New Roman"/>
                <w:color w:val="000000"/>
              </w:rPr>
              <w:t>0.2</w:t>
            </w:r>
          </w:p>
        </w:tc>
        <w:tc>
          <w:tcPr>
            <w:tcW w:w="541" w:type="pct"/>
            <w:vAlign w:val="bottom"/>
          </w:tcPr>
          <w:p w14:paraId="384A1F81" w14:textId="77777777" w:rsidR="001B16BB" w:rsidRPr="006247BC" w:rsidRDefault="001B16BB" w:rsidP="001B16BB">
            <w:pPr>
              <w:rPr>
                <w:rFonts w:ascii="Times New Roman" w:hAnsi="Times New Roman" w:cs="Times New Roman"/>
                <w:color w:val="000000"/>
              </w:rPr>
            </w:pPr>
            <w:r w:rsidRPr="006247BC">
              <w:rPr>
                <w:rFonts w:ascii="Times New Roman" w:hAnsi="Times New Roman" w:cs="Times New Roman"/>
                <w:color w:val="000000"/>
              </w:rPr>
              <w:t>0.73</w:t>
            </w:r>
          </w:p>
        </w:tc>
      </w:tr>
      <w:tr w:rsidR="009D47A4" w:rsidRPr="006247BC" w14:paraId="53CBE887" w14:textId="77777777" w:rsidTr="000C3782">
        <w:trPr>
          <w:trHeight w:val="291"/>
        </w:trPr>
        <w:tc>
          <w:tcPr>
            <w:tcW w:w="3468" w:type="pct"/>
          </w:tcPr>
          <w:p w14:paraId="4940525F" w14:textId="77777777" w:rsidR="009D47A4" w:rsidRPr="006247BC" w:rsidRDefault="009D47A4" w:rsidP="009D47A4">
            <w:pPr>
              <w:pStyle w:val="Geenafstand"/>
              <w:jc w:val="both"/>
              <w:rPr>
                <w:rFonts w:ascii="Times New Roman" w:hAnsi="Times New Roman" w:cs="Times New Roman"/>
                <w:b/>
              </w:rPr>
            </w:pPr>
            <w:r w:rsidRPr="006247BC">
              <w:rPr>
                <w:rFonts w:ascii="Times New Roman" w:hAnsi="Times New Roman" w:cs="Times New Roman"/>
                <w:b/>
              </w:rPr>
              <w:t>Dietary nitrate intake from non-vegetable food sources</w:t>
            </w:r>
          </w:p>
        </w:tc>
        <w:tc>
          <w:tcPr>
            <w:tcW w:w="435" w:type="pct"/>
          </w:tcPr>
          <w:p w14:paraId="43A4EA64" w14:textId="77777777" w:rsidR="009D47A4" w:rsidRPr="006247BC" w:rsidRDefault="009D47A4" w:rsidP="009D47A4">
            <w:pPr>
              <w:pStyle w:val="Geenafstand"/>
              <w:jc w:val="both"/>
              <w:rPr>
                <w:rFonts w:ascii="Times New Roman" w:hAnsi="Times New Roman" w:cs="Times New Roman"/>
              </w:rPr>
            </w:pPr>
          </w:p>
        </w:tc>
        <w:tc>
          <w:tcPr>
            <w:tcW w:w="556" w:type="pct"/>
          </w:tcPr>
          <w:p w14:paraId="28C0DD0A" w14:textId="77777777" w:rsidR="009D47A4" w:rsidRPr="006247BC" w:rsidRDefault="009D47A4" w:rsidP="009D47A4">
            <w:pPr>
              <w:pStyle w:val="Geenafstand"/>
              <w:jc w:val="both"/>
              <w:rPr>
                <w:rFonts w:ascii="Times New Roman" w:hAnsi="Times New Roman" w:cs="Times New Roman"/>
              </w:rPr>
            </w:pPr>
          </w:p>
        </w:tc>
        <w:tc>
          <w:tcPr>
            <w:tcW w:w="541" w:type="pct"/>
          </w:tcPr>
          <w:p w14:paraId="09EC92E4" w14:textId="77777777" w:rsidR="009D47A4" w:rsidRPr="006247BC" w:rsidRDefault="009D47A4" w:rsidP="009D47A4">
            <w:pPr>
              <w:pStyle w:val="Geenafstand"/>
              <w:jc w:val="both"/>
              <w:rPr>
                <w:rFonts w:ascii="Times New Roman" w:hAnsi="Times New Roman" w:cs="Times New Roman"/>
              </w:rPr>
            </w:pPr>
          </w:p>
        </w:tc>
      </w:tr>
      <w:tr w:rsidR="001B16BB" w:rsidRPr="006247BC" w14:paraId="3BF21616" w14:textId="77777777" w:rsidTr="000C3782">
        <w:trPr>
          <w:trHeight w:val="291"/>
        </w:trPr>
        <w:tc>
          <w:tcPr>
            <w:tcW w:w="3468" w:type="pct"/>
          </w:tcPr>
          <w:p w14:paraId="50A4699E" w14:textId="77777777" w:rsidR="001B16BB" w:rsidRPr="006247BC" w:rsidRDefault="001B16BB" w:rsidP="000C3782">
            <w:pPr>
              <w:pStyle w:val="Geenafstand"/>
              <w:jc w:val="both"/>
              <w:rPr>
                <w:rFonts w:ascii="Times New Roman" w:hAnsi="Times New Roman" w:cs="Times New Roman"/>
              </w:rPr>
            </w:pPr>
            <w:r w:rsidRPr="006247BC">
              <w:rPr>
                <w:rFonts w:ascii="Times New Roman" w:hAnsi="Times New Roman" w:cs="Times New Roman"/>
              </w:rPr>
              <w:t xml:space="preserve">   Continuous (per</w:t>
            </w:r>
            <w:r w:rsidR="000C3782" w:rsidRPr="006247BC">
              <w:rPr>
                <w:rFonts w:ascii="Times New Roman" w:hAnsi="Times New Roman" w:cs="Times New Roman"/>
              </w:rPr>
              <w:t xml:space="preserve"> </w:t>
            </w:r>
            <w:r w:rsidRPr="006247BC">
              <w:rPr>
                <w:rFonts w:ascii="Times New Roman" w:hAnsi="Times New Roman" w:cs="Times New Roman"/>
              </w:rPr>
              <w:t>10mg/day)</w:t>
            </w:r>
          </w:p>
        </w:tc>
        <w:tc>
          <w:tcPr>
            <w:tcW w:w="435" w:type="pct"/>
            <w:vAlign w:val="bottom"/>
          </w:tcPr>
          <w:p w14:paraId="4E74C5CA" w14:textId="77777777" w:rsidR="001B16BB" w:rsidRPr="006247BC" w:rsidRDefault="001B16BB" w:rsidP="001B16BB">
            <w:pPr>
              <w:rPr>
                <w:rFonts w:ascii="Times New Roman" w:hAnsi="Times New Roman" w:cs="Times New Roman"/>
                <w:color w:val="000000"/>
              </w:rPr>
            </w:pPr>
            <w:r w:rsidRPr="006247BC">
              <w:rPr>
                <w:rFonts w:ascii="Times New Roman" w:hAnsi="Times New Roman" w:cs="Times New Roman"/>
                <w:color w:val="000000"/>
              </w:rPr>
              <w:t>0.65</w:t>
            </w:r>
          </w:p>
        </w:tc>
        <w:tc>
          <w:tcPr>
            <w:tcW w:w="556" w:type="pct"/>
            <w:vAlign w:val="bottom"/>
          </w:tcPr>
          <w:p w14:paraId="70D4A5BB" w14:textId="77777777" w:rsidR="001B16BB" w:rsidRPr="006247BC" w:rsidRDefault="001B16BB" w:rsidP="001B16BB">
            <w:pPr>
              <w:rPr>
                <w:rFonts w:ascii="Times New Roman" w:hAnsi="Times New Roman" w:cs="Times New Roman"/>
                <w:color w:val="000000"/>
              </w:rPr>
            </w:pPr>
            <w:r w:rsidRPr="006247BC">
              <w:rPr>
                <w:rFonts w:ascii="Times New Roman" w:hAnsi="Times New Roman" w:cs="Times New Roman"/>
                <w:color w:val="000000"/>
              </w:rPr>
              <w:t>0.42</w:t>
            </w:r>
          </w:p>
        </w:tc>
        <w:tc>
          <w:tcPr>
            <w:tcW w:w="541" w:type="pct"/>
            <w:vAlign w:val="bottom"/>
          </w:tcPr>
          <w:p w14:paraId="28E6DE7C" w14:textId="77777777" w:rsidR="001B16BB" w:rsidRPr="006247BC" w:rsidRDefault="001B16BB" w:rsidP="001B16BB">
            <w:pPr>
              <w:rPr>
                <w:rFonts w:ascii="Times New Roman" w:hAnsi="Times New Roman" w:cs="Times New Roman"/>
                <w:color w:val="000000"/>
              </w:rPr>
            </w:pPr>
            <w:r w:rsidRPr="006247BC">
              <w:rPr>
                <w:rFonts w:ascii="Times New Roman" w:hAnsi="Times New Roman" w:cs="Times New Roman"/>
                <w:color w:val="000000"/>
              </w:rPr>
              <w:t>0.99</w:t>
            </w:r>
          </w:p>
        </w:tc>
      </w:tr>
      <w:tr w:rsidR="001B16BB" w:rsidRPr="006247BC" w14:paraId="7F7E2DA8" w14:textId="77777777" w:rsidTr="000C3782">
        <w:trPr>
          <w:trHeight w:val="291"/>
        </w:trPr>
        <w:tc>
          <w:tcPr>
            <w:tcW w:w="3468" w:type="pct"/>
          </w:tcPr>
          <w:p w14:paraId="51461811" w14:textId="77777777" w:rsidR="001B16BB" w:rsidRPr="006247BC" w:rsidRDefault="001B16BB" w:rsidP="001B16BB">
            <w:pPr>
              <w:pStyle w:val="Geenafstand"/>
              <w:jc w:val="both"/>
              <w:rPr>
                <w:rFonts w:ascii="Times New Roman" w:hAnsi="Times New Roman" w:cs="Times New Roman"/>
              </w:rPr>
            </w:pPr>
            <w:r w:rsidRPr="006247BC">
              <w:rPr>
                <w:rFonts w:ascii="Times New Roman" w:hAnsi="Times New Roman" w:cs="Times New Roman"/>
              </w:rPr>
              <w:t xml:space="preserve">   Quintile 1</w:t>
            </w:r>
          </w:p>
        </w:tc>
        <w:tc>
          <w:tcPr>
            <w:tcW w:w="435" w:type="pct"/>
            <w:vAlign w:val="bottom"/>
          </w:tcPr>
          <w:p w14:paraId="0916285C" w14:textId="77777777" w:rsidR="001B16BB" w:rsidRPr="006247BC" w:rsidRDefault="001B16BB" w:rsidP="001B16BB">
            <w:pPr>
              <w:rPr>
                <w:rFonts w:ascii="Times New Roman" w:hAnsi="Times New Roman" w:cs="Times New Roman"/>
                <w:color w:val="000000"/>
              </w:rPr>
            </w:pPr>
            <w:r w:rsidRPr="006247BC">
              <w:rPr>
                <w:rFonts w:ascii="Times New Roman" w:hAnsi="Times New Roman" w:cs="Times New Roman"/>
                <w:color w:val="000000"/>
              </w:rPr>
              <w:t>1</w:t>
            </w:r>
          </w:p>
        </w:tc>
        <w:tc>
          <w:tcPr>
            <w:tcW w:w="556" w:type="pct"/>
            <w:vAlign w:val="bottom"/>
          </w:tcPr>
          <w:p w14:paraId="3216FF47" w14:textId="77777777" w:rsidR="001B16BB" w:rsidRPr="006247BC" w:rsidRDefault="001B16BB" w:rsidP="001B16BB">
            <w:pPr>
              <w:rPr>
                <w:rFonts w:ascii="Times New Roman" w:hAnsi="Times New Roman" w:cs="Times New Roman"/>
                <w:color w:val="000000"/>
              </w:rPr>
            </w:pPr>
            <w:r w:rsidRPr="006247BC">
              <w:rPr>
                <w:rFonts w:ascii="Times New Roman" w:hAnsi="Times New Roman" w:cs="Times New Roman"/>
                <w:color w:val="000000"/>
              </w:rPr>
              <w:t>1</w:t>
            </w:r>
          </w:p>
        </w:tc>
        <w:tc>
          <w:tcPr>
            <w:tcW w:w="541" w:type="pct"/>
            <w:vAlign w:val="bottom"/>
          </w:tcPr>
          <w:p w14:paraId="374C26ED" w14:textId="77777777" w:rsidR="001B16BB" w:rsidRPr="006247BC" w:rsidRDefault="001B16BB" w:rsidP="001B16BB">
            <w:pPr>
              <w:rPr>
                <w:rFonts w:ascii="Times New Roman" w:hAnsi="Times New Roman" w:cs="Times New Roman"/>
                <w:color w:val="000000"/>
              </w:rPr>
            </w:pPr>
            <w:r w:rsidRPr="006247BC">
              <w:rPr>
                <w:rFonts w:ascii="Times New Roman" w:hAnsi="Times New Roman" w:cs="Times New Roman"/>
                <w:color w:val="000000"/>
              </w:rPr>
              <w:t>1</w:t>
            </w:r>
          </w:p>
        </w:tc>
      </w:tr>
      <w:tr w:rsidR="001B16BB" w:rsidRPr="006247BC" w14:paraId="5F0B353E" w14:textId="77777777" w:rsidTr="000C3782">
        <w:trPr>
          <w:trHeight w:val="291"/>
        </w:trPr>
        <w:tc>
          <w:tcPr>
            <w:tcW w:w="3468" w:type="pct"/>
          </w:tcPr>
          <w:p w14:paraId="26AA84E3" w14:textId="77777777" w:rsidR="001B16BB" w:rsidRPr="006247BC" w:rsidRDefault="001B16BB" w:rsidP="001B16BB">
            <w:pPr>
              <w:pStyle w:val="Geenafstand"/>
              <w:jc w:val="both"/>
              <w:rPr>
                <w:rFonts w:ascii="Times New Roman" w:hAnsi="Times New Roman" w:cs="Times New Roman"/>
              </w:rPr>
            </w:pPr>
            <w:r w:rsidRPr="006247BC">
              <w:rPr>
                <w:rFonts w:ascii="Times New Roman" w:hAnsi="Times New Roman" w:cs="Times New Roman"/>
              </w:rPr>
              <w:t xml:space="preserve">   Quintile 2</w:t>
            </w:r>
          </w:p>
        </w:tc>
        <w:tc>
          <w:tcPr>
            <w:tcW w:w="435" w:type="pct"/>
            <w:vAlign w:val="bottom"/>
          </w:tcPr>
          <w:p w14:paraId="76B8BFDE" w14:textId="77777777" w:rsidR="001B16BB" w:rsidRPr="006247BC" w:rsidRDefault="001B16BB" w:rsidP="001B16BB">
            <w:pPr>
              <w:rPr>
                <w:rFonts w:ascii="Times New Roman" w:hAnsi="Times New Roman" w:cs="Times New Roman"/>
                <w:color w:val="000000"/>
              </w:rPr>
            </w:pPr>
            <w:r w:rsidRPr="006247BC">
              <w:rPr>
                <w:rFonts w:ascii="Times New Roman" w:hAnsi="Times New Roman" w:cs="Times New Roman"/>
                <w:color w:val="000000"/>
              </w:rPr>
              <w:t>0.97</w:t>
            </w:r>
          </w:p>
        </w:tc>
        <w:tc>
          <w:tcPr>
            <w:tcW w:w="556" w:type="pct"/>
            <w:vAlign w:val="bottom"/>
          </w:tcPr>
          <w:p w14:paraId="28A5ABD3" w14:textId="77777777" w:rsidR="001B16BB" w:rsidRPr="006247BC" w:rsidRDefault="001B16BB" w:rsidP="001B16BB">
            <w:pPr>
              <w:rPr>
                <w:rFonts w:ascii="Times New Roman" w:hAnsi="Times New Roman" w:cs="Times New Roman"/>
                <w:color w:val="000000"/>
              </w:rPr>
            </w:pPr>
            <w:r w:rsidRPr="006247BC">
              <w:rPr>
                <w:rFonts w:ascii="Times New Roman" w:hAnsi="Times New Roman" w:cs="Times New Roman"/>
                <w:color w:val="000000"/>
              </w:rPr>
              <w:t>0.57</w:t>
            </w:r>
          </w:p>
        </w:tc>
        <w:tc>
          <w:tcPr>
            <w:tcW w:w="541" w:type="pct"/>
            <w:vAlign w:val="bottom"/>
          </w:tcPr>
          <w:p w14:paraId="76BD8103" w14:textId="77777777" w:rsidR="001B16BB" w:rsidRPr="006247BC" w:rsidRDefault="001B16BB" w:rsidP="001B16BB">
            <w:pPr>
              <w:rPr>
                <w:rFonts w:ascii="Times New Roman" w:hAnsi="Times New Roman" w:cs="Times New Roman"/>
                <w:color w:val="000000"/>
              </w:rPr>
            </w:pPr>
            <w:r w:rsidRPr="006247BC">
              <w:rPr>
                <w:rFonts w:ascii="Times New Roman" w:hAnsi="Times New Roman" w:cs="Times New Roman"/>
                <w:color w:val="000000"/>
              </w:rPr>
              <w:t>1.67</w:t>
            </w:r>
          </w:p>
        </w:tc>
      </w:tr>
      <w:tr w:rsidR="001B16BB" w:rsidRPr="006247BC" w14:paraId="3CD3B3F4" w14:textId="77777777" w:rsidTr="000C3782">
        <w:trPr>
          <w:trHeight w:val="291"/>
        </w:trPr>
        <w:tc>
          <w:tcPr>
            <w:tcW w:w="3468" w:type="pct"/>
          </w:tcPr>
          <w:p w14:paraId="4C066DC1" w14:textId="77777777" w:rsidR="001B16BB" w:rsidRPr="006247BC" w:rsidRDefault="001B16BB" w:rsidP="001B16BB">
            <w:pPr>
              <w:pStyle w:val="Geenafstand"/>
              <w:jc w:val="both"/>
              <w:rPr>
                <w:rFonts w:ascii="Times New Roman" w:hAnsi="Times New Roman" w:cs="Times New Roman"/>
              </w:rPr>
            </w:pPr>
            <w:r w:rsidRPr="006247BC">
              <w:rPr>
                <w:rFonts w:ascii="Times New Roman" w:hAnsi="Times New Roman" w:cs="Times New Roman"/>
              </w:rPr>
              <w:t xml:space="preserve">   Quintile 3</w:t>
            </w:r>
          </w:p>
        </w:tc>
        <w:tc>
          <w:tcPr>
            <w:tcW w:w="435" w:type="pct"/>
            <w:vAlign w:val="bottom"/>
          </w:tcPr>
          <w:p w14:paraId="2DAD63F9" w14:textId="77777777" w:rsidR="001B16BB" w:rsidRPr="006247BC" w:rsidRDefault="001B16BB" w:rsidP="001B16BB">
            <w:pPr>
              <w:rPr>
                <w:rFonts w:ascii="Times New Roman" w:hAnsi="Times New Roman" w:cs="Times New Roman"/>
                <w:color w:val="000000"/>
              </w:rPr>
            </w:pPr>
            <w:r w:rsidRPr="006247BC">
              <w:rPr>
                <w:rFonts w:ascii="Times New Roman" w:hAnsi="Times New Roman" w:cs="Times New Roman"/>
                <w:color w:val="000000"/>
              </w:rPr>
              <w:t>0.95</w:t>
            </w:r>
          </w:p>
        </w:tc>
        <w:tc>
          <w:tcPr>
            <w:tcW w:w="556" w:type="pct"/>
            <w:vAlign w:val="bottom"/>
          </w:tcPr>
          <w:p w14:paraId="6FE11FA5" w14:textId="77777777" w:rsidR="001B16BB" w:rsidRPr="006247BC" w:rsidRDefault="001B16BB" w:rsidP="001B16BB">
            <w:pPr>
              <w:rPr>
                <w:rFonts w:ascii="Times New Roman" w:hAnsi="Times New Roman" w:cs="Times New Roman"/>
                <w:color w:val="000000"/>
              </w:rPr>
            </w:pPr>
            <w:r w:rsidRPr="006247BC">
              <w:rPr>
                <w:rFonts w:ascii="Times New Roman" w:hAnsi="Times New Roman" w:cs="Times New Roman"/>
                <w:color w:val="000000"/>
              </w:rPr>
              <w:t>0.55</w:t>
            </w:r>
          </w:p>
        </w:tc>
        <w:tc>
          <w:tcPr>
            <w:tcW w:w="541" w:type="pct"/>
            <w:vAlign w:val="bottom"/>
          </w:tcPr>
          <w:p w14:paraId="2A87F521" w14:textId="77777777" w:rsidR="001B16BB" w:rsidRPr="006247BC" w:rsidRDefault="001B16BB" w:rsidP="001B16BB">
            <w:pPr>
              <w:rPr>
                <w:rFonts w:ascii="Times New Roman" w:hAnsi="Times New Roman" w:cs="Times New Roman"/>
                <w:color w:val="000000"/>
              </w:rPr>
            </w:pPr>
            <w:r w:rsidRPr="006247BC">
              <w:rPr>
                <w:rFonts w:ascii="Times New Roman" w:hAnsi="Times New Roman" w:cs="Times New Roman"/>
                <w:color w:val="000000"/>
              </w:rPr>
              <w:t>1.62</w:t>
            </w:r>
          </w:p>
        </w:tc>
      </w:tr>
      <w:tr w:rsidR="001B16BB" w:rsidRPr="006247BC" w14:paraId="5F558068" w14:textId="77777777" w:rsidTr="000C3782">
        <w:trPr>
          <w:trHeight w:val="291"/>
        </w:trPr>
        <w:tc>
          <w:tcPr>
            <w:tcW w:w="3468" w:type="pct"/>
          </w:tcPr>
          <w:p w14:paraId="20AB5DA0" w14:textId="77777777" w:rsidR="001B16BB" w:rsidRPr="006247BC" w:rsidRDefault="001B16BB" w:rsidP="001B16BB">
            <w:pPr>
              <w:pStyle w:val="Geenafstand"/>
              <w:jc w:val="both"/>
              <w:rPr>
                <w:rFonts w:ascii="Times New Roman" w:hAnsi="Times New Roman" w:cs="Times New Roman"/>
              </w:rPr>
            </w:pPr>
            <w:r w:rsidRPr="006247BC">
              <w:rPr>
                <w:rFonts w:ascii="Times New Roman" w:hAnsi="Times New Roman" w:cs="Times New Roman"/>
              </w:rPr>
              <w:t xml:space="preserve">   Quintile 4</w:t>
            </w:r>
          </w:p>
        </w:tc>
        <w:tc>
          <w:tcPr>
            <w:tcW w:w="435" w:type="pct"/>
            <w:vAlign w:val="bottom"/>
          </w:tcPr>
          <w:p w14:paraId="69338FA0" w14:textId="77777777" w:rsidR="001B16BB" w:rsidRPr="006247BC" w:rsidRDefault="005A3EE0" w:rsidP="001B16BB">
            <w:pPr>
              <w:rPr>
                <w:rFonts w:ascii="Times New Roman" w:hAnsi="Times New Roman" w:cs="Times New Roman"/>
                <w:color w:val="000000"/>
              </w:rPr>
            </w:pPr>
            <w:r w:rsidRPr="006247BC">
              <w:rPr>
                <w:rFonts w:ascii="Times New Roman" w:hAnsi="Times New Roman" w:cs="Times New Roman"/>
                <w:color w:val="000000"/>
              </w:rPr>
              <w:t>0.66</w:t>
            </w:r>
          </w:p>
        </w:tc>
        <w:tc>
          <w:tcPr>
            <w:tcW w:w="556" w:type="pct"/>
            <w:vAlign w:val="bottom"/>
          </w:tcPr>
          <w:p w14:paraId="7A19D86B" w14:textId="77777777" w:rsidR="001B16BB" w:rsidRPr="006247BC" w:rsidRDefault="001B16BB" w:rsidP="001B16BB">
            <w:pPr>
              <w:rPr>
                <w:rFonts w:ascii="Times New Roman" w:hAnsi="Times New Roman" w:cs="Times New Roman"/>
                <w:color w:val="000000"/>
              </w:rPr>
            </w:pPr>
            <w:r w:rsidRPr="006247BC">
              <w:rPr>
                <w:rFonts w:ascii="Times New Roman" w:hAnsi="Times New Roman" w:cs="Times New Roman"/>
                <w:color w:val="000000"/>
              </w:rPr>
              <w:t>0.37</w:t>
            </w:r>
          </w:p>
        </w:tc>
        <w:tc>
          <w:tcPr>
            <w:tcW w:w="541" w:type="pct"/>
            <w:vAlign w:val="bottom"/>
          </w:tcPr>
          <w:p w14:paraId="4C908545" w14:textId="77777777" w:rsidR="001B16BB" w:rsidRPr="006247BC" w:rsidRDefault="001B16BB" w:rsidP="001B16BB">
            <w:pPr>
              <w:rPr>
                <w:rFonts w:ascii="Times New Roman" w:hAnsi="Times New Roman" w:cs="Times New Roman"/>
                <w:color w:val="000000"/>
              </w:rPr>
            </w:pPr>
            <w:r w:rsidRPr="006247BC">
              <w:rPr>
                <w:rFonts w:ascii="Times New Roman" w:hAnsi="Times New Roman" w:cs="Times New Roman"/>
                <w:color w:val="000000"/>
              </w:rPr>
              <w:t>1.18</w:t>
            </w:r>
          </w:p>
        </w:tc>
      </w:tr>
      <w:tr w:rsidR="001B16BB" w:rsidRPr="006247BC" w14:paraId="64E4C88C" w14:textId="77777777" w:rsidTr="000C3782">
        <w:trPr>
          <w:trHeight w:val="291"/>
        </w:trPr>
        <w:tc>
          <w:tcPr>
            <w:tcW w:w="3468" w:type="pct"/>
          </w:tcPr>
          <w:p w14:paraId="6E2BF58A" w14:textId="77777777" w:rsidR="001B16BB" w:rsidRPr="006247BC" w:rsidRDefault="001B16BB" w:rsidP="001B16BB">
            <w:pPr>
              <w:pStyle w:val="Geenafstand"/>
              <w:jc w:val="both"/>
              <w:rPr>
                <w:rFonts w:ascii="Times New Roman" w:hAnsi="Times New Roman" w:cs="Times New Roman"/>
              </w:rPr>
            </w:pPr>
            <w:r w:rsidRPr="006247BC">
              <w:rPr>
                <w:rFonts w:ascii="Times New Roman" w:hAnsi="Times New Roman" w:cs="Times New Roman"/>
              </w:rPr>
              <w:t xml:space="preserve">   Quintile 5</w:t>
            </w:r>
          </w:p>
        </w:tc>
        <w:tc>
          <w:tcPr>
            <w:tcW w:w="435" w:type="pct"/>
            <w:vAlign w:val="bottom"/>
          </w:tcPr>
          <w:p w14:paraId="27778E38" w14:textId="77777777" w:rsidR="001B16BB" w:rsidRPr="006247BC" w:rsidRDefault="001B16BB" w:rsidP="001B16BB">
            <w:pPr>
              <w:rPr>
                <w:rFonts w:ascii="Times New Roman" w:hAnsi="Times New Roman" w:cs="Times New Roman"/>
                <w:color w:val="000000"/>
              </w:rPr>
            </w:pPr>
            <w:r w:rsidRPr="006247BC">
              <w:rPr>
                <w:rFonts w:ascii="Times New Roman" w:hAnsi="Times New Roman" w:cs="Times New Roman"/>
                <w:color w:val="000000"/>
              </w:rPr>
              <w:t>0.69</w:t>
            </w:r>
          </w:p>
        </w:tc>
        <w:tc>
          <w:tcPr>
            <w:tcW w:w="556" w:type="pct"/>
            <w:vAlign w:val="bottom"/>
          </w:tcPr>
          <w:p w14:paraId="3097C127" w14:textId="77777777" w:rsidR="001B16BB" w:rsidRPr="006247BC" w:rsidRDefault="001B16BB" w:rsidP="001B16BB">
            <w:pPr>
              <w:rPr>
                <w:rFonts w:ascii="Times New Roman" w:hAnsi="Times New Roman" w:cs="Times New Roman"/>
                <w:color w:val="000000"/>
              </w:rPr>
            </w:pPr>
            <w:r w:rsidRPr="006247BC">
              <w:rPr>
                <w:rFonts w:ascii="Times New Roman" w:hAnsi="Times New Roman" w:cs="Times New Roman"/>
                <w:color w:val="000000"/>
              </w:rPr>
              <w:t>0.39</w:t>
            </w:r>
          </w:p>
        </w:tc>
        <w:tc>
          <w:tcPr>
            <w:tcW w:w="541" w:type="pct"/>
            <w:vAlign w:val="bottom"/>
          </w:tcPr>
          <w:p w14:paraId="48D9C198" w14:textId="77777777" w:rsidR="001B16BB" w:rsidRPr="006247BC" w:rsidRDefault="001B16BB" w:rsidP="001B16BB">
            <w:pPr>
              <w:rPr>
                <w:rFonts w:ascii="Times New Roman" w:hAnsi="Times New Roman" w:cs="Times New Roman"/>
                <w:color w:val="000000"/>
              </w:rPr>
            </w:pPr>
            <w:r w:rsidRPr="006247BC">
              <w:rPr>
                <w:rFonts w:ascii="Times New Roman" w:hAnsi="Times New Roman" w:cs="Times New Roman"/>
                <w:color w:val="000000"/>
              </w:rPr>
              <w:t>1.24</w:t>
            </w:r>
          </w:p>
        </w:tc>
      </w:tr>
    </w:tbl>
    <w:p w14:paraId="37EE8504" w14:textId="77777777" w:rsidR="00FB6EED" w:rsidRDefault="00FB6EED" w:rsidP="00C377A0">
      <w:pPr>
        <w:pStyle w:val="Geenafstand"/>
        <w:jc w:val="both"/>
        <w:rPr>
          <w:rFonts w:ascii="Times New Roman" w:hAnsi="Times New Roman" w:cs="Times New Roman"/>
        </w:rPr>
      </w:pPr>
    </w:p>
    <w:p w14:paraId="5471C258" w14:textId="77777777" w:rsidR="009D47A4" w:rsidRPr="006247BC" w:rsidRDefault="000C3782" w:rsidP="00C377A0">
      <w:pPr>
        <w:pStyle w:val="Geenafstand"/>
        <w:jc w:val="both"/>
        <w:rPr>
          <w:rFonts w:ascii="Times New Roman" w:hAnsi="Times New Roman" w:cs="Times New Roman"/>
        </w:rPr>
      </w:pPr>
      <w:r w:rsidRPr="006247BC">
        <w:rPr>
          <w:rFonts w:ascii="Times New Roman" w:hAnsi="Times New Roman" w:cs="Times New Roman"/>
        </w:rPr>
        <w:t>Alternative</w:t>
      </w:r>
      <w:r w:rsidR="009D47A4" w:rsidRPr="006247BC">
        <w:rPr>
          <w:rFonts w:ascii="Times New Roman" w:hAnsi="Times New Roman" w:cs="Times New Roman"/>
        </w:rPr>
        <w:t xml:space="preserve"> model 3: model 1 additionally adjusted for </w:t>
      </w:r>
      <w:r w:rsidR="009D47A4" w:rsidRPr="006247BC">
        <w:rPr>
          <w:rFonts w:ascii="Times New Roman" w:hAnsi="Times New Roman" w:cs="Times New Roman"/>
          <w:i/>
        </w:rPr>
        <w:t>spherical equivalent</w:t>
      </w:r>
      <w:r w:rsidR="009D47A4" w:rsidRPr="006247BC">
        <w:rPr>
          <w:rFonts w:ascii="Times New Roman" w:hAnsi="Times New Roman" w:cs="Times New Roman"/>
        </w:rPr>
        <w:t>, education level and smoking status.</w:t>
      </w:r>
    </w:p>
    <w:tbl>
      <w:tblPr>
        <w:tblStyle w:val="Tabelraster"/>
        <w:tblW w:w="5000" w:type="pct"/>
        <w:tblLook w:val="04A0" w:firstRow="1" w:lastRow="0" w:firstColumn="1" w:lastColumn="0" w:noHBand="0" w:noVBand="1"/>
      </w:tblPr>
      <w:tblGrid>
        <w:gridCol w:w="6485"/>
        <w:gridCol w:w="813"/>
        <w:gridCol w:w="1040"/>
        <w:gridCol w:w="1012"/>
      </w:tblGrid>
      <w:tr w:rsidR="001B16BB" w:rsidRPr="006247BC" w14:paraId="326CF6DF" w14:textId="77777777" w:rsidTr="00520814">
        <w:trPr>
          <w:trHeight w:val="291"/>
        </w:trPr>
        <w:tc>
          <w:tcPr>
            <w:tcW w:w="3468" w:type="pct"/>
          </w:tcPr>
          <w:p w14:paraId="2B398648" w14:textId="77777777" w:rsidR="001B16BB" w:rsidRPr="006247BC" w:rsidRDefault="001B16BB" w:rsidP="00F666A5">
            <w:pPr>
              <w:pStyle w:val="Geenafstand"/>
              <w:jc w:val="both"/>
              <w:rPr>
                <w:rFonts w:ascii="Times New Roman" w:hAnsi="Times New Roman" w:cs="Times New Roman"/>
              </w:rPr>
            </w:pPr>
          </w:p>
        </w:tc>
        <w:tc>
          <w:tcPr>
            <w:tcW w:w="435" w:type="pct"/>
          </w:tcPr>
          <w:p w14:paraId="58E1499A" w14:textId="77777777" w:rsidR="001B16BB" w:rsidRPr="006247BC" w:rsidRDefault="001B16BB" w:rsidP="00F666A5">
            <w:pPr>
              <w:pStyle w:val="Geenafstand"/>
              <w:jc w:val="both"/>
              <w:rPr>
                <w:rFonts w:ascii="Times New Roman" w:hAnsi="Times New Roman" w:cs="Times New Roman"/>
              </w:rPr>
            </w:pPr>
            <w:r w:rsidRPr="006247BC">
              <w:rPr>
                <w:rFonts w:ascii="Times New Roman" w:hAnsi="Times New Roman" w:cs="Times New Roman"/>
              </w:rPr>
              <w:t>OR</w:t>
            </w:r>
          </w:p>
        </w:tc>
        <w:tc>
          <w:tcPr>
            <w:tcW w:w="556" w:type="pct"/>
          </w:tcPr>
          <w:p w14:paraId="55D183CB" w14:textId="77777777" w:rsidR="001B16BB" w:rsidRPr="006247BC" w:rsidRDefault="001B16BB" w:rsidP="00F666A5">
            <w:pPr>
              <w:pStyle w:val="Geenafstand"/>
              <w:jc w:val="both"/>
              <w:rPr>
                <w:rFonts w:ascii="Times New Roman" w:hAnsi="Times New Roman" w:cs="Times New Roman"/>
              </w:rPr>
            </w:pPr>
            <w:r w:rsidRPr="006247BC">
              <w:rPr>
                <w:rFonts w:ascii="Times New Roman" w:hAnsi="Times New Roman" w:cs="Times New Roman"/>
              </w:rPr>
              <w:t>Lower</w:t>
            </w:r>
          </w:p>
        </w:tc>
        <w:tc>
          <w:tcPr>
            <w:tcW w:w="541" w:type="pct"/>
          </w:tcPr>
          <w:p w14:paraId="61B9DD55" w14:textId="77777777" w:rsidR="001B16BB" w:rsidRPr="006247BC" w:rsidRDefault="001B16BB" w:rsidP="00F666A5">
            <w:pPr>
              <w:pStyle w:val="Geenafstand"/>
              <w:jc w:val="both"/>
              <w:rPr>
                <w:rFonts w:ascii="Times New Roman" w:hAnsi="Times New Roman" w:cs="Times New Roman"/>
              </w:rPr>
            </w:pPr>
            <w:r w:rsidRPr="006247BC">
              <w:rPr>
                <w:rFonts w:ascii="Times New Roman" w:hAnsi="Times New Roman" w:cs="Times New Roman"/>
              </w:rPr>
              <w:t>Upper</w:t>
            </w:r>
          </w:p>
        </w:tc>
      </w:tr>
      <w:tr w:rsidR="001B16BB" w:rsidRPr="006247BC" w14:paraId="2AF3D450" w14:textId="77777777" w:rsidTr="00520814">
        <w:trPr>
          <w:trHeight w:val="304"/>
        </w:trPr>
        <w:tc>
          <w:tcPr>
            <w:tcW w:w="3468" w:type="pct"/>
          </w:tcPr>
          <w:p w14:paraId="19479F8E" w14:textId="77777777" w:rsidR="001B16BB" w:rsidRPr="006247BC" w:rsidRDefault="001B16BB" w:rsidP="00F666A5">
            <w:pPr>
              <w:pStyle w:val="Geenafstand"/>
              <w:jc w:val="both"/>
              <w:rPr>
                <w:rFonts w:ascii="Times New Roman" w:hAnsi="Times New Roman" w:cs="Times New Roman"/>
                <w:b/>
              </w:rPr>
            </w:pPr>
            <w:r w:rsidRPr="006247BC">
              <w:rPr>
                <w:rFonts w:ascii="Times New Roman" w:hAnsi="Times New Roman" w:cs="Times New Roman"/>
                <w:b/>
              </w:rPr>
              <w:t>Total dietary nitrate</w:t>
            </w:r>
          </w:p>
        </w:tc>
        <w:tc>
          <w:tcPr>
            <w:tcW w:w="435" w:type="pct"/>
          </w:tcPr>
          <w:p w14:paraId="6BC0DC8E" w14:textId="77777777" w:rsidR="001B16BB" w:rsidRPr="006247BC" w:rsidRDefault="001B16BB" w:rsidP="00F666A5">
            <w:pPr>
              <w:pStyle w:val="Geenafstand"/>
              <w:jc w:val="both"/>
              <w:rPr>
                <w:rFonts w:ascii="Times New Roman" w:hAnsi="Times New Roman" w:cs="Times New Roman"/>
              </w:rPr>
            </w:pPr>
          </w:p>
        </w:tc>
        <w:tc>
          <w:tcPr>
            <w:tcW w:w="556" w:type="pct"/>
          </w:tcPr>
          <w:p w14:paraId="60DA28D9" w14:textId="77777777" w:rsidR="001B16BB" w:rsidRPr="006247BC" w:rsidRDefault="001B16BB" w:rsidP="00F666A5">
            <w:pPr>
              <w:pStyle w:val="Geenafstand"/>
              <w:jc w:val="both"/>
              <w:rPr>
                <w:rFonts w:ascii="Times New Roman" w:hAnsi="Times New Roman" w:cs="Times New Roman"/>
              </w:rPr>
            </w:pPr>
          </w:p>
        </w:tc>
        <w:tc>
          <w:tcPr>
            <w:tcW w:w="541" w:type="pct"/>
          </w:tcPr>
          <w:p w14:paraId="2C5DF103" w14:textId="77777777" w:rsidR="001B16BB" w:rsidRPr="006247BC" w:rsidRDefault="001B16BB" w:rsidP="00F666A5">
            <w:pPr>
              <w:pStyle w:val="Geenafstand"/>
              <w:jc w:val="both"/>
              <w:rPr>
                <w:rFonts w:ascii="Times New Roman" w:hAnsi="Times New Roman" w:cs="Times New Roman"/>
              </w:rPr>
            </w:pPr>
          </w:p>
        </w:tc>
      </w:tr>
      <w:tr w:rsidR="003C4183" w:rsidRPr="006247BC" w14:paraId="0CF5E45C" w14:textId="77777777" w:rsidTr="00520814">
        <w:trPr>
          <w:trHeight w:val="289"/>
        </w:trPr>
        <w:tc>
          <w:tcPr>
            <w:tcW w:w="3468" w:type="pct"/>
          </w:tcPr>
          <w:p w14:paraId="6724BAD5" w14:textId="77777777" w:rsidR="003C4183" w:rsidRPr="006247BC" w:rsidRDefault="003C4183" w:rsidP="00520814">
            <w:pPr>
              <w:pStyle w:val="Geenafstand"/>
              <w:jc w:val="both"/>
              <w:rPr>
                <w:rFonts w:ascii="Times New Roman" w:hAnsi="Times New Roman" w:cs="Times New Roman"/>
              </w:rPr>
            </w:pPr>
            <w:r w:rsidRPr="006247BC">
              <w:rPr>
                <w:rFonts w:ascii="Times New Roman" w:hAnsi="Times New Roman" w:cs="Times New Roman"/>
              </w:rPr>
              <w:t xml:space="preserve">   Continuous (per 10mg/day)</w:t>
            </w:r>
          </w:p>
        </w:tc>
        <w:tc>
          <w:tcPr>
            <w:tcW w:w="435" w:type="pct"/>
            <w:vAlign w:val="bottom"/>
          </w:tcPr>
          <w:p w14:paraId="072058F2" w14:textId="77777777" w:rsidR="003C4183" w:rsidRPr="006247BC" w:rsidRDefault="005A3EE0" w:rsidP="003C4183">
            <w:pPr>
              <w:rPr>
                <w:rFonts w:ascii="Times New Roman" w:hAnsi="Times New Roman" w:cs="Times New Roman"/>
                <w:color w:val="000000"/>
              </w:rPr>
            </w:pPr>
            <w:r w:rsidRPr="006247BC">
              <w:rPr>
                <w:rFonts w:ascii="Times New Roman" w:hAnsi="Times New Roman" w:cs="Times New Roman"/>
                <w:color w:val="000000"/>
              </w:rPr>
              <w:t>0.94</w:t>
            </w:r>
          </w:p>
        </w:tc>
        <w:tc>
          <w:tcPr>
            <w:tcW w:w="556" w:type="pct"/>
            <w:vAlign w:val="bottom"/>
          </w:tcPr>
          <w:p w14:paraId="7F00EE0A" w14:textId="77777777" w:rsidR="003C4183" w:rsidRPr="006247BC" w:rsidRDefault="005A3EE0" w:rsidP="003C4183">
            <w:pPr>
              <w:rPr>
                <w:rFonts w:ascii="Times New Roman" w:hAnsi="Times New Roman" w:cs="Times New Roman"/>
                <w:color w:val="000000"/>
              </w:rPr>
            </w:pPr>
            <w:r w:rsidRPr="006247BC">
              <w:rPr>
                <w:rFonts w:ascii="Times New Roman" w:hAnsi="Times New Roman" w:cs="Times New Roman"/>
                <w:color w:val="000000"/>
              </w:rPr>
              <w:t>0.90</w:t>
            </w:r>
          </w:p>
        </w:tc>
        <w:tc>
          <w:tcPr>
            <w:tcW w:w="541" w:type="pct"/>
            <w:vAlign w:val="bottom"/>
          </w:tcPr>
          <w:p w14:paraId="61B8E353" w14:textId="77777777" w:rsidR="003C4183" w:rsidRPr="006247BC" w:rsidRDefault="003C4183" w:rsidP="003C4183">
            <w:pPr>
              <w:rPr>
                <w:rFonts w:ascii="Times New Roman" w:hAnsi="Times New Roman" w:cs="Times New Roman"/>
                <w:color w:val="000000"/>
              </w:rPr>
            </w:pPr>
            <w:r w:rsidRPr="006247BC">
              <w:rPr>
                <w:rFonts w:ascii="Times New Roman" w:hAnsi="Times New Roman" w:cs="Times New Roman"/>
                <w:color w:val="000000"/>
              </w:rPr>
              <w:t>0.98</w:t>
            </w:r>
          </w:p>
        </w:tc>
      </w:tr>
      <w:tr w:rsidR="003C4183" w:rsidRPr="006247BC" w14:paraId="7DC983FD" w14:textId="77777777" w:rsidTr="00520814">
        <w:trPr>
          <w:trHeight w:val="291"/>
        </w:trPr>
        <w:tc>
          <w:tcPr>
            <w:tcW w:w="3468" w:type="pct"/>
          </w:tcPr>
          <w:p w14:paraId="504664E7" w14:textId="77777777" w:rsidR="003C4183" w:rsidRPr="006247BC" w:rsidRDefault="003C4183" w:rsidP="003C4183">
            <w:pPr>
              <w:pStyle w:val="Geenafstand"/>
              <w:jc w:val="both"/>
              <w:rPr>
                <w:rFonts w:ascii="Times New Roman" w:hAnsi="Times New Roman" w:cs="Times New Roman"/>
              </w:rPr>
            </w:pPr>
            <w:r w:rsidRPr="006247BC">
              <w:rPr>
                <w:rFonts w:ascii="Times New Roman" w:hAnsi="Times New Roman" w:cs="Times New Roman"/>
              </w:rPr>
              <w:t xml:space="preserve">   Quintile 1</w:t>
            </w:r>
          </w:p>
        </w:tc>
        <w:tc>
          <w:tcPr>
            <w:tcW w:w="435" w:type="pct"/>
            <w:vAlign w:val="bottom"/>
          </w:tcPr>
          <w:p w14:paraId="3799D6B3" w14:textId="77777777" w:rsidR="003C4183" w:rsidRPr="006247BC" w:rsidRDefault="003C4183" w:rsidP="003C4183">
            <w:pPr>
              <w:rPr>
                <w:rFonts w:ascii="Times New Roman" w:hAnsi="Times New Roman" w:cs="Times New Roman"/>
                <w:color w:val="000000"/>
              </w:rPr>
            </w:pPr>
            <w:r w:rsidRPr="006247BC">
              <w:rPr>
                <w:rFonts w:ascii="Times New Roman" w:hAnsi="Times New Roman" w:cs="Times New Roman"/>
                <w:color w:val="000000"/>
              </w:rPr>
              <w:t>1</w:t>
            </w:r>
          </w:p>
        </w:tc>
        <w:tc>
          <w:tcPr>
            <w:tcW w:w="556" w:type="pct"/>
            <w:vAlign w:val="bottom"/>
          </w:tcPr>
          <w:p w14:paraId="23CE5045" w14:textId="77777777" w:rsidR="003C4183" w:rsidRPr="006247BC" w:rsidRDefault="003C4183" w:rsidP="003C4183">
            <w:pPr>
              <w:rPr>
                <w:rFonts w:ascii="Times New Roman" w:hAnsi="Times New Roman" w:cs="Times New Roman"/>
                <w:color w:val="000000"/>
              </w:rPr>
            </w:pPr>
            <w:r w:rsidRPr="006247BC">
              <w:rPr>
                <w:rFonts w:ascii="Times New Roman" w:hAnsi="Times New Roman" w:cs="Times New Roman"/>
                <w:color w:val="000000"/>
              </w:rPr>
              <w:t>1</w:t>
            </w:r>
          </w:p>
        </w:tc>
        <w:tc>
          <w:tcPr>
            <w:tcW w:w="541" w:type="pct"/>
            <w:vAlign w:val="bottom"/>
          </w:tcPr>
          <w:p w14:paraId="3CEA263B" w14:textId="77777777" w:rsidR="003C4183" w:rsidRPr="006247BC" w:rsidRDefault="003C4183" w:rsidP="003C4183">
            <w:pPr>
              <w:rPr>
                <w:rFonts w:ascii="Times New Roman" w:hAnsi="Times New Roman" w:cs="Times New Roman"/>
                <w:color w:val="000000"/>
              </w:rPr>
            </w:pPr>
            <w:r w:rsidRPr="006247BC">
              <w:rPr>
                <w:rFonts w:ascii="Times New Roman" w:hAnsi="Times New Roman" w:cs="Times New Roman"/>
                <w:color w:val="000000"/>
              </w:rPr>
              <w:t>1</w:t>
            </w:r>
          </w:p>
        </w:tc>
      </w:tr>
      <w:tr w:rsidR="003C4183" w:rsidRPr="006247BC" w14:paraId="6668F81E" w14:textId="77777777" w:rsidTr="00520814">
        <w:trPr>
          <w:trHeight w:val="291"/>
        </w:trPr>
        <w:tc>
          <w:tcPr>
            <w:tcW w:w="3468" w:type="pct"/>
          </w:tcPr>
          <w:p w14:paraId="36D989F4" w14:textId="77777777" w:rsidR="003C4183" w:rsidRPr="006247BC" w:rsidRDefault="003C4183" w:rsidP="003C4183">
            <w:pPr>
              <w:pStyle w:val="Geenafstand"/>
              <w:jc w:val="both"/>
              <w:rPr>
                <w:rFonts w:ascii="Times New Roman" w:hAnsi="Times New Roman" w:cs="Times New Roman"/>
              </w:rPr>
            </w:pPr>
            <w:r w:rsidRPr="006247BC">
              <w:rPr>
                <w:rFonts w:ascii="Times New Roman" w:hAnsi="Times New Roman" w:cs="Times New Roman"/>
              </w:rPr>
              <w:t xml:space="preserve">   Quintile 2</w:t>
            </w:r>
          </w:p>
        </w:tc>
        <w:tc>
          <w:tcPr>
            <w:tcW w:w="435" w:type="pct"/>
            <w:vAlign w:val="bottom"/>
          </w:tcPr>
          <w:p w14:paraId="528E3805" w14:textId="77777777" w:rsidR="003C4183" w:rsidRPr="006247BC" w:rsidRDefault="005A3EE0" w:rsidP="003C4183">
            <w:pPr>
              <w:rPr>
                <w:rFonts w:ascii="Times New Roman" w:hAnsi="Times New Roman" w:cs="Times New Roman"/>
                <w:color w:val="000000"/>
              </w:rPr>
            </w:pPr>
            <w:r w:rsidRPr="006247BC">
              <w:rPr>
                <w:rFonts w:ascii="Times New Roman" w:hAnsi="Times New Roman" w:cs="Times New Roman"/>
                <w:color w:val="000000"/>
              </w:rPr>
              <w:t>0.92</w:t>
            </w:r>
          </w:p>
        </w:tc>
        <w:tc>
          <w:tcPr>
            <w:tcW w:w="556" w:type="pct"/>
            <w:vAlign w:val="bottom"/>
          </w:tcPr>
          <w:p w14:paraId="3508049D" w14:textId="77777777" w:rsidR="003C4183" w:rsidRPr="006247BC" w:rsidRDefault="005A3EE0" w:rsidP="003C4183">
            <w:pPr>
              <w:rPr>
                <w:rFonts w:ascii="Times New Roman" w:hAnsi="Times New Roman" w:cs="Times New Roman"/>
                <w:color w:val="000000"/>
              </w:rPr>
            </w:pPr>
            <w:r w:rsidRPr="006247BC">
              <w:rPr>
                <w:rFonts w:ascii="Times New Roman" w:hAnsi="Times New Roman" w:cs="Times New Roman"/>
                <w:color w:val="000000"/>
              </w:rPr>
              <w:t>0.53</w:t>
            </w:r>
          </w:p>
        </w:tc>
        <w:tc>
          <w:tcPr>
            <w:tcW w:w="541" w:type="pct"/>
            <w:vAlign w:val="bottom"/>
          </w:tcPr>
          <w:p w14:paraId="0FA5CAFD" w14:textId="77777777" w:rsidR="003C4183" w:rsidRPr="006247BC" w:rsidRDefault="005A3EE0" w:rsidP="003C4183">
            <w:pPr>
              <w:rPr>
                <w:rFonts w:ascii="Times New Roman" w:hAnsi="Times New Roman" w:cs="Times New Roman"/>
                <w:color w:val="000000"/>
              </w:rPr>
            </w:pPr>
            <w:r w:rsidRPr="006247BC">
              <w:rPr>
                <w:rFonts w:ascii="Times New Roman" w:hAnsi="Times New Roman" w:cs="Times New Roman"/>
                <w:color w:val="000000"/>
              </w:rPr>
              <w:t>1.62</w:t>
            </w:r>
          </w:p>
        </w:tc>
      </w:tr>
      <w:tr w:rsidR="003C4183" w:rsidRPr="006247BC" w14:paraId="11AA9D9B" w14:textId="77777777" w:rsidTr="00520814">
        <w:trPr>
          <w:trHeight w:val="291"/>
        </w:trPr>
        <w:tc>
          <w:tcPr>
            <w:tcW w:w="3468" w:type="pct"/>
          </w:tcPr>
          <w:p w14:paraId="6403772E" w14:textId="77777777" w:rsidR="003C4183" w:rsidRPr="006247BC" w:rsidRDefault="003C4183" w:rsidP="003C4183">
            <w:pPr>
              <w:pStyle w:val="Geenafstand"/>
              <w:jc w:val="both"/>
              <w:rPr>
                <w:rFonts w:ascii="Times New Roman" w:hAnsi="Times New Roman" w:cs="Times New Roman"/>
              </w:rPr>
            </w:pPr>
            <w:r w:rsidRPr="006247BC">
              <w:rPr>
                <w:rFonts w:ascii="Times New Roman" w:hAnsi="Times New Roman" w:cs="Times New Roman"/>
              </w:rPr>
              <w:t xml:space="preserve">   Quintile 3</w:t>
            </w:r>
          </w:p>
        </w:tc>
        <w:tc>
          <w:tcPr>
            <w:tcW w:w="435" w:type="pct"/>
            <w:vAlign w:val="bottom"/>
          </w:tcPr>
          <w:p w14:paraId="74000935" w14:textId="77777777" w:rsidR="003C4183" w:rsidRPr="006247BC" w:rsidRDefault="005A3EE0" w:rsidP="003C4183">
            <w:pPr>
              <w:rPr>
                <w:rFonts w:ascii="Times New Roman" w:hAnsi="Times New Roman" w:cs="Times New Roman"/>
                <w:color w:val="000000"/>
              </w:rPr>
            </w:pPr>
            <w:r w:rsidRPr="006247BC">
              <w:rPr>
                <w:rFonts w:ascii="Times New Roman" w:hAnsi="Times New Roman" w:cs="Times New Roman"/>
                <w:color w:val="000000"/>
              </w:rPr>
              <w:t>0.73</w:t>
            </w:r>
          </w:p>
        </w:tc>
        <w:tc>
          <w:tcPr>
            <w:tcW w:w="556" w:type="pct"/>
            <w:vAlign w:val="bottom"/>
          </w:tcPr>
          <w:p w14:paraId="406E2CDE" w14:textId="77777777" w:rsidR="003C4183" w:rsidRPr="006247BC" w:rsidRDefault="005A3EE0" w:rsidP="003C4183">
            <w:pPr>
              <w:rPr>
                <w:rFonts w:ascii="Times New Roman" w:hAnsi="Times New Roman" w:cs="Times New Roman"/>
                <w:color w:val="000000"/>
              </w:rPr>
            </w:pPr>
            <w:r w:rsidRPr="006247BC">
              <w:rPr>
                <w:rFonts w:ascii="Times New Roman" w:hAnsi="Times New Roman" w:cs="Times New Roman"/>
                <w:color w:val="000000"/>
              </w:rPr>
              <w:t>0.41</w:t>
            </w:r>
          </w:p>
        </w:tc>
        <w:tc>
          <w:tcPr>
            <w:tcW w:w="541" w:type="pct"/>
            <w:vAlign w:val="bottom"/>
          </w:tcPr>
          <w:p w14:paraId="5DBC08CE" w14:textId="77777777" w:rsidR="003C4183" w:rsidRPr="006247BC" w:rsidRDefault="005A3EE0" w:rsidP="003C4183">
            <w:pPr>
              <w:rPr>
                <w:rFonts w:ascii="Times New Roman" w:hAnsi="Times New Roman" w:cs="Times New Roman"/>
                <w:color w:val="000000"/>
              </w:rPr>
            </w:pPr>
            <w:r w:rsidRPr="006247BC">
              <w:rPr>
                <w:rFonts w:ascii="Times New Roman" w:hAnsi="Times New Roman" w:cs="Times New Roman"/>
                <w:color w:val="000000"/>
              </w:rPr>
              <w:t>1.31</w:t>
            </w:r>
          </w:p>
        </w:tc>
      </w:tr>
      <w:tr w:rsidR="003C4183" w:rsidRPr="006247BC" w14:paraId="10870A27" w14:textId="77777777" w:rsidTr="00520814">
        <w:trPr>
          <w:trHeight w:val="291"/>
        </w:trPr>
        <w:tc>
          <w:tcPr>
            <w:tcW w:w="3468" w:type="pct"/>
          </w:tcPr>
          <w:p w14:paraId="596D03D2" w14:textId="77777777" w:rsidR="003C4183" w:rsidRPr="006247BC" w:rsidRDefault="003C4183" w:rsidP="003C4183">
            <w:pPr>
              <w:pStyle w:val="Geenafstand"/>
              <w:jc w:val="both"/>
              <w:rPr>
                <w:rFonts w:ascii="Times New Roman" w:hAnsi="Times New Roman" w:cs="Times New Roman"/>
              </w:rPr>
            </w:pPr>
            <w:r w:rsidRPr="006247BC">
              <w:rPr>
                <w:rFonts w:ascii="Times New Roman" w:hAnsi="Times New Roman" w:cs="Times New Roman"/>
              </w:rPr>
              <w:t xml:space="preserve">   Quintile 4</w:t>
            </w:r>
          </w:p>
        </w:tc>
        <w:tc>
          <w:tcPr>
            <w:tcW w:w="435" w:type="pct"/>
            <w:vAlign w:val="bottom"/>
          </w:tcPr>
          <w:p w14:paraId="46387830" w14:textId="77777777" w:rsidR="003C4183" w:rsidRPr="006247BC" w:rsidRDefault="005A3EE0" w:rsidP="003C4183">
            <w:pPr>
              <w:rPr>
                <w:rFonts w:ascii="Times New Roman" w:hAnsi="Times New Roman" w:cs="Times New Roman"/>
                <w:color w:val="000000"/>
              </w:rPr>
            </w:pPr>
            <w:r w:rsidRPr="006247BC">
              <w:rPr>
                <w:rFonts w:ascii="Times New Roman" w:hAnsi="Times New Roman" w:cs="Times New Roman"/>
                <w:color w:val="000000"/>
              </w:rPr>
              <w:t>0.76</w:t>
            </w:r>
          </w:p>
        </w:tc>
        <w:tc>
          <w:tcPr>
            <w:tcW w:w="556" w:type="pct"/>
            <w:vAlign w:val="bottom"/>
          </w:tcPr>
          <w:p w14:paraId="7F67AEA9" w14:textId="77777777" w:rsidR="003C4183" w:rsidRPr="006247BC" w:rsidRDefault="005A3EE0" w:rsidP="003C4183">
            <w:pPr>
              <w:rPr>
                <w:rFonts w:ascii="Times New Roman" w:hAnsi="Times New Roman" w:cs="Times New Roman"/>
                <w:color w:val="000000"/>
              </w:rPr>
            </w:pPr>
            <w:r w:rsidRPr="006247BC">
              <w:rPr>
                <w:rFonts w:ascii="Times New Roman" w:hAnsi="Times New Roman" w:cs="Times New Roman"/>
                <w:color w:val="000000"/>
              </w:rPr>
              <w:t>0.43</w:t>
            </w:r>
          </w:p>
        </w:tc>
        <w:tc>
          <w:tcPr>
            <w:tcW w:w="541" w:type="pct"/>
            <w:vAlign w:val="bottom"/>
          </w:tcPr>
          <w:p w14:paraId="47A498CF" w14:textId="77777777" w:rsidR="003C4183" w:rsidRPr="006247BC" w:rsidRDefault="005A3EE0" w:rsidP="003C4183">
            <w:pPr>
              <w:rPr>
                <w:rFonts w:ascii="Times New Roman" w:hAnsi="Times New Roman" w:cs="Times New Roman"/>
                <w:color w:val="000000"/>
              </w:rPr>
            </w:pPr>
            <w:r w:rsidRPr="006247BC">
              <w:rPr>
                <w:rFonts w:ascii="Times New Roman" w:hAnsi="Times New Roman" w:cs="Times New Roman"/>
                <w:color w:val="000000"/>
              </w:rPr>
              <w:t>1.35</w:t>
            </w:r>
          </w:p>
        </w:tc>
      </w:tr>
      <w:tr w:rsidR="003C4183" w:rsidRPr="006247BC" w14:paraId="6D6EAD6D" w14:textId="77777777" w:rsidTr="00520814">
        <w:trPr>
          <w:trHeight w:val="291"/>
        </w:trPr>
        <w:tc>
          <w:tcPr>
            <w:tcW w:w="3468" w:type="pct"/>
          </w:tcPr>
          <w:p w14:paraId="279D428D" w14:textId="77777777" w:rsidR="003C4183" w:rsidRPr="006247BC" w:rsidRDefault="003C4183" w:rsidP="003C4183">
            <w:pPr>
              <w:pStyle w:val="Geenafstand"/>
              <w:jc w:val="both"/>
              <w:rPr>
                <w:rFonts w:ascii="Times New Roman" w:hAnsi="Times New Roman" w:cs="Times New Roman"/>
              </w:rPr>
            </w:pPr>
            <w:r w:rsidRPr="006247BC">
              <w:rPr>
                <w:rFonts w:ascii="Times New Roman" w:hAnsi="Times New Roman" w:cs="Times New Roman"/>
              </w:rPr>
              <w:t xml:space="preserve">   Quintile 5</w:t>
            </w:r>
          </w:p>
        </w:tc>
        <w:tc>
          <w:tcPr>
            <w:tcW w:w="435" w:type="pct"/>
            <w:vAlign w:val="bottom"/>
          </w:tcPr>
          <w:p w14:paraId="570EE088" w14:textId="77777777" w:rsidR="003C4183" w:rsidRPr="006247BC" w:rsidRDefault="005A3EE0" w:rsidP="003C4183">
            <w:pPr>
              <w:rPr>
                <w:rFonts w:ascii="Times New Roman" w:hAnsi="Times New Roman" w:cs="Times New Roman"/>
                <w:color w:val="000000"/>
              </w:rPr>
            </w:pPr>
            <w:r w:rsidRPr="006247BC">
              <w:rPr>
                <w:rFonts w:ascii="Times New Roman" w:hAnsi="Times New Roman" w:cs="Times New Roman"/>
                <w:color w:val="000000"/>
              </w:rPr>
              <w:t>0.34</w:t>
            </w:r>
          </w:p>
        </w:tc>
        <w:tc>
          <w:tcPr>
            <w:tcW w:w="556" w:type="pct"/>
            <w:vAlign w:val="bottom"/>
          </w:tcPr>
          <w:p w14:paraId="70C89BEB" w14:textId="77777777" w:rsidR="003C4183" w:rsidRPr="006247BC" w:rsidRDefault="005A3EE0" w:rsidP="003C4183">
            <w:pPr>
              <w:rPr>
                <w:rFonts w:ascii="Times New Roman" w:hAnsi="Times New Roman" w:cs="Times New Roman"/>
                <w:color w:val="000000"/>
              </w:rPr>
            </w:pPr>
            <w:r w:rsidRPr="006247BC">
              <w:rPr>
                <w:rFonts w:ascii="Times New Roman" w:hAnsi="Times New Roman" w:cs="Times New Roman"/>
                <w:color w:val="000000"/>
              </w:rPr>
              <w:t>0.17</w:t>
            </w:r>
          </w:p>
        </w:tc>
        <w:tc>
          <w:tcPr>
            <w:tcW w:w="541" w:type="pct"/>
            <w:vAlign w:val="bottom"/>
          </w:tcPr>
          <w:p w14:paraId="5B127065" w14:textId="77777777" w:rsidR="003C4183" w:rsidRPr="006247BC" w:rsidRDefault="005A3EE0" w:rsidP="003C4183">
            <w:pPr>
              <w:rPr>
                <w:rFonts w:ascii="Times New Roman" w:hAnsi="Times New Roman" w:cs="Times New Roman"/>
                <w:color w:val="000000"/>
              </w:rPr>
            </w:pPr>
            <w:r w:rsidRPr="006247BC">
              <w:rPr>
                <w:rFonts w:ascii="Times New Roman" w:hAnsi="Times New Roman" w:cs="Times New Roman"/>
                <w:color w:val="000000"/>
              </w:rPr>
              <w:t>0.67</w:t>
            </w:r>
          </w:p>
        </w:tc>
      </w:tr>
      <w:tr w:rsidR="003C4183" w:rsidRPr="006247BC" w14:paraId="2B595232" w14:textId="77777777" w:rsidTr="00520814">
        <w:trPr>
          <w:trHeight w:val="291"/>
        </w:trPr>
        <w:tc>
          <w:tcPr>
            <w:tcW w:w="3468" w:type="pct"/>
          </w:tcPr>
          <w:p w14:paraId="4A002D87" w14:textId="77777777" w:rsidR="003C4183" w:rsidRPr="006247BC" w:rsidRDefault="003C4183" w:rsidP="003C4183">
            <w:pPr>
              <w:pStyle w:val="Geenafstand"/>
              <w:jc w:val="both"/>
              <w:rPr>
                <w:rFonts w:ascii="Times New Roman" w:hAnsi="Times New Roman" w:cs="Times New Roman"/>
                <w:b/>
              </w:rPr>
            </w:pPr>
            <w:r w:rsidRPr="006247BC">
              <w:rPr>
                <w:rFonts w:ascii="Times New Roman" w:hAnsi="Times New Roman" w:cs="Times New Roman"/>
                <w:b/>
              </w:rPr>
              <w:t>Dietary nitrate intake from vegetables</w:t>
            </w:r>
          </w:p>
        </w:tc>
        <w:tc>
          <w:tcPr>
            <w:tcW w:w="435" w:type="pct"/>
          </w:tcPr>
          <w:p w14:paraId="03DF627F" w14:textId="77777777" w:rsidR="003C4183" w:rsidRPr="006247BC" w:rsidRDefault="003C4183" w:rsidP="003C4183">
            <w:pPr>
              <w:pStyle w:val="Geenafstand"/>
              <w:jc w:val="both"/>
              <w:rPr>
                <w:rFonts w:ascii="Times New Roman" w:hAnsi="Times New Roman" w:cs="Times New Roman"/>
              </w:rPr>
            </w:pPr>
          </w:p>
        </w:tc>
        <w:tc>
          <w:tcPr>
            <w:tcW w:w="556" w:type="pct"/>
          </w:tcPr>
          <w:p w14:paraId="2BD25C6F" w14:textId="77777777" w:rsidR="003C4183" w:rsidRPr="006247BC" w:rsidRDefault="003C4183" w:rsidP="003C4183">
            <w:pPr>
              <w:pStyle w:val="Geenafstand"/>
              <w:jc w:val="both"/>
              <w:rPr>
                <w:rFonts w:ascii="Times New Roman" w:hAnsi="Times New Roman" w:cs="Times New Roman"/>
              </w:rPr>
            </w:pPr>
          </w:p>
        </w:tc>
        <w:tc>
          <w:tcPr>
            <w:tcW w:w="541" w:type="pct"/>
          </w:tcPr>
          <w:p w14:paraId="4030CDF0" w14:textId="77777777" w:rsidR="003C4183" w:rsidRPr="006247BC" w:rsidRDefault="003C4183" w:rsidP="003C4183">
            <w:pPr>
              <w:pStyle w:val="Geenafstand"/>
              <w:jc w:val="both"/>
              <w:rPr>
                <w:rFonts w:ascii="Times New Roman" w:hAnsi="Times New Roman" w:cs="Times New Roman"/>
              </w:rPr>
            </w:pPr>
          </w:p>
        </w:tc>
      </w:tr>
      <w:tr w:rsidR="003C4183" w:rsidRPr="006247BC" w14:paraId="7CAF1E49" w14:textId="77777777" w:rsidTr="00520814">
        <w:trPr>
          <w:trHeight w:val="291"/>
        </w:trPr>
        <w:tc>
          <w:tcPr>
            <w:tcW w:w="3468" w:type="pct"/>
          </w:tcPr>
          <w:p w14:paraId="1CB3121F" w14:textId="77777777" w:rsidR="003C4183" w:rsidRPr="006247BC" w:rsidRDefault="003C4183" w:rsidP="00520814">
            <w:pPr>
              <w:pStyle w:val="Geenafstand"/>
              <w:jc w:val="both"/>
              <w:rPr>
                <w:rFonts w:ascii="Times New Roman" w:hAnsi="Times New Roman" w:cs="Times New Roman"/>
              </w:rPr>
            </w:pPr>
            <w:r w:rsidRPr="006247BC">
              <w:rPr>
                <w:rFonts w:ascii="Times New Roman" w:hAnsi="Times New Roman" w:cs="Times New Roman"/>
              </w:rPr>
              <w:t xml:space="preserve">   Continuous (per 10mg/day)</w:t>
            </w:r>
          </w:p>
        </w:tc>
        <w:tc>
          <w:tcPr>
            <w:tcW w:w="435" w:type="pct"/>
            <w:vAlign w:val="bottom"/>
          </w:tcPr>
          <w:p w14:paraId="1CCAED74" w14:textId="77777777" w:rsidR="003C4183" w:rsidRPr="006247BC" w:rsidRDefault="005A3EE0" w:rsidP="003C4183">
            <w:pPr>
              <w:rPr>
                <w:rFonts w:ascii="Times New Roman" w:hAnsi="Times New Roman" w:cs="Times New Roman"/>
                <w:color w:val="000000"/>
              </w:rPr>
            </w:pPr>
            <w:r w:rsidRPr="006247BC">
              <w:rPr>
                <w:rFonts w:ascii="Times New Roman" w:hAnsi="Times New Roman" w:cs="Times New Roman"/>
                <w:color w:val="000000"/>
              </w:rPr>
              <w:t>0.94</w:t>
            </w:r>
          </w:p>
        </w:tc>
        <w:tc>
          <w:tcPr>
            <w:tcW w:w="556" w:type="pct"/>
            <w:vAlign w:val="bottom"/>
          </w:tcPr>
          <w:p w14:paraId="30044BD7" w14:textId="77777777" w:rsidR="003C4183" w:rsidRPr="006247BC" w:rsidRDefault="003C4183" w:rsidP="003C4183">
            <w:pPr>
              <w:rPr>
                <w:rFonts w:ascii="Times New Roman" w:hAnsi="Times New Roman" w:cs="Times New Roman"/>
                <w:color w:val="000000"/>
              </w:rPr>
            </w:pPr>
            <w:r w:rsidRPr="006247BC">
              <w:rPr>
                <w:rFonts w:ascii="Times New Roman" w:hAnsi="Times New Roman" w:cs="Times New Roman"/>
                <w:color w:val="000000"/>
              </w:rPr>
              <w:t>0.91</w:t>
            </w:r>
          </w:p>
        </w:tc>
        <w:tc>
          <w:tcPr>
            <w:tcW w:w="541" w:type="pct"/>
            <w:vAlign w:val="bottom"/>
          </w:tcPr>
          <w:p w14:paraId="2FDE42A2" w14:textId="77777777" w:rsidR="003C4183" w:rsidRPr="006247BC" w:rsidRDefault="003C4183" w:rsidP="003C4183">
            <w:pPr>
              <w:rPr>
                <w:rFonts w:ascii="Times New Roman" w:hAnsi="Times New Roman" w:cs="Times New Roman"/>
                <w:color w:val="000000"/>
              </w:rPr>
            </w:pPr>
            <w:r w:rsidRPr="006247BC">
              <w:rPr>
                <w:rFonts w:ascii="Times New Roman" w:hAnsi="Times New Roman" w:cs="Times New Roman"/>
                <w:color w:val="000000"/>
              </w:rPr>
              <w:t>0.98</w:t>
            </w:r>
          </w:p>
        </w:tc>
      </w:tr>
      <w:tr w:rsidR="003C4183" w:rsidRPr="006247BC" w14:paraId="1224D2DC" w14:textId="77777777" w:rsidTr="00520814">
        <w:trPr>
          <w:trHeight w:val="291"/>
        </w:trPr>
        <w:tc>
          <w:tcPr>
            <w:tcW w:w="3468" w:type="pct"/>
          </w:tcPr>
          <w:p w14:paraId="6529C3C3" w14:textId="77777777" w:rsidR="003C4183" w:rsidRPr="006247BC" w:rsidRDefault="003C4183" w:rsidP="003C4183">
            <w:pPr>
              <w:pStyle w:val="Geenafstand"/>
              <w:jc w:val="both"/>
              <w:rPr>
                <w:rFonts w:ascii="Times New Roman" w:hAnsi="Times New Roman" w:cs="Times New Roman"/>
              </w:rPr>
            </w:pPr>
            <w:r w:rsidRPr="006247BC">
              <w:rPr>
                <w:rFonts w:ascii="Times New Roman" w:hAnsi="Times New Roman" w:cs="Times New Roman"/>
              </w:rPr>
              <w:t xml:space="preserve">   Quintile 1</w:t>
            </w:r>
          </w:p>
        </w:tc>
        <w:tc>
          <w:tcPr>
            <w:tcW w:w="435" w:type="pct"/>
            <w:vAlign w:val="bottom"/>
          </w:tcPr>
          <w:p w14:paraId="0E4809C0" w14:textId="77777777" w:rsidR="003C4183" w:rsidRPr="006247BC" w:rsidRDefault="003C4183" w:rsidP="003C4183">
            <w:pPr>
              <w:rPr>
                <w:rFonts w:ascii="Times New Roman" w:hAnsi="Times New Roman" w:cs="Times New Roman"/>
                <w:color w:val="000000"/>
              </w:rPr>
            </w:pPr>
            <w:r w:rsidRPr="006247BC">
              <w:rPr>
                <w:rFonts w:ascii="Times New Roman" w:hAnsi="Times New Roman" w:cs="Times New Roman"/>
                <w:color w:val="000000"/>
              </w:rPr>
              <w:t>1</w:t>
            </w:r>
          </w:p>
        </w:tc>
        <w:tc>
          <w:tcPr>
            <w:tcW w:w="556" w:type="pct"/>
            <w:vAlign w:val="bottom"/>
          </w:tcPr>
          <w:p w14:paraId="7CAAD287" w14:textId="77777777" w:rsidR="003C4183" w:rsidRPr="006247BC" w:rsidRDefault="003C4183" w:rsidP="003C4183">
            <w:pPr>
              <w:rPr>
                <w:rFonts w:ascii="Times New Roman" w:hAnsi="Times New Roman" w:cs="Times New Roman"/>
                <w:color w:val="000000"/>
              </w:rPr>
            </w:pPr>
            <w:r w:rsidRPr="006247BC">
              <w:rPr>
                <w:rFonts w:ascii="Times New Roman" w:hAnsi="Times New Roman" w:cs="Times New Roman"/>
                <w:color w:val="000000"/>
              </w:rPr>
              <w:t>1</w:t>
            </w:r>
          </w:p>
        </w:tc>
        <w:tc>
          <w:tcPr>
            <w:tcW w:w="541" w:type="pct"/>
            <w:vAlign w:val="bottom"/>
          </w:tcPr>
          <w:p w14:paraId="405B85B2" w14:textId="77777777" w:rsidR="003C4183" w:rsidRPr="006247BC" w:rsidRDefault="003C4183" w:rsidP="003C4183">
            <w:pPr>
              <w:rPr>
                <w:rFonts w:ascii="Times New Roman" w:hAnsi="Times New Roman" w:cs="Times New Roman"/>
                <w:color w:val="000000"/>
              </w:rPr>
            </w:pPr>
            <w:r w:rsidRPr="006247BC">
              <w:rPr>
                <w:rFonts w:ascii="Times New Roman" w:hAnsi="Times New Roman" w:cs="Times New Roman"/>
                <w:color w:val="000000"/>
              </w:rPr>
              <w:t>1</w:t>
            </w:r>
          </w:p>
        </w:tc>
      </w:tr>
      <w:tr w:rsidR="003C4183" w:rsidRPr="006247BC" w14:paraId="69A3FF3B" w14:textId="77777777" w:rsidTr="00520814">
        <w:trPr>
          <w:trHeight w:val="291"/>
        </w:trPr>
        <w:tc>
          <w:tcPr>
            <w:tcW w:w="3468" w:type="pct"/>
          </w:tcPr>
          <w:p w14:paraId="29BA098E" w14:textId="77777777" w:rsidR="003C4183" w:rsidRPr="006247BC" w:rsidRDefault="003C4183" w:rsidP="003C4183">
            <w:pPr>
              <w:pStyle w:val="Geenafstand"/>
              <w:jc w:val="both"/>
              <w:rPr>
                <w:rFonts w:ascii="Times New Roman" w:hAnsi="Times New Roman" w:cs="Times New Roman"/>
              </w:rPr>
            </w:pPr>
            <w:r w:rsidRPr="006247BC">
              <w:rPr>
                <w:rFonts w:ascii="Times New Roman" w:hAnsi="Times New Roman" w:cs="Times New Roman"/>
              </w:rPr>
              <w:t xml:space="preserve">   Quintile 2</w:t>
            </w:r>
          </w:p>
        </w:tc>
        <w:tc>
          <w:tcPr>
            <w:tcW w:w="435" w:type="pct"/>
            <w:vAlign w:val="bottom"/>
          </w:tcPr>
          <w:p w14:paraId="610D58F0" w14:textId="77777777" w:rsidR="003C4183" w:rsidRPr="006247BC" w:rsidRDefault="005A3EE0" w:rsidP="003C4183">
            <w:pPr>
              <w:rPr>
                <w:rFonts w:ascii="Times New Roman" w:hAnsi="Times New Roman" w:cs="Times New Roman"/>
                <w:color w:val="000000"/>
              </w:rPr>
            </w:pPr>
            <w:r w:rsidRPr="006247BC">
              <w:rPr>
                <w:rFonts w:ascii="Times New Roman" w:hAnsi="Times New Roman" w:cs="Times New Roman"/>
                <w:color w:val="000000"/>
              </w:rPr>
              <w:t>0.86</w:t>
            </w:r>
          </w:p>
        </w:tc>
        <w:tc>
          <w:tcPr>
            <w:tcW w:w="556" w:type="pct"/>
            <w:vAlign w:val="bottom"/>
          </w:tcPr>
          <w:p w14:paraId="5819CC8C" w14:textId="77777777" w:rsidR="003C4183" w:rsidRPr="006247BC" w:rsidRDefault="005A3EE0" w:rsidP="003C4183">
            <w:pPr>
              <w:rPr>
                <w:rFonts w:ascii="Times New Roman" w:hAnsi="Times New Roman" w:cs="Times New Roman"/>
                <w:color w:val="000000"/>
              </w:rPr>
            </w:pPr>
            <w:r w:rsidRPr="006247BC">
              <w:rPr>
                <w:rFonts w:ascii="Times New Roman" w:hAnsi="Times New Roman" w:cs="Times New Roman"/>
                <w:color w:val="000000"/>
              </w:rPr>
              <w:t>0.49</w:t>
            </w:r>
          </w:p>
        </w:tc>
        <w:tc>
          <w:tcPr>
            <w:tcW w:w="541" w:type="pct"/>
            <w:vAlign w:val="bottom"/>
          </w:tcPr>
          <w:p w14:paraId="70C8FD22" w14:textId="77777777" w:rsidR="003C4183" w:rsidRPr="006247BC" w:rsidRDefault="005A3EE0" w:rsidP="003C4183">
            <w:pPr>
              <w:rPr>
                <w:rFonts w:ascii="Times New Roman" w:hAnsi="Times New Roman" w:cs="Times New Roman"/>
                <w:color w:val="000000"/>
              </w:rPr>
            </w:pPr>
            <w:r w:rsidRPr="006247BC">
              <w:rPr>
                <w:rFonts w:ascii="Times New Roman" w:hAnsi="Times New Roman" w:cs="Times New Roman"/>
                <w:color w:val="000000"/>
              </w:rPr>
              <w:t>1.51</w:t>
            </w:r>
          </w:p>
        </w:tc>
      </w:tr>
      <w:tr w:rsidR="003C4183" w:rsidRPr="006247BC" w14:paraId="737A733C" w14:textId="77777777" w:rsidTr="00520814">
        <w:trPr>
          <w:trHeight w:val="291"/>
        </w:trPr>
        <w:tc>
          <w:tcPr>
            <w:tcW w:w="3468" w:type="pct"/>
          </w:tcPr>
          <w:p w14:paraId="53835A44" w14:textId="77777777" w:rsidR="003C4183" w:rsidRPr="006247BC" w:rsidRDefault="003C4183" w:rsidP="003C4183">
            <w:pPr>
              <w:pStyle w:val="Geenafstand"/>
              <w:jc w:val="both"/>
              <w:rPr>
                <w:rFonts w:ascii="Times New Roman" w:hAnsi="Times New Roman" w:cs="Times New Roman"/>
              </w:rPr>
            </w:pPr>
            <w:r w:rsidRPr="006247BC">
              <w:rPr>
                <w:rFonts w:ascii="Times New Roman" w:hAnsi="Times New Roman" w:cs="Times New Roman"/>
              </w:rPr>
              <w:lastRenderedPageBreak/>
              <w:t xml:space="preserve">   Quintile 3</w:t>
            </w:r>
          </w:p>
        </w:tc>
        <w:tc>
          <w:tcPr>
            <w:tcW w:w="435" w:type="pct"/>
            <w:vAlign w:val="bottom"/>
          </w:tcPr>
          <w:p w14:paraId="712AC8C1" w14:textId="77777777" w:rsidR="003C4183" w:rsidRPr="006247BC" w:rsidRDefault="005A3EE0" w:rsidP="003C4183">
            <w:pPr>
              <w:rPr>
                <w:rFonts w:ascii="Times New Roman" w:hAnsi="Times New Roman" w:cs="Times New Roman"/>
                <w:color w:val="000000"/>
              </w:rPr>
            </w:pPr>
            <w:r w:rsidRPr="006247BC">
              <w:rPr>
                <w:rFonts w:ascii="Times New Roman" w:hAnsi="Times New Roman" w:cs="Times New Roman"/>
                <w:color w:val="000000"/>
              </w:rPr>
              <w:t>0.79</w:t>
            </w:r>
          </w:p>
        </w:tc>
        <w:tc>
          <w:tcPr>
            <w:tcW w:w="556" w:type="pct"/>
            <w:vAlign w:val="bottom"/>
          </w:tcPr>
          <w:p w14:paraId="11647D17" w14:textId="77777777" w:rsidR="003C4183" w:rsidRPr="006247BC" w:rsidRDefault="005A3EE0" w:rsidP="003C4183">
            <w:pPr>
              <w:rPr>
                <w:rFonts w:ascii="Times New Roman" w:hAnsi="Times New Roman" w:cs="Times New Roman"/>
                <w:color w:val="000000"/>
              </w:rPr>
            </w:pPr>
            <w:r w:rsidRPr="006247BC">
              <w:rPr>
                <w:rFonts w:ascii="Times New Roman" w:hAnsi="Times New Roman" w:cs="Times New Roman"/>
                <w:color w:val="000000"/>
              </w:rPr>
              <w:t>0.45</w:t>
            </w:r>
          </w:p>
        </w:tc>
        <w:tc>
          <w:tcPr>
            <w:tcW w:w="541" w:type="pct"/>
            <w:vAlign w:val="bottom"/>
          </w:tcPr>
          <w:p w14:paraId="571FA143" w14:textId="77777777" w:rsidR="003C4183" w:rsidRPr="006247BC" w:rsidRDefault="005A3EE0" w:rsidP="003C4183">
            <w:pPr>
              <w:rPr>
                <w:rFonts w:ascii="Times New Roman" w:hAnsi="Times New Roman" w:cs="Times New Roman"/>
                <w:color w:val="000000"/>
              </w:rPr>
            </w:pPr>
            <w:r w:rsidRPr="006247BC">
              <w:rPr>
                <w:rFonts w:ascii="Times New Roman" w:hAnsi="Times New Roman" w:cs="Times New Roman"/>
                <w:color w:val="000000"/>
              </w:rPr>
              <w:t>1.39</w:t>
            </w:r>
          </w:p>
        </w:tc>
      </w:tr>
      <w:tr w:rsidR="003C4183" w:rsidRPr="006247BC" w14:paraId="0BDB0140" w14:textId="77777777" w:rsidTr="00520814">
        <w:trPr>
          <w:trHeight w:val="291"/>
        </w:trPr>
        <w:tc>
          <w:tcPr>
            <w:tcW w:w="3468" w:type="pct"/>
          </w:tcPr>
          <w:p w14:paraId="3BA3B437" w14:textId="77777777" w:rsidR="003C4183" w:rsidRPr="006247BC" w:rsidRDefault="003C4183" w:rsidP="003C4183">
            <w:pPr>
              <w:pStyle w:val="Geenafstand"/>
              <w:jc w:val="both"/>
              <w:rPr>
                <w:rFonts w:ascii="Times New Roman" w:hAnsi="Times New Roman" w:cs="Times New Roman"/>
              </w:rPr>
            </w:pPr>
            <w:r w:rsidRPr="006247BC">
              <w:rPr>
                <w:rFonts w:ascii="Times New Roman" w:hAnsi="Times New Roman" w:cs="Times New Roman"/>
              </w:rPr>
              <w:t xml:space="preserve">   Quintile 4</w:t>
            </w:r>
          </w:p>
        </w:tc>
        <w:tc>
          <w:tcPr>
            <w:tcW w:w="435" w:type="pct"/>
            <w:vAlign w:val="bottom"/>
          </w:tcPr>
          <w:p w14:paraId="12457FB8" w14:textId="77777777" w:rsidR="003C4183" w:rsidRPr="006247BC" w:rsidRDefault="005A3EE0" w:rsidP="003C4183">
            <w:pPr>
              <w:rPr>
                <w:rFonts w:ascii="Times New Roman" w:hAnsi="Times New Roman" w:cs="Times New Roman"/>
                <w:color w:val="000000"/>
              </w:rPr>
            </w:pPr>
            <w:r w:rsidRPr="006247BC">
              <w:rPr>
                <w:rFonts w:ascii="Times New Roman" w:hAnsi="Times New Roman" w:cs="Times New Roman"/>
                <w:color w:val="000000"/>
              </w:rPr>
              <w:t>0.80</w:t>
            </w:r>
          </w:p>
        </w:tc>
        <w:tc>
          <w:tcPr>
            <w:tcW w:w="556" w:type="pct"/>
            <w:vAlign w:val="bottom"/>
          </w:tcPr>
          <w:p w14:paraId="0F41723D" w14:textId="77777777" w:rsidR="003C4183" w:rsidRPr="006247BC" w:rsidRDefault="005A3EE0" w:rsidP="003C4183">
            <w:pPr>
              <w:rPr>
                <w:rFonts w:ascii="Times New Roman" w:hAnsi="Times New Roman" w:cs="Times New Roman"/>
                <w:color w:val="000000"/>
              </w:rPr>
            </w:pPr>
            <w:r w:rsidRPr="006247BC">
              <w:rPr>
                <w:rFonts w:ascii="Times New Roman" w:hAnsi="Times New Roman" w:cs="Times New Roman"/>
                <w:color w:val="000000"/>
              </w:rPr>
              <w:t>0.45</w:t>
            </w:r>
          </w:p>
        </w:tc>
        <w:tc>
          <w:tcPr>
            <w:tcW w:w="541" w:type="pct"/>
            <w:vAlign w:val="bottom"/>
          </w:tcPr>
          <w:p w14:paraId="5CC85112" w14:textId="77777777" w:rsidR="003C4183" w:rsidRPr="006247BC" w:rsidRDefault="005A3EE0" w:rsidP="003C4183">
            <w:pPr>
              <w:rPr>
                <w:rFonts w:ascii="Times New Roman" w:hAnsi="Times New Roman" w:cs="Times New Roman"/>
                <w:color w:val="000000"/>
              </w:rPr>
            </w:pPr>
            <w:r w:rsidRPr="006247BC">
              <w:rPr>
                <w:rFonts w:ascii="Times New Roman" w:hAnsi="Times New Roman" w:cs="Times New Roman"/>
                <w:color w:val="000000"/>
              </w:rPr>
              <w:t>1.42</w:t>
            </w:r>
          </w:p>
        </w:tc>
      </w:tr>
      <w:tr w:rsidR="003C4183" w:rsidRPr="006247BC" w14:paraId="55A734A2" w14:textId="77777777" w:rsidTr="00520814">
        <w:trPr>
          <w:trHeight w:val="291"/>
        </w:trPr>
        <w:tc>
          <w:tcPr>
            <w:tcW w:w="3468" w:type="pct"/>
          </w:tcPr>
          <w:p w14:paraId="6BCBA254" w14:textId="77777777" w:rsidR="003C4183" w:rsidRPr="006247BC" w:rsidRDefault="003C4183" w:rsidP="003C4183">
            <w:pPr>
              <w:pStyle w:val="Geenafstand"/>
              <w:jc w:val="both"/>
              <w:rPr>
                <w:rFonts w:ascii="Times New Roman" w:hAnsi="Times New Roman" w:cs="Times New Roman"/>
              </w:rPr>
            </w:pPr>
            <w:r w:rsidRPr="006247BC">
              <w:rPr>
                <w:rFonts w:ascii="Times New Roman" w:hAnsi="Times New Roman" w:cs="Times New Roman"/>
              </w:rPr>
              <w:t xml:space="preserve">   Quintile 5</w:t>
            </w:r>
          </w:p>
        </w:tc>
        <w:tc>
          <w:tcPr>
            <w:tcW w:w="435" w:type="pct"/>
            <w:vAlign w:val="bottom"/>
          </w:tcPr>
          <w:p w14:paraId="7E1F658D" w14:textId="77777777" w:rsidR="003C4183" w:rsidRPr="006247BC" w:rsidRDefault="005A3EE0" w:rsidP="003C4183">
            <w:pPr>
              <w:rPr>
                <w:rFonts w:ascii="Times New Roman" w:hAnsi="Times New Roman" w:cs="Times New Roman"/>
                <w:color w:val="000000"/>
              </w:rPr>
            </w:pPr>
            <w:r w:rsidRPr="006247BC">
              <w:rPr>
                <w:rFonts w:ascii="Times New Roman" w:hAnsi="Times New Roman" w:cs="Times New Roman"/>
                <w:color w:val="000000"/>
              </w:rPr>
              <w:t>0.34</w:t>
            </w:r>
          </w:p>
        </w:tc>
        <w:tc>
          <w:tcPr>
            <w:tcW w:w="556" w:type="pct"/>
            <w:vAlign w:val="bottom"/>
          </w:tcPr>
          <w:p w14:paraId="1587C7F0" w14:textId="77777777" w:rsidR="003C4183" w:rsidRPr="006247BC" w:rsidRDefault="005A3EE0" w:rsidP="003C4183">
            <w:pPr>
              <w:rPr>
                <w:rFonts w:ascii="Times New Roman" w:hAnsi="Times New Roman" w:cs="Times New Roman"/>
                <w:color w:val="000000"/>
              </w:rPr>
            </w:pPr>
            <w:r w:rsidRPr="006247BC">
              <w:rPr>
                <w:rFonts w:ascii="Times New Roman" w:hAnsi="Times New Roman" w:cs="Times New Roman"/>
                <w:color w:val="000000"/>
              </w:rPr>
              <w:t>0.17</w:t>
            </w:r>
          </w:p>
        </w:tc>
        <w:tc>
          <w:tcPr>
            <w:tcW w:w="541" w:type="pct"/>
            <w:vAlign w:val="bottom"/>
          </w:tcPr>
          <w:p w14:paraId="150E0374" w14:textId="77777777" w:rsidR="003C4183" w:rsidRPr="006247BC" w:rsidRDefault="005A3EE0" w:rsidP="003C4183">
            <w:pPr>
              <w:rPr>
                <w:rFonts w:ascii="Times New Roman" w:hAnsi="Times New Roman" w:cs="Times New Roman"/>
                <w:color w:val="000000"/>
              </w:rPr>
            </w:pPr>
            <w:r w:rsidRPr="006247BC">
              <w:rPr>
                <w:rFonts w:ascii="Times New Roman" w:hAnsi="Times New Roman" w:cs="Times New Roman"/>
                <w:color w:val="000000"/>
              </w:rPr>
              <w:t>0.66</w:t>
            </w:r>
          </w:p>
        </w:tc>
      </w:tr>
      <w:tr w:rsidR="003C4183" w:rsidRPr="006247BC" w14:paraId="22092224" w14:textId="77777777" w:rsidTr="00520814">
        <w:trPr>
          <w:trHeight w:val="291"/>
        </w:trPr>
        <w:tc>
          <w:tcPr>
            <w:tcW w:w="3468" w:type="pct"/>
          </w:tcPr>
          <w:p w14:paraId="0A9B0D3C" w14:textId="77777777" w:rsidR="003C4183" w:rsidRPr="006247BC" w:rsidRDefault="003C4183" w:rsidP="003C4183">
            <w:pPr>
              <w:pStyle w:val="Geenafstand"/>
              <w:jc w:val="both"/>
              <w:rPr>
                <w:rFonts w:ascii="Times New Roman" w:hAnsi="Times New Roman" w:cs="Times New Roman"/>
                <w:b/>
              </w:rPr>
            </w:pPr>
            <w:r w:rsidRPr="006247BC">
              <w:rPr>
                <w:rFonts w:ascii="Times New Roman" w:hAnsi="Times New Roman" w:cs="Times New Roman"/>
                <w:b/>
              </w:rPr>
              <w:t>Dietary nitrate intake from non-vegetable food sources</w:t>
            </w:r>
          </w:p>
        </w:tc>
        <w:tc>
          <w:tcPr>
            <w:tcW w:w="435" w:type="pct"/>
          </w:tcPr>
          <w:p w14:paraId="79577D3A" w14:textId="77777777" w:rsidR="003C4183" w:rsidRPr="006247BC" w:rsidRDefault="003C4183" w:rsidP="003C4183">
            <w:pPr>
              <w:pStyle w:val="Geenafstand"/>
              <w:jc w:val="both"/>
              <w:rPr>
                <w:rFonts w:ascii="Times New Roman" w:hAnsi="Times New Roman" w:cs="Times New Roman"/>
              </w:rPr>
            </w:pPr>
          </w:p>
        </w:tc>
        <w:tc>
          <w:tcPr>
            <w:tcW w:w="556" w:type="pct"/>
          </w:tcPr>
          <w:p w14:paraId="2C6C1062" w14:textId="77777777" w:rsidR="003C4183" w:rsidRPr="006247BC" w:rsidRDefault="003C4183" w:rsidP="003C4183">
            <w:pPr>
              <w:pStyle w:val="Geenafstand"/>
              <w:jc w:val="both"/>
              <w:rPr>
                <w:rFonts w:ascii="Times New Roman" w:hAnsi="Times New Roman" w:cs="Times New Roman"/>
              </w:rPr>
            </w:pPr>
          </w:p>
        </w:tc>
        <w:tc>
          <w:tcPr>
            <w:tcW w:w="541" w:type="pct"/>
          </w:tcPr>
          <w:p w14:paraId="48BD523F" w14:textId="77777777" w:rsidR="003C4183" w:rsidRPr="006247BC" w:rsidRDefault="003C4183" w:rsidP="003C4183">
            <w:pPr>
              <w:pStyle w:val="Geenafstand"/>
              <w:jc w:val="both"/>
              <w:rPr>
                <w:rFonts w:ascii="Times New Roman" w:hAnsi="Times New Roman" w:cs="Times New Roman"/>
              </w:rPr>
            </w:pPr>
          </w:p>
        </w:tc>
      </w:tr>
      <w:tr w:rsidR="003C4183" w:rsidRPr="006247BC" w14:paraId="7AEC6552" w14:textId="77777777" w:rsidTr="00520814">
        <w:trPr>
          <w:trHeight w:val="291"/>
        </w:trPr>
        <w:tc>
          <w:tcPr>
            <w:tcW w:w="3468" w:type="pct"/>
          </w:tcPr>
          <w:p w14:paraId="536F7E18" w14:textId="77777777" w:rsidR="003C4183" w:rsidRPr="006247BC" w:rsidRDefault="003C4183" w:rsidP="00520814">
            <w:pPr>
              <w:pStyle w:val="Geenafstand"/>
              <w:jc w:val="both"/>
              <w:rPr>
                <w:rFonts w:ascii="Times New Roman" w:hAnsi="Times New Roman" w:cs="Times New Roman"/>
              </w:rPr>
            </w:pPr>
            <w:r w:rsidRPr="006247BC">
              <w:rPr>
                <w:rFonts w:ascii="Times New Roman" w:hAnsi="Times New Roman" w:cs="Times New Roman"/>
              </w:rPr>
              <w:t xml:space="preserve">   Continuous (per 10mg/day)</w:t>
            </w:r>
          </w:p>
        </w:tc>
        <w:tc>
          <w:tcPr>
            <w:tcW w:w="435" w:type="pct"/>
            <w:vAlign w:val="bottom"/>
          </w:tcPr>
          <w:p w14:paraId="77452F57" w14:textId="77777777" w:rsidR="003C4183" w:rsidRPr="006247BC" w:rsidRDefault="005A3EE0" w:rsidP="003C4183">
            <w:pPr>
              <w:rPr>
                <w:rFonts w:ascii="Times New Roman" w:hAnsi="Times New Roman" w:cs="Times New Roman"/>
                <w:color w:val="000000"/>
              </w:rPr>
            </w:pPr>
            <w:r w:rsidRPr="006247BC">
              <w:rPr>
                <w:rFonts w:ascii="Times New Roman" w:hAnsi="Times New Roman" w:cs="Times New Roman"/>
                <w:color w:val="000000"/>
              </w:rPr>
              <w:t>0.62</w:t>
            </w:r>
          </w:p>
        </w:tc>
        <w:tc>
          <w:tcPr>
            <w:tcW w:w="556" w:type="pct"/>
            <w:vAlign w:val="bottom"/>
          </w:tcPr>
          <w:p w14:paraId="34360787" w14:textId="77777777" w:rsidR="003C4183" w:rsidRPr="006247BC" w:rsidRDefault="005A3EE0" w:rsidP="003C4183">
            <w:pPr>
              <w:rPr>
                <w:rFonts w:ascii="Times New Roman" w:hAnsi="Times New Roman" w:cs="Times New Roman"/>
                <w:color w:val="000000"/>
              </w:rPr>
            </w:pPr>
            <w:r w:rsidRPr="006247BC">
              <w:rPr>
                <w:rFonts w:ascii="Times New Roman" w:hAnsi="Times New Roman" w:cs="Times New Roman"/>
                <w:color w:val="000000"/>
              </w:rPr>
              <w:t>0.40</w:t>
            </w:r>
          </w:p>
        </w:tc>
        <w:tc>
          <w:tcPr>
            <w:tcW w:w="541" w:type="pct"/>
            <w:vAlign w:val="bottom"/>
          </w:tcPr>
          <w:p w14:paraId="17CBA7AD" w14:textId="77777777" w:rsidR="003C4183" w:rsidRPr="006247BC" w:rsidRDefault="005A3EE0" w:rsidP="003C4183">
            <w:pPr>
              <w:rPr>
                <w:rFonts w:ascii="Times New Roman" w:hAnsi="Times New Roman" w:cs="Times New Roman"/>
                <w:color w:val="000000"/>
              </w:rPr>
            </w:pPr>
            <w:r w:rsidRPr="006247BC">
              <w:rPr>
                <w:rFonts w:ascii="Times New Roman" w:hAnsi="Times New Roman" w:cs="Times New Roman"/>
                <w:color w:val="000000"/>
              </w:rPr>
              <w:t>0.97</w:t>
            </w:r>
          </w:p>
        </w:tc>
      </w:tr>
      <w:tr w:rsidR="003C4183" w:rsidRPr="006247BC" w14:paraId="1CC1A596" w14:textId="77777777" w:rsidTr="00520814">
        <w:trPr>
          <w:trHeight w:val="291"/>
        </w:trPr>
        <w:tc>
          <w:tcPr>
            <w:tcW w:w="3468" w:type="pct"/>
          </w:tcPr>
          <w:p w14:paraId="59F7F3F2" w14:textId="77777777" w:rsidR="003C4183" w:rsidRPr="006247BC" w:rsidRDefault="003C4183" w:rsidP="003C4183">
            <w:pPr>
              <w:pStyle w:val="Geenafstand"/>
              <w:jc w:val="both"/>
              <w:rPr>
                <w:rFonts w:ascii="Times New Roman" w:hAnsi="Times New Roman" w:cs="Times New Roman"/>
              </w:rPr>
            </w:pPr>
            <w:r w:rsidRPr="006247BC">
              <w:rPr>
                <w:rFonts w:ascii="Times New Roman" w:hAnsi="Times New Roman" w:cs="Times New Roman"/>
              </w:rPr>
              <w:t xml:space="preserve">   Quintile 1</w:t>
            </w:r>
          </w:p>
        </w:tc>
        <w:tc>
          <w:tcPr>
            <w:tcW w:w="435" w:type="pct"/>
            <w:vAlign w:val="bottom"/>
          </w:tcPr>
          <w:p w14:paraId="1856802E" w14:textId="77777777" w:rsidR="003C4183" w:rsidRPr="006247BC" w:rsidRDefault="003C4183" w:rsidP="003C4183">
            <w:pPr>
              <w:rPr>
                <w:rFonts w:ascii="Times New Roman" w:hAnsi="Times New Roman" w:cs="Times New Roman"/>
                <w:color w:val="000000"/>
              </w:rPr>
            </w:pPr>
            <w:r w:rsidRPr="006247BC">
              <w:rPr>
                <w:rFonts w:ascii="Times New Roman" w:hAnsi="Times New Roman" w:cs="Times New Roman"/>
                <w:color w:val="000000"/>
              </w:rPr>
              <w:t>1</w:t>
            </w:r>
          </w:p>
        </w:tc>
        <w:tc>
          <w:tcPr>
            <w:tcW w:w="556" w:type="pct"/>
            <w:vAlign w:val="bottom"/>
          </w:tcPr>
          <w:p w14:paraId="49802274" w14:textId="77777777" w:rsidR="003C4183" w:rsidRPr="006247BC" w:rsidRDefault="003C4183" w:rsidP="003C4183">
            <w:pPr>
              <w:rPr>
                <w:rFonts w:ascii="Times New Roman" w:hAnsi="Times New Roman" w:cs="Times New Roman"/>
                <w:color w:val="000000"/>
              </w:rPr>
            </w:pPr>
            <w:r w:rsidRPr="006247BC">
              <w:rPr>
                <w:rFonts w:ascii="Times New Roman" w:hAnsi="Times New Roman" w:cs="Times New Roman"/>
                <w:color w:val="000000"/>
              </w:rPr>
              <w:t>1</w:t>
            </w:r>
          </w:p>
        </w:tc>
        <w:tc>
          <w:tcPr>
            <w:tcW w:w="541" w:type="pct"/>
            <w:vAlign w:val="bottom"/>
          </w:tcPr>
          <w:p w14:paraId="53B68964" w14:textId="77777777" w:rsidR="003C4183" w:rsidRPr="006247BC" w:rsidRDefault="003C4183" w:rsidP="003C4183">
            <w:pPr>
              <w:rPr>
                <w:rFonts w:ascii="Times New Roman" w:hAnsi="Times New Roman" w:cs="Times New Roman"/>
                <w:color w:val="000000"/>
              </w:rPr>
            </w:pPr>
            <w:r w:rsidRPr="006247BC">
              <w:rPr>
                <w:rFonts w:ascii="Times New Roman" w:hAnsi="Times New Roman" w:cs="Times New Roman"/>
                <w:color w:val="000000"/>
              </w:rPr>
              <w:t>1</w:t>
            </w:r>
          </w:p>
        </w:tc>
      </w:tr>
      <w:tr w:rsidR="003C4183" w:rsidRPr="006247BC" w14:paraId="5C4C83CF" w14:textId="77777777" w:rsidTr="00520814">
        <w:trPr>
          <w:trHeight w:val="291"/>
        </w:trPr>
        <w:tc>
          <w:tcPr>
            <w:tcW w:w="3468" w:type="pct"/>
          </w:tcPr>
          <w:p w14:paraId="4BFA2051" w14:textId="77777777" w:rsidR="003C4183" w:rsidRPr="006247BC" w:rsidRDefault="003C4183" w:rsidP="003C4183">
            <w:pPr>
              <w:pStyle w:val="Geenafstand"/>
              <w:jc w:val="both"/>
              <w:rPr>
                <w:rFonts w:ascii="Times New Roman" w:hAnsi="Times New Roman" w:cs="Times New Roman"/>
              </w:rPr>
            </w:pPr>
            <w:r w:rsidRPr="006247BC">
              <w:rPr>
                <w:rFonts w:ascii="Times New Roman" w:hAnsi="Times New Roman" w:cs="Times New Roman"/>
              </w:rPr>
              <w:t xml:space="preserve">   Quintile 2</w:t>
            </w:r>
          </w:p>
        </w:tc>
        <w:tc>
          <w:tcPr>
            <w:tcW w:w="435" w:type="pct"/>
            <w:vAlign w:val="bottom"/>
          </w:tcPr>
          <w:p w14:paraId="55B69F70" w14:textId="77777777" w:rsidR="003C4183" w:rsidRPr="006247BC" w:rsidRDefault="005A3EE0" w:rsidP="003C4183">
            <w:pPr>
              <w:rPr>
                <w:rFonts w:ascii="Times New Roman" w:hAnsi="Times New Roman" w:cs="Times New Roman"/>
                <w:color w:val="000000"/>
              </w:rPr>
            </w:pPr>
            <w:r w:rsidRPr="006247BC">
              <w:rPr>
                <w:rFonts w:ascii="Times New Roman" w:hAnsi="Times New Roman" w:cs="Times New Roman"/>
                <w:color w:val="000000"/>
              </w:rPr>
              <w:t>0.96</w:t>
            </w:r>
          </w:p>
        </w:tc>
        <w:tc>
          <w:tcPr>
            <w:tcW w:w="556" w:type="pct"/>
            <w:vAlign w:val="bottom"/>
          </w:tcPr>
          <w:p w14:paraId="5A0F67A0" w14:textId="77777777" w:rsidR="003C4183" w:rsidRPr="006247BC" w:rsidRDefault="005A3EE0" w:rsidP="003C4183">
            <w:pPr>
              <w:rPr>
                <w:rFonts w:ascii="Times New Roman" w:hAnsi="Times New Roman" w:cs="Times New Roman"/>
                <w:color w:val="000000"/>
              </w:rPr>
            </w:pPr>
            <w:r w:rsidRPr="006247BC">
              <w:rPr>
                <w:rFonts w:ascii="Times New Roman" w:hAnsi="Times New Roman" w:cs="Times New Roman"/>
                <w:color w:val="000000"/>
              </w:rPr>
              <w:t>0.55</w:t>
            </w:r>
          </w:p>
        </w:tc>
        <w:tc>
          <w:tcPr>
            <w:tcW w:w="541" w:type="pct"/>
            <w:vAlign w:val="bottom"/>
          </w:tcPr>
          <w:p w14:paraId="1C073A19" w14:textId="77777777" w:rsidR="003C4183" w:rsidRPr="006247BC" w:rsidRDefault="005A3EE0" w:rsidP="003C4183">
            <w:pPr>
              <w:rPr>
                <w:rFonts w:ascii="Times New Roman" w:hAnsi="Times New Roman" w:cs="Times New Roman"/>
                <w:color w:val="000000"/>
              </w:rPr>
            </w:pPr>
            <w:r w:rsidRPr="006247BC">
              <w:rPr>
                <w:rFonts w:ascii="Times New Roman" w:hAnsi="Times New Roman" w:cs="Times New Roman"/>
                <w:color w:val="000000"/>
              </w:rPr>
              <w:t>1.68</w:t>
            </w:r>
          </w:p>
        </w:tc>
      </w:tr>
      <w:tr w:rsidR="003C4183" w:rsidRPr="006247BC" w14:paraId="04057E39" w14:textId="77777777" w:rsidTr="00520814">
        <w:trPr>
          <w:trHeight w:val="291"/>
        </w:trPr>
        <w:tc>
          <w:tcPr>
            <w:tcW w:w="3468" w:type="pct"/>
          </w:tcPr>
          <w:p w14:paraId="7E6974E9" w14:textId="77777777" w:rsidR="003C4183" w:rsidRPr="006247BC" w:rsidRDefault="003C4183" w:rsidP="003C4183">
            <w:pPr>
              <w:pStyle w:val="Geenafstand"/>
              <w:jc w:val="both"/>
              <w:rPr>
                <w:rFonts w:ascii="Times New Roman" w:hAnsi="Times New Roman" w:cs="Times New Roman"/>
              </w:rPr>
            </w:pPr>
            <w:r w:rsidRPr="006247BC">
              <w:rPr>
                <w:rFonts w:ascii="Times New Roman" w:hAnsi="Times New Roman" w:cs="Times New Roman"/>
              </w:rPr>
              <w:t xml:space="preserve">   Quintile 3</w:t>
            </w:r>
          </w:p>
        </w:tc>
        <w:tc>
          <w:tcPr>
            <w:tcW w:w="435" w:type="pct"/>
            <w:vAlign w:val="bottom"/>
          </w:tcPr>
          <w:p w14:paraId="2EB7113F" w14:textId="77777777" w:rsidR="003C4183" w:rsidRPr="006247BC" w:rsidRDefault="005A3EE0" w:rsidP="003C4183">
            <w:pPr>
              <w:rPr>
                <w:rFonts w:ascii="Times New Roman" w:hAnsi="Times New Roman" w:cs="Times New Roman"/>
                <w:color w:val="000000"/>
              </w:rPr>
            </w:pPr>
            <w:r w:rsidRPr="006247BC">
              <w:rPr>
                <w:rFonts w:ascii="Times New Roman" w:hAnsi="Times New Roman" w:cs="Times New Roman"/>
                <w:color w:val="000000"/>
              </w:rPr>
              <w:t>1.00</w:t>
            </w:r>
          </w:p>
        </w:tc>
        <w:tc>
          <w:tcPr>
            <w:tcW w:w="556" w:type="pct"/>
            <w:vAlign w:val="bottom"/>
          </w:tcPr>
          <w:p w14:paraId="401D6871" w14:textId="77777777" w:rsidR="003C4183" w:rsidRPr="006247BC" w:rsidRDefault="005A3EE0" w:rsidP="003C4183">
            <w:pPr>
              <w:rPr>
                <w:rFonts w:ascii="Times New Roman" w:hAnsi="Times New Roman" w:cs="Times New Roman"/>
                <w:color w:val="000000"/>
              </w:rPr>
            </w:pPr>
            <w:r w:rsidRPr="006247BC">
              <w:rPr>
                <w:rFonts w:ascii="Times New Roman" w:hAnsi="Times New Roman" w:cs="Times New Roman"/>
                <w:color w:val="000000"/>
              </w:rPr>
              <w:t>0.57</w:t>
            </w:r>
          </w:p>
        </w:tc>
        <w:tc>
          <w:tcPr>
            <w:tcW w:w="541" w:type="pct"/>
            <w:vAlign w:val="bottom"/>
          </w:tcPr>
          <w:p w14:paraId="433C86A0" w14:textId="77777777" w:rsidR="003C4183" w:rsidRPr="006247BC" w:rsidRDefault="005A3EE0" w:rsidP="003C4183">
            <w:pPr>
              <w:rPr>
                <w:rFonts w:ascii="Times New Roman" w:hAnsi="Times New Roman" w:cs="Times New Roman"/>
                <w:color w:val="000000"/>
              </w:rPr>
            </w:pPr>
            <w:r w:rsidRPr="006247BC">
              <w:rPr>
                <w:rFonts w:ascii="Times New Roman" w:hAnsi="Times New Roman" w:cs="Times New Roman"/>
                <w:color w:val="000000"/>
              </w:rPr>
              <w:t>1.73</w:t>
            </w:r>
          </w:p>
        </w:tc>
      </w:tr>
      <w:tr w:rsidR="003C4183" w:rsidRPr="006247BC" w14:paraId="0ACF995B" w14:textId="77777777" w:rsidTr="00520814">
        <w:trPr>
          <w:trHeight w:val="291"/>
        </w:trPr>
        <w:tc>
          <w:tcPr>
            <w:tcW w:w="3468" w:type="pct"/>
          </w:tcPr>
          <w:p w14:paraId="61C7F8DE" w14:textId="77777777" w:rsidR="003C4183" w:rsidRPr="006247BC" w:rsidRDefault="003C4183" w:rsidP="003C4183">
            <w:pPr>
              <w:pStyle w:val="Geenafstand"/>
              <w:jc w:val="both"/>
              <w:rPr>
                <w:rFonts w:ascii="Times New Roman" w:hAnsi="Times New Roman" w:cs="Times New Roman"/>
              </w:rPr>
            </w:pPr>
            <w:r w:rsidRPr="006247BC">
              <w:rPr>
                <w:rFonts w:ascii="Times New Roman" w:hAnsi="Times New Roman" w:cs="Times New Roman"/>
              </w:rPr>
              <w:t xml:space="preserve">   Quintile 4</w:t>
            </w:r>
          </w:p>
        </w:tc>
        <w:tc>
          <w:tcPr>
            <w:tcW w:w="435" w:type="pct"/>
            <w:vAlign w:val="bottom"/>
          </w:tcPr>
          <w:p w14:paraId="4FA34446" w14:textId="77777777" w:rsidR="003C4183" w:rsidRPr="006247BC" w:rsidRDefault="005A3EE0" w:rsidP="003C4183">
            <w:pPr>
              <w:rPr>
                <w:rFonts w:ascii="Times New Roman" w:hAnsi="Times New Roman" w:cs="Times New Roman"/>
                <w:color w:val="000000"/>
              </w:rPr>
            </w:pPr>
            <w:r w:rsidRPr="006247BC">
              <w:rPr>
                <w:rFonts w:ascii="Times New Roman" w:hAnsi="Times New Roman" w:cs="Times New Roman"/>
                <w:color w:val="000000"/>
              </w:rPr>
              <w:t>0.64</w:t>
            </w:r>
          </w:p>
        </w:tc>
        <w:tc>
          <w:tcPr>
            <w:tcW w:w="556" w:type="pct"/>
            <w:vAlign w:val="bottom"/>
          </w:tcPr>
          <w:p w14:paraId="457F1349" w14:textId="77777777" w:rsidR="003C4183" w:rsidRPr="006247BC" w:rsidRDefault="005A3EE0" w:rsidP="003C4183">
            <w:pPr>
              <w:rPr>
                <w:rFonts w:ascii="Times New Roman" w:hAnsi="Times New Roman" w:cs="Times New Roman"/>
                <w:color w:val="000000"/>
              </w:rPr>
            </w:pPr>
            <w:r w:rsidRPr="006247BC">
              <w:rPr>
                <w:rFonts w:ascii="Times New Roman" w:hAnsi="Times New Roman" w:cs="Times New Roman"/>
                <w:color w:val="000000"/>
              </w:rPr>
              <w:t>0.35</w:t>
            </w:r>
          </w:p>
        </w:tc>
        <w:tc>
          <w:tcPr>
            <w:tcW w:w="541" w:type="pct"/>
            <w:vAlign w:val="bottom"/>
          </w:tcPr>
          <w:p w14:paraId="3713B9E7" w14:textId="77777777" w:rsidR="003C4183" w:rsidRPr="006247BC" w:rsidRDefault="005A3EE0" w:rsidP="003C4183">
            <w:pPr>
              <w:rPr>
                <w:rFonts w:ascii="Times New Roman" w:hAnsi="Times New Roman" w:cs="Times New Roman"/>
                <w:color w:val="000000"/>
              </w:rPr>
            </w:pPr>
            <w:r w:rsidRPr="006247BC">
              <w:rPr>
                <w:rFonts w:ascii="Times New Roman" w:hAnsi="Times New Roman" w:cs="Times New Roman"/>
                <w:color w:val="000000"/>
              </w:rPr>
              <w:t>1.16</w:t>
            </w:r>
          </w:p>
        </w:tc>
      </w:tr>
      <w:tr w:rsidR="003C4183" w:rsidRPr="006247BC" w14:paraId="50E3ABD6" w14:textId="77777777" w:rsidTr="00520814">
        <w:trPr>
          <w:trHeight w:val="291"/>
        </w:trPr>
        <w:tc>
          <w:tcPr>
            <w:tcW w:w="3468" w:type="pct"/>
          </w:tcPr>
          <w:p w14:paraId="593AE1A5" w14:textId="77777777" w:rsidR="003C4183" w:rsidRPr="006247BC" w:rsidRDefault="003C4183" w:rsidP="003C4183">
            <w:pPr>
              <w:pStyle w:val="Geenafstand"/>
              <w:jc w:val="both"/>
              <w:rPr>
                <w:rFonts w:ascii="Times New Roman" w:hAnsi="Times New Roman" w:cs="Times New Roman"/>
              </w:rPr>
            </w:pPr>
            <w:r w:rsidRPr="006247BC">
              <w:rPr>
                <w:rFonts w:ascii="Times New Roman" w:hAnsi="Times New Roman" w:cs="Times New Roman"/>
              </w:rPr>
              <w:t xml:space="preserve">   Quintile 5</w:t>
            </w:r>
          </w:p>
        </w:tc>
        <w:tc>
          <w:tcPr>
            <w:tcW w:w="435" w:type="pct"/>
            <w:vAlign w:val="bottom"/>
          </w:tcPr>
          <w:p w14:paraId="42EF4983" w14:textId="77777777" w:rsidR="003C4183" w:rsidRPr="006247BC" w:rsidRDefault="005A3EE0" w:rsidP="003C4183">
            <w:pPr>
              <w:rPr>
                <w:rFonts w:ascii="Times New Roman" w:hAnsi="Times New Roman" w:cs="Times New Roman"/>
                <w:color w:val="000000"/>
              </w:rPr>
            </w:pPr>
            <w:r w:rsidRPr="006247BC">
              <w:rPr>
                <w:rFonts w:ascii="Times New Roman" w:hAnsi="Times New Roman" w:cs="Times New Roman"/>
                <w:color w:val="000000"/>
              </w:rPr>
              <w:t>0.65</w:t>
            </w:r>
          </w:p>
        </w:tc>
        <w:tc>
          <w:tcPr>
            <w:tcW w:w="556" w:type="pct"/>
            <w:vAlign w:val="bottom"/>
          </w:tcPr>
          <w:p w14:paraId="70E406DF" w14:textId="77777777" w:rsidR="003C4183" w:rsidRPr="006247BC" w:rsidRDefault="005A3EE0" w:rsidP="003C4183">
            <w:pPr>
              <w:rPr>
                <w:rFonts w:ascii="Times New Roman" w:hAnsi="Times New Roman" w:cs="Times New Roman"/>
                <w:color w:val="000000"/>
              </w:rPr>
            </w:pPr>
            <w:r w:rsidRPr="006247BC">
              <w:rPr>
                <w:rFonts w:ascii="Times New Roman" w:hAnsi="Times New Roman" w:cs="Times New Roman"/>
                <w:color w:val="000000"/>
              </w:rPr>
              <w:t>0.35</w:t>
            </w:r>
          </w:p>
        </w:tc>
        <w:tc>
          <w:tcPr>
            <w:tcW w:w="541" w:type="pct"/>
            <w:vAlign w:val="bottom"/>
          </w:tcPr>
          <w:p w14:paraId="76E88282" w14:textId="77777777" w:rsidR="003C4183" w:rsidRPr="006247BC" w:rsidRDefault="005A3EE0" w:rsidP="003C4183">
            <w:pPr>
              <w:rPr>
                <w:rFonts w:ascii="Times New Roman" w:hAnsi="Times New Roman" w:cs="Times New Roman"/>
                <w:color w:val="000000"/>
              </w:rPr>
            </w:pPr>
            <w:r w:rsidRPr="006247BC">
              <w:rPr>
                <w:rFonts w:ascii="Times New Roman" w:hAnsi="Times New Roman" w:cs="Times New Roman"/>
                <w:color w:val="000000"/>
              </w:rPr>
              <w:t>1.19</w:t>
            </w:r>
          </w:p>
        </w:tc>
      </w:tr>
    </w:tbl>
    <w:p w14:paraId="49441F43" w14:textId="77777777" w:rsidR="00EC5E60" w:rsidRPr="006247BC" w:rsidRDefault="00EC5E60" w:rsidP="00EC5E60">
      <w:pPr>
        <w:pStyle w:val="Geenafstand"/>
        <w:jc w:val="both"/>
        <w:rPr>
          <w:rFonts w:ascii="Times New Roman" w:hAnsi="Times New Roman" w:cs="Times New Roman"/>
        </w:rPr>
      </w:pPr>
    </w:p>
    <w:p w14:paraId="5570241B" w14:textId="77777777" w:rsidR="00C377A0" w:rsidRPr="006247BC" w:rsidRDefault="00C377A0" w:rsidP="00C377A0">
      <w:pPr>
        <w:pStyle w:val="Geenafstand"/>
        <w:jc w:val="both"/>
        <w:rPr>
          <w:rFonts w:ascii="Times New Roman" w:hAnsi="Times New Roman" w:cs="Times New Roman"/>
          <w:b/>
        </w:rPr>
      </w:pPr>
      <w:r w:rsidRPr="006247BC">
        <w:rPr>
          <w:rFonts w:ascii="Times New Roman" w:hAnsi="Times New Roman" w:cs="Times New Roman"/>
          <w:b/>
        </w:rPr>
        <w:t>Overall the finding seems to be an association without a rationale since in effect of nitric oxide presumably related to past nitrate intake would, by their own discussion, change eye pressure or blood pressure yet neither variable was associated with the incident glaucoma.</w:t>
      </w:r>
    </w:p>
    <w:p w14:paraId="6A9C1585" w14:textId="5E2E71B0" w:rsidR="00ED7EA8" w:rsidRDefault="00AC425C" w:rsidP="00C377A0">
      <w:pPr>
        <w:pStyle w:val="Geenafstand"/>
        <w:jc w:val="both"/>
        <w:rPr>
          <w:rFonts w:ascii="Times New Roman" w:hAnsi="Times New Roman" w:cs="Times New Roman"/>
          <w:lang w:val="en"/>
        </w:rPr>
      </w:pPr>
      <w:r>
        <w:rPr>
          <w:rFonts w:ascii="Times New Roman" w:hAnsi="Times New Roman" w:cs="Times New Roman"/>
          <w:iCs/>
        </w:rPr>
        <w:t xml:space="preserve">In the introduction section we have suggested that </w:t>
      </w:r>
      <w:r w:rsidR="008D56E0">
        <w:rPr>
          <w:rFonts w:ascii="Times New Roman" w:hAnsi="Times New Roman" w:cs="Times New Roman"/>
          <w:iCs/>
        </w:rPr>
        <w:t xml:space="preserve">dietary nitrate might have </w:t>
      </w:r>
      <w:r>
        <w:rPr>
          <w:rFonts w:ascii="Times New Roman" w:hAnsi="Times New Roman" w:cs="Times New Roman"/>
          <w:iCs/>
        </w:rPr>
        <w:t>b</w:t>
      </w:r>
      <w:r w:rsidR="003A442C" w:rsidRPr="006247BC">
        <w:rPr>
          <w:rFonts w:ascii="Times New Roman" w:hAnsi="Times New Roman" w:cs="Times New Roman"/>
          <w:iCs/>
        </w:rPr>
        <w:t>oth IOP-dependent, or blood pressure dependent, and IOP-independent effects</w:t>
      </w:r>
      <w:r w:rsidR="008D56E0">
        <w:rPr>
          <w:rFonts w:ascii="Times New Roman" w:hAnsi="Times New Roman" w:cs="Times New Roman"/>
          <w:iCs/>
        </w:rPr>
        <w:t xml:space="preserve"> that could affect glaucoma risk</w:t>
      </w:r>
      <w:r w:rsidR="003A442C" w:rsidRPr="006247BC">
        <w:rPr>
          <w:rFonts w:ascii="Times New Roman" w:hAnsi="Times New Roman" w:cs="Times New Roman"/>
          <w:iCs/>
        </w:rPr>
        <w:t xml:space="preserve">. </w:t>
      </w:r>
      <w:r w:rsidR="003A442C" w:rsidRPr="006247BC">
        <w:rPr>
          <w:rFonts w:ascii="Times New Roman" w:hAnsi="Times New Roman" w:cs="Times New Roman"/>
          <w:lang w:val="en"/>
        </w:rPr>
        <w:t xml:space="preserve">Unfortunately, we were only able to assess the effect of dietary nitrate intake on IOP and blood pressure. In the most ideal situation, we would have assessed the effect of dietary nitrate intake on </w:t>
      </w:r>
      <w:r w:rsidR="00DE7758">
        <w:rPr>
          <w:rFonts w:ascii="Times New Roman" w:hAnsi="Times New Roman" w:cs="Times New Roman"/>
          <w:lang w:val="en"/>
        </w:rPr>
        <w:t>retinal nerve fib</w:t>
      </w:r>
      <w:r w:rsidR="00A33D89">
        <w:rPr>
          <w:rFonts w:ascii="Times New Roman" w:hAnsi="Times New Roman" w:cs="Times New Roman"/>
          <w:lang w:val="en"/>
        </w:rPr>
        <w:t>er</w:t>
      </w:r>
      <w:r w:rsidR="00DE7758">
        <w:rPr>
          <w:rFonts w:ascii="Times New Roman" w:hAnsi="Times New Roman" w:cs="Times New Roman"/>
          <w:lang w:val="en"/>
        </w:rPr>
        <w:t xml:space="preserve"> layer (</w:t>
      </w:r>
      <w:r w:rsidR="003A442C" w:rsidRPr="006247BC">
        <w:rPr>
          <w:rFonts w:ascii="Times New Roman" w:hAnsi="Times New Roman" w:cs="Times New Roman"/>
          <w:lang w:val="en"/>
        </w:rPr>
        <w:t>RNFL</w:t>
      </w:r>
      <w:r w:rsidR="00DE7758">
        <w:rPr>
          <w:rFonts w:ascii="Times New Roman" w:hAnsi="Times New Roman" w:cs="Times New Roman"/>
          <w:lang w:val="en"/>
        </w:rPr>
        <w:t>)</w:t>
      </w:r>
      <w:r w:rsidR="003A442C" w:rsidRPr="006247BC">
        <w:rPr>
          <w:rFonts w:ascii="Times New Roman" w:hAnsi="Times New Roman" w:cs="Times New Roman"/>
          <w:lang w:val="en"/>
        </w:rPr>
        <w:t xml:space="preserve"> thickness. Unfortunately, due to limitations as described above, we were not able to</w:t>
      </w:r>
      <w:r w:rsidR="00B41071">
        <w:rPr>
          <w:rFonts w:ascii="Times New Roman" w:hAnsi="Times New Roman" w:cs="Times New Roman"/>
          <w:lang w:val="en"/>
        </w:rPr>
        <w:t xml:space="preserve"> do so</w:t>
      </w:r>
      <w:r w:rsidR="003A442C" w:rsidRPr="006247BC">
        <w:rPr>
          <w:rFonts w:ascii="Times New Roman" w:hAnsi="Times New Roman" w:cs="Times New Roman"/>
          <w:lang w:val="en"/>
        </w:rPr>
        <w:t xml:space="preserve">. Since we found no significant effects of dietary nitrate intake on IOP and blood pressure, we suggest that IOP-independent effects of dietary nitrate intake might influence glaucoma risk. This should be </w:t>
      </w:r>
      <w:r w:rsidR="00227B8D">
        <w:rPr>
          <w:rFonts w:ascii="Times New Roman" w:hAnsi="Times New Roman" w:cs="Times New Roman"/>
          <w:lang w:val="en"/>
        </w:rPr>
        <w:t xml:space="preserve">further </w:t>
      </w:r>
      <w:r w:rsidR="00951EE3">
        <w:rPr>
          <w:rFonts w:ascii="Times New Roman" w:hAnsi="Times New Roman" w:cs="Times New Roman"/>
          <w:lang w:val="en"/>
        </w:rPr>
        <w:t>investigated</w:t>
      </w:r>
      <w:r w:rsidR="003A442C" w:rsidRPr="006247BC">
        <w:rPr>
          <w:rFonts w:ascii="Times New Roman" w:hAnsi="Times New Roman" w:cs="Times New Roman"/>
          <w:lang w:val="en"/>
        </w:rPr>
        <w:t xml:space="preserve"> in future studies. </w:t>
      </w:r>
    </w:p>
    <w:p w14:paraId="72B84729" w14:textId="78BEE87E" w:rsidR="008B688B" w:rsidRDefault="008B688B">
      <w:pPr>
        <w:rPr>
          <w:rFonts w:ascii="Times New Roman" w:hAnsi="Times New Roman" w:cs="Times New Roman"/>
          <w:lang w:val="en"/>
        </w:rPr>
      </w:pPr>
      <w:r>
        <w:rPr>
          <w:rFonts w:ascii="Times New Roman" w:hAnsi="Times New Roman" w:cs="Times New Roman"/>
          <w:lang w:val="en"/>
        </w:rPr>
        <w:br w:type="page"/>
      </w:r>
    </w:p>
    <w:p w14:paraId="4EEA2EFF" w14:textId="77777777" w:rsidR="00ED7EA8" w:rsidRDefault="00ED7EA8" w:rsidP="00C377A0">
      <w:pPr>
        <w:pStyle w:val="Geenafstand"/>
        <w:jc w:val="both"/>
        <w:rPr>
          <w:rFonts w:ascii="Times New Roman" w:hAnsi="Times New Roman" w:cs="Times New Roman"/>
          <w:lang w:val="en"/>
        </w:rPr>
      </w:pPr>
    </w:p>
    <w:p w14:paraId="220D4179" w14:textId="1248D4FB" w:rsidR="00D350D6" w:rsidRPr="00D350D6" w:rsidRDefault="00ED7EA8" w:rsidP="00D350D6">
      <w:pPr>
        <w:pStyle w:val="EndNoteBibliography"/>
        <w:spacing w:after="0"/>
        <w:ind w:left="720" w:hanging="720"/>
      </w:pPr>
      <w:r>
        <w:rPr>
          <w:rFonts w:ascii="Times New Roman" w:hAnsi="Times New Roman" w:cs="Times New Roman"/>
          <w:b/>
        </w:rPr>
        <w:fldChar w:fldCharType="begin"/>
      </w:r>
      <w:r>
        <w:rPr>
          <w:rFonts w:ascii="Times New Roman" w:hAnsi="Times New Roman" w:cs="Times New Roman"/>
          <w:b/>
        </w:rPr>
        <w:instrText xml:space="preserve"> ADDIN EN.REFLIST </w:instrText>
      </w:r>
      <w:r>
        <w:rPr>
          <w:rFonts w:ascii="Times New Roman" w:hAnsi="Times New Roman" w:cs="Times New Roman"/>
          <w:b/>
        </w:rPr>
        <w:fldChar w:fldCharType="separate"/>
      </w:r>
      <w:r w:rsidR="00D350D6" w:rsidRPr="00D350D6">
        <w:t>1.</w:t>
      </w:r>
      <w:r w:rsidR="00D350D6" w:rsidRPr="00D350D6">
        <w:tab/>
        <w:t xml:space="preserve">Springelkamp, H.; Wolfs, R.C.; Ramdas, W.D.; Hofman, A.; Vingerling, J.R.; Klaver, C.C.; Jansonius, N.M. Incidence of glaucomatous visual field loss after two decades of follow-up: the Rotterdam Study. </w:t>
      </w:r>
      <w:r w:rsidR="00D350D6" w:rsidRPr="00D350D6">
        <w:rPr>
          <w:i/>
        </w:rPr>
        <w:t xml:space="preserve">Eur J Epidemiol </w:t>
      </w:r>
      <w:r w:rsidR="00D350D6" w:rsidRPr="00D350D6">
        <w:rPr>
          <w:b/>
        </w:rPr>
        <w:t>2017</w:t>
      </w:r>
      <w:r w:rsidR="00D350D6" w:rsidRPr="00D350D6">
        <w:t xml:space="preserve">, </w:t>
      </w:r>
      <w:r w:rsidR="00D350D6" w:rsidRPr="00D350D6">
        <w:rPr>
          <w:i/>
        </w:rPr>
        <w:t>32</w:t>
      </w:r>
      <w:r w:rsidR="00D350D6" w:rsidRPr="00D350D6">
        <w:t>, 691-699, doi:</w:t>
      </w:r>
      <w:hyperlink r:id="rId8" w:history="1">
        <w:r w:rsidR="00D350D6" w:rsidRPr="00D350D6">
          <w:rPr>
            <w:rStyle w:val="Hyperlink"/>
          </w:rPr>
          <w:t>https://dx.doi.org/10.1007%2Fs10654-017-0270-y</w:t>
        </w:r>
      </w:hyperlink>
      <w:r w:rsidR="00D350D6" w:rsidRPr="00D350D6">
        <w:t>.</w:t>
      </w:r>
    </w:p>
    <w:p w14:paraId="1841C2F1" w14:textId="77777777" w:rsidR="00D350D6" w:rsidRPr="00D350D6" w:rsidRDefault="00D350D6" w:rsidP="00D350D6">
      <w:pPr>
        <w:pStyle w:val="EndNoteBibliography"/>
        <w:spacing w:after="0"/>
        <w:ind w:left="720" w:hanging="720"/>
      </w:pPr>
      <w:r w:rsidRPr="00D350D6">
        <w:t>2.</w:t>
      </w:r>
      <w:r w:rsidRPr="00D350D6">
        <w:tab/>
        <w:t xml:space="preserve">Dielemans, I.; Vingerling, J.R.; Hofman, A.; Grobbee, D.E.; de Jong, P.T. Reliability of intraocular pressure measurement with the Goldmann applanation tonometer in epidemiological studies. </w:t>
      </w:r>
      <w:r w:rsidRPr="00D350D6">
        <w:rPr>
          <w:i/>
        </w:rPr>
        <w:t xml:space="preserve">Graefes Arch Clin Exp Ophthalmol </w:t>
      </w:r>
      <w:r w:rsidRPr="00D350D6">
        <w:rPr>
          <w:b/>
        </w:rPr>
        <w:t>1994</w:t>
      </w:r>
      <w:r w:rsidRPr="00D350D6">
        <w:t xml:space="preserve">, </w:t>
      </w:r>
      <w:r w:rsidRPr="00D350D6">
        <w:rPr>
          <w:i/>
        </w:rPr>
        <w:t>232</w:t>
      </w:r>
      <w:r w:rsidRPr="00D350D6">
        <w:t>, 141-144.</w:t>
      </w:r>
    </w:p>
    <w:p w14:paraId="3EC67C4B" w14:textId="77777777" w:rsidR="00D350D6" w:rsidRPr="00D350D6" w:rsidRDefault="00D350D6" w:rsidP="00D350D6">
      <w:pPr>
        <w:pStyle w:val="EndNoteBibliography"/>
        <w:spacing w:after="0"/>
        <w:ind w:left="720" w:hanging="720"/>
      </w:pPr>
      <w:r w:rsidRPr="00D350D6">
        <w:t>3.</w:t>
      </w:r>
      <w:r w:rsidRPr="00D350D6">
        <w:tab/>
        <w:t xml:space="preserve">Wolfs, R.C.; Borger, P.H.; Ramrattan, R.S.; Klaver, C.C.; Hulsman, C.A.; Hofman, A.; Vingerling, J.R.; Hitchings, R.A.; de Jong, P.T. Changing views on open-angle glaucoma: definitions and prevalences--The Rotterdam Study. </w:t>
      </w:r>
      <w:r w:rsidRPr="00D350D6">
        <w:rPr>
          <w:i/>
        </w:rPr>
        <w:t xml:space="preserve">Invest Ophthalmol Vis Sci </w:t>
      </w:r>
      <w:r w:rsidRPr="00D350D6">
        <w:rPr>
          <w:b/>
        </w:rPr>
        <w:t>2000</w:t>
      </w:r>
      <w:r w:rsidRPr="00D350D6">
        <w:t xml:space="preserve">, </w:t>
      </w:r>
      <w:r w:rsidRPr="00D350D6">
        <w:rPr>
          <w:i/>
        </w:rPr>
        <w:t>41</w:t>
      </w:r>
      <w:r w:rsidRPr="00D350D6">
        <w:t>, 3309-3321.</w:t>
      </w:r>
    </w:p>
    <w:p w14:paraId="327385B5" w14:textId="77777777" w:rsidR="00D350D6" w:rsidRPr="00D350D6" w:rsidRDefault="00D350D6" w:rsidP="00D350D6">
      <w:pPr>
        <w:pStyle w:val="EndNoteBibliography"/>
        <w:spacing w:after="0"/>
        <w:ind w:left="720" w:hanging="720"/>
      </w:pPr>
      <w:r w:rsidRPr="00D350D6">
        <w:t>4.</w:t>
      </w:r>
      <w:r w:rsidRPr="00D350D6">
        <w:tab/>
        <w:t xml:space="preserve">Ramdas, W.D.; Rizopoulos, D.; Wolfs, R.C.; Hofman, A.; de Jong, P.T.; Vingerling, J.R.; Jansonius, N.M. Defining glaucomatous optic neuropathy from a continuous measure of optic nerve damage - the optimal cut-off point for risk-factor analysis in population-based epidemiology. </w:t>
      </w:r>
      <w:r w:rsidRPr="00D350D6">
        <w:rPr>
          <w:i/>
        </w:rPr>
        <w:t xml:space="preserve">Ophthalmic Epidemiol </w:t>
      </w:r>
      <w:r w:rsidRPr="00D350D6">
        <w:rPr>
          <w:b/>
        </w:rPr>
        <w:t>2011</w:t>
      </w:r>
      <w:r w:rsidRPr="00D350D6">
        <w:t xml:space="preserve">, </w:t>
      </w:r>
      <w:r w:rsidRPr="00D350D6">
        <w:rPr>
          <w:i/>
        </w:rPr>
        <w:t>18</w:t>
      </w:r>
      <w:r w:rsidRPr="00D350D6">
        <w:t>, 211-216.</w:t>
      </w:r>
    </w:p>
    <w:p w14:paraId="44BBE9FC" w14:textId="77777777" w:rsidR="00D350D6" w:rsidRPr="00D350D6" w:rsidRDefault="00D350D6" w:rsidP="00D350D6">
      <w:pPr>
        <w:pStyle w:val="EndNoteBibliography"/>
        <w:spacing w:after="0"/>
        <w:ind w:left="720" w:hanging="720"/>
      </w:pPr>
      <w:r w:rsidRPr="00D350D6">
        <w:t>5.</w:t>
      </w:r>
      <w:r w:rsidRPr="00D350D6">
        <w:tab/>
        <w:t xml:space="preserve">Ramdas, W.D.; Wolfs, R.C.; Hofman, A.; de Jong, P.T.; Vingerling, J.R.; Jansonius, N.M. Heidelberg Retina Tomograph (HRT3) in population-based epidemiology: normative values and criteria for glaucomatous optic neuropathy. </w:t>
      </w:r>
      <w:r w:rsidRPr="00D350D6">
        <w:rPr>
          <w:i/>
        </w:rPr>
        <w:t xml:space="preserve">Ophthalmic Epidemiol </w:t>
      </w:r>
      <w:r w:rsidRPr="00D350D6">
        <w:rPr>
          <w:b/>
        </w:rPr>
        <w:t>2011</w:t>
      </w:r>
      <w:r w:rsidRPr="00D350D6">
        <w:t xml:space="preserve">, </w:t>
      </w:r>
      <w:r w:rsidRPr="00D350D6">
        <w:rPr>
          <w:i/>
        </w:rPr>
        <w:t>18</w:t>
      </w:r>
      <w:r w:rsidRPr="00D350D6">
        <w:t>, 198-210.</w:t>
      </w:r>
    </w:p>
    <w:p w14:paraId="1B168965" w14:textId="77777777" w:rsidR="00D350D6" w:rsidRPr="00D350D6" w:rsidRDefault="00D350D6" w:rsidP="00D350D6">
      <w:pPr>
        <w:pStyle w:val="EndNoteBibliography"/>
        <w:spacing w:after="0"/>
        <w:ind w:left="720" w:hanging="720"/>
      </w:pPr>
      <w:r w:rsidRPr="00D350D6">
        <w:t>6.</w:t>
      </w:r>
      <w:r w:rsidRPr="00D350D6">
        <w:tab/>
        <w:t xml:space="preserve">Dinnissen, C.S.; Ocké, M.C.; Buurma-Rethans, E.J.M.; van Rossum, C.T.M. Dietary Changes among Adults in The Netherlands in the Period 2007-2010 and 2012-2016. Results from Two Cross-Sectional National Food Consumption Surveys. </w:t>
      </w:r>
      <w:r w:rsidRPr="00D350D6">
        <w:rPr>
          <w:i/>
        </w:rPr>
        <w:t xml:space="preserve">Nutrients </w:t>
      </w:r>
      <w:r w:rsidRPr="00D350D6">
        <w:rPr>
          <w:b/>
        </w:rPr>
        <w:t>2021</w:t>
      </w:r>
      <w:r w:rsidRPr="00D350D6">
        <w:t xml:space="preserve">, </w:t>
      </w:r>
      <w:r w:rsidRPr="00D350D6">
        <w:rPr>
          <w:i/>
        </w:rPr>
        <w:t>13</w:t>
      </w:r>
      <w:r w:rsidRPr="00D350D6">
        <w:t>.</w:t>
      </w:r>
    </w:p>
    <w:p w14:paraId="07AE187F" w14:textId="77777777" w:rsidR="00D350D6" w:rsidRPr="00D350D6" w:rsidRDefault="00D350D6" w:rsidP="00D350D6">
      <w:pPr>
        <w:pStyle w:val="EndNoteBibliography"/>
        <w:spacing w:after="0"/>
        <w:ind w:left="720" w:hanging="720"/>
      </w:pPr>
      <w:r w:rsidRPr="00D350D6">
        <w:t>7.</w:t>
      </w:r>
      <w:r w:rsidRPr="00D350D6">
        <w:tab/>
        <w:t xml:space="preserve">Balder, H.F.; Goldbohm, R.A.; van den Brandt, P.A. Dietary patterns associated with male lung cancer risk in the Netherlands Cohort Study. </w:t>
      </w:r>
      <w:r w:rsidRPr="00D350D6">
        <w:rPr>
          <w:i/>
        </w:rPr>
        <w:t xml:space="preserve">Cancer Epidemiol Biomarkers Prev </w:t>
      </w:r>
      <w:r w:rsidRPr="00D350D6">
        <w:rPr>
          <w:b/>
        </w:rPr>
        <w:t>2005</w:t>
      </w:r>
      <w:r w:rsidRPr="00D350D6">
        <w:t xml:space="preserve">, </w:t>
      </w:r>
      <w:r w:rsidRPr="00D350D6">
        <w:rPr>
          <w:i/>
        </w:rPr>
        <w:t>14</w:t>
      </w:r>
      <w:r w:rsidRPr="00D350D6">
        <w:t>, 483-490.</w:t>
      </w:r>
    </w:p>
    <w:p w14:paraId="365BBE68" w14:textId="77777777" w:rsidR="00D350D6" w:rsidRPr="00D350D6" w:rsidRDefault="00D350D6" w:rsidP="00D350D6">
      <w:pPr>
        <w:pStyle w:val="EndNoteBibliography"/>
        <w:ind w:left="720" w:hanging="720"/>
      </w:pPr>
      <w:r w:rsidRPr="00D350D6">
        <w:t>8.</w:t>
      </w:r>
      <w:r w:rsidRPr="00D350D6">
        <w:tab/>
        <w:t xml:space="preserve">Goldbohm, R.A.; van 't Veer, P.; van den Brandt, P.A.; van 't Hof, M.A.; Brants, H.A.; Sturmans, F.; Hermus, R.J. Reproducibility of a food frequency questionnaire and stability of dietary habits determined from five annually repeated measurements. </w:t>
      </w:r>
      <w:r w:rsidRPr="00D350D6">
        <w:rPr>
          <w:i/>
        </w:rPr>
        <w:t xml:space="preserve">Eur J Clin Nutr </w:t>
      </w:r>
      <w:r w:rsidRPr="00D350D6">
        <w:rPr>
          <w:b/>
        </w:rPr>
        <w:t>1995</w:t>
      </w:r>
      <w:r w:rsidRPr="00D350D6">
        <w:t xml:space="preserve">, </w:t>
      </w:r>
      <w:r w:rsidRPr="00D350D6">
        <w:rPr>
          <w:i/>
        </w:rPr>
        <w:t>49</w:t>
      </w:r>
      <w:r w:rsidRPr="00D350D6">
        <w:t>, 420-429.</w:t>
      </w:r>
    </w:p>
    <w:p w14:paraId="4A2606AF" w14:textId="723D2E1D" w:rsidR="001F5C93" w:rsidRPr="006247BC" w:rsidRDefault="00ED7EA8" w:rsidP="00C377A0">
      <w:pPr>
        <w:pStyle w:val="Geenafstand"/>
        <w:jc w:val="both"/>
        <w:rPr>
          <w:rFonts w:ascii="Times New Roman" w:hAnsi="Times New Roman" w:cs="Times New Roman"/>
          <w:b/>
        </w:rPr>
      </w:pPr>
      <w:r>
        <w:rPr>
          <w:rFonts w:ascii="Times New Roman" w:hAnsi="Times New Roman" w:cs="Times New Roman"/>
          <w:b/>
        </w:rPr>
        <w:fldChar w:fldCharType="end"/>
      </w:r>
    </w:p>
    <w:sectPr w:rsidR="001F5C93" w:rsidRPr="006247BC">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0F6E8" w16cex:dateUtc="2022-05-31T18:19:00Z"/>
  <w16cex:commentExtensible w16cex:durableId="2640F88A" w16cex:dateUtc="2022-05-31T18:26:00Z"/>
  <w16cex:commentExtensible w16cex:durableId="2640F918" w16cex:dateUtc="2022-05-31T18:29:00Z"/>
  <w16cex:commentExtensible w16cex:durableId="2640F987" w16cex:dateUtc="2022-05-31T18:31:00Z"/>
  <w16cex:commentExtensible w16cex:durableId="2640FB8B" w16cex:dateUtc="2022-05-31T18:39:00Z"/>
  <w16cex:commentExtensible w16cex:durableId="2640FBCB" w16cex:dateUtc="2022-05-31T18:40:00Z"/>
  <w16cex:commentExtensible w16cex:durableId="2640FC81" w16cex:dateUtc="2022-05-31T1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22178F" w16cid:durableId="2640F6E8"/>
  <w16cid:commentId w16cid:paraId="09F18037" w16cid:durableId="2640F88A"/>
  <w16cid:commentId w16cid:paraId="4DFD9556" w16cid:durableId="2640F918"/>
  <w16cid:commentId w16cid:paraId="07674BF8" w16cid:durableId="2640F987"/>
  <w16cid:commentId w16cid:paraId="18E2D0C7" w16cid:durableId="2640FB8B"/>
  <w16cid:commentId w16cid:paraId="4B94803D" w16cid:durableId="2640FBCB"/>
  <w16cid:commentId w16cid:paraId="22CD8ED7" w16cid:durableId="2640FC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trient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etxwzwr9t9wxmetvzg52s0vtzwttxaared9&quot;&gt;My EndNote Library&lt;record-ids&gt;&lt;item&gt;26&lt;/item&gt;&lt;item&gt;77&lt;/item&gt;&lt;item&gt;78&lt;/item&gt;&lt;item&gt;79&lt;/item&gt;&lt;item&gt;80&lt;/item&gt;&lt;item&gt;81&lt;/item&gt;&lt;item&gt;82&lt;/item&gt;&lt;item&gt;83&lt;/item&gt;&lt;/record-ids&gt;&lt;/item&gt;&lt;/Libraries&gt;"/>
  </w:docVars>
  <w:rsids>
    <w:rsidRoot w:val="00C377A0"/>
    <w:rsid w:val="00006A71"/>
    <w:rsid w:val="000075F7"/>
    <w:rsid w:val="00045082"/>
    <w:rsid w:val="000A4BA4"/>
    <w:rsid w:val="000C3782"/>
    <w:rsid w:val="0010234A"/>
    <w:rsid w:val="001521EC"/>
    <w:rsid w:val="00161518"/>
    <w:rsid w:val="00181CB0"/>
    <w:rsid w:val="001A0529"/>
    <w:rsid w:val="001B16BB"/>
    <w:rsid w:val="001B1939"/>
    <w:rsid w:val="001C01A9"/>
    <w:rsid w:val="001F5C93"/>
    <w:rsid w:val="002154C2"/>
    <w:rsid w:val="00222933"/>
    <w:rsid w:val="00227B8D"/>
    <w:rsid w:val="002E2463"/>
    <w:rsid w:val="003519BC"/>
    <w:rsid w:val="00353407"/>
    <w:rsid w:val="00356858"/>
    <w:rsid w:val="00375810"/>
    <w:rsid w:val="003A4200"/>
    <w:rsid w:val="003A442C"/>
    <w:rsid w:val="003A5AF7"/>
    <w:rsid w:val="003C4183"/>
    <w:rsid w:val="003D720A"/>
    <w:rsid w:val="003E478B"/>
    <w:rsid w:val="003F0F12"/>
    <w:rsid w:val="00413E76"/>
    <w:rsid w:val="00431E4F"/>
    <w:rsid w:val="0044336D"/>
    <w:rsid w:val="0048268A"/>
    <w:rsid w:val="004874CE"/>
    <w:rsid w:val="004A0082"/>
    <w:rsid w:val="004A0C53"/>
    <w:rsid w:val="004E147A"/>
    <w:rsid w:val="004E475C"/>
    <w:rsid w:val="004E72F6"/>
    <w:rsid w:val="00505BAE"/>
    <w:rsid w:val="00510878"/>
    <w:rsid w:val="00514F43"/>
    <w:rsid w:val="00520814"/>
    <w:rsid w:val="0054197D"/>
    <w:rsid w:val="00551CF6"/>
    <w:rsid w:val="00555200"/>
    <w:rsid w:val="00582696"/>
    <w:rsid w:val="005A3EE0"/>
    <w:rsid w:val="005E0BEB"/>
    <w:rsid w:val="00613271"/>
    <w:rsid w:val="006247BC"/>
    <w:rsid w:val="006A21F3"/>
    <w:rsid w:val="006B6414"/>
    <w:rsid w:val="006B7C35"/>
    <w:rsid w:val="006D1982"/>
    <w:rsid w:val="006D3862"/>
    <w:rsid w:val="006F76B4"/>
    <w:rsid w:val="00702B66"/>
    <w:rsid w:val="00715F67"/>
    <w:rsid w:val="007261F5"/>
    <w:rsid w:val="00731D3B"/>
    <w:rsid w:val="00736F21"/>
    <w:rsid w:val="00762881"/>
    <w:rsid w:val="0077234B"/>
    <w:rsid w:val="00782A5E"/>
    <w:rsid w:val="00797567"/>
    <w:rsid w:val="007A08E1"/>
    <w:rsid w:val="007B514A"/>
    <w:rsid w:val="007B5861"/>
    <w:rsid w:val="007E2277"/>
    <w:rsid w:val="007F27EC"/>
    <w:rsid w:val="00821988"/>
    <w:rsid w:val="00853403"/>
    <w:rsid w:val="0085373A"/>
    <w:rsid w:val="0086658D"/>
    <w:rsid w:val="008B688B"/>
    <w:rsid w:val="008D3F31"/>
    <w:rsid w:val="008D56E0"/>
    <w:rsid w:val="008E2AB3"/>
    <w:rsid w:val="008F05BE"/>
    <w:rsid w:val="008F469D"/>
    <w:rsid w:val="00927F2E"/>
    <w:rsid w:val="00945174"/>
    <w:rsid w:val="00951EE3"/>
    <w:rsid w:val="00961953"/>
    <w:rsid w:val="00965607"/>
    <w:rsid w:val="00974E44"/>
    <w:rsid w:val="009833B0"/>
    <w:rsid w:val="009B24AE"/>
    <w:rsid w:val="009B432D"/>
    <w:rsid w:val="009D01A4"/>
    <w:rsid w:val="009D47A4"/>
    <w:rsid w:val="00A04FD7"/>
    <w:rsid w:val="00A068E7"/>
    <w:rsid w:val="00A33D89"/>
    <w:rsid w:val="00A40304"/>
    <w:rsid w:val="00A47893"/>
    <w:rsid w:val="00A668ED"/>
    <w:rsid w:val="00A84DB1"/>
    <w:rsid w:val="00A92193"/>
    <w:rsid w:val="00AA1A08"/>
    <w:rsid w:val="00AB1E54"/>
    <w:rsid w:val="00AC3220"/>
    <w:rsid w:val="00AC425C"/>
    <w:rsid w:val="00AE2047"/>
    <w:rsid w:val="00AF3F1D"/>
    <w:rsid w:val="00AF6E4A"/>
    <w:rsid w:val="00B1160D"/>
    <w:rsid w:val="00B3009F"/>
    <w:rsid w:val="00B330AE"/>
    <w:rsid w:val="00B41071"/>
    <w:rsid w:val="00B766A2"/>
    <w:rsid w:val="00B817BA"/>
    <w:rsid w:val="00BE621E"/>
    <w:rsid w:val="00C13A02"/>
    <w:rsid w:val="00C23D57"/>
    <w:rsid w:val="00C338C0"/>
    <w:rsid w:val="00C377A0"/>
    <w:rsid w:val="00CE38CA"/>
    <w:rsid w:val="00CF3411"/>
    <w:rsid w:val="00D016EC"/>
    <w:rsid w:val="00D25EFD"/>
    <w:rsid w:val="00D34CC5"/>
    <w:rsid w:val="00D350D6"/>
    <w:rsid w:val="00D6304E"/>
    <w:rsid w:val="00DA5F40"/>
    <w:rsid w:val="00DD3C8E"/>
    <w:rsid w:val="00DD61EE"/>
    <w:rsid w:val="00DE7758"/>
    <w:rsid w:val="00DE7D64"/>
    <w:rsid w:val="00DF68EC"/>
    <w:rsid w:val="00E247E7"/>
    <w:rsid w:val="00E27246"/>
    <w:rsid w:val="00E6337D"/>
    <w:rsid w:val="00E73C26"/>
    <w:rsid w:val="00E84810"/>
    <w:rsid w:val="00E978DA"/>
    <w:rsid w:val="00EC5E60"/>
    <w:rsid w:val="00ED7EA8"/>
    <w:rsid w:val="00EE123B"/>
    <w:rsid w:val="00F30EE7"/>
    <w:rsid w:val="00F33775"/>
    <w:rsid w:val="00F42051"/>
    <w:rsid w:val="00F55DD4"/>
    <w:rsid w:val="00FB6EED"/>
    <w:rsid w:val="00FC1EAE"/>
    <w:rsid w:val="00FE373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94B6E"/>
  <w15:chartTrackingRefBased/>
  <w15:docId w15:val="{DDFC91E8-7234-4E4C-BFEB-4DF808EAE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C377A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Geenafstand">
    <w:name w:val="No Spacing"/>
    <w:link w:val="GeenafstandChar"/>
    <w:uiPriority w:val="1"/>
    <w:qFormat/>
    <w:rsid w:val="00C377A0"/>
    <w:pPr>
      <w:spacing w:after="0" w:line="240" w:lineRule="auto"/>
    </w:pPr>
  </w:style>
  <w:style w:type="table" w:styleId="Tabelraster">
    <w:name w:val="Table Grid"/>
    <w:basedOn w:val="Standaardtabel"/>
    <w:uiPriority w:val="39"/>
    <w:rsid w:val="009D4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4E147A"/>
    <w:rPr>
      <w:sz w:val="16"/>
      <w:szCs w:val="16"/>
    </w:rPr>
  </w:style>
  <w:style w:type="paragraph" w:styleId="Tekstopmerking">
    <w:name w:val="annotation text"/>
    <w:basedOn w:val="Standaard"/>
    <w:link w:val="TekstopmerkingChar"/>
    <w:uiPriority w:val="99"/>
    <w:semiHidden/>
    <w:unhideWhenUsed/>
    <w:rsid w:val="004E147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E147A"/>
    <w:rPr>
      <w:sz w:val="20"/>
      <w:szCs w:val="20"/>
    </w:rPr>
  </w:style>
  <w:style w:type="paragraph" w:styleId="Onderwerpvanopmerking">
    <w:name w:val="annotation subject"/>
    <w:basedOn w:val="Tekstopmerking"/>
    <w:next w:val="Tekstopmerking"/>
    <w:link w:val="OnderwerpvanopmerkingChar"/>
    <w:uiPriority w:val="99"/>
    <w:semiHidden/>
    <w:unhideWhenUsed/>
    <w:rsid w:val="004E147A"/>
    <w:rPr>
      <w:b/>
      <w:bCs/>
    </w:rPr>
  </w:style>
  <w:style w:type="character" w:customStyle="1" w:styleId="OnderwerpvanopmerkingChar">
    <w:name w:val="Onderwerp van opmerking Char"/>
    <w:basedOn w:val="TekstopmerkingChar"/>
    <w:link w:val="Onderwerpvanopmerking"/>
    <w:uiPriority w:val="99"/>
    <w:semiHidden/>
    <w:rsid w:val="004E147A"/>
    <w:rPr>
      <w:b/>
      <w:bCs/>
      <w:sz w:val="20"/>
      <w:szCs w:val="20"/>
    </w:rPr>
  </w:style>
  <w:style w:type="paragraph" w:styleId="Ballontekst">
    <w:name w:val="Balloon Text"/>
    <w:basedOn w:val="Standaard"/>
    <w:link w:val="BallontekstChar"/>
    <w:uiPriority w:val="99"/>
    <w:semiHidden/>
    <w:unhideWhenUsed/>
    <w:rsid w:val="0004508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45082"/>
    <w:rPr>
      <w:rFonts w:ascii="Segoe UI" w:hAnsi="Segoe UI" w:cs="Segoe UI"/>
      <w:sz w:val="18"/>
      <w:szCs w:val="18"/>
    </w:rPr>
  </w:style>
  <w:style w:type="paragraph" w:customStyle="1" w:styleId="EndNoteBibliographyTitle">
    <w:name w:val="EndNote Bibliography Title"/>
    <w:basedOn w:val="Standaard"/>
    <w:link w:val="EndNoteBibliographyTitleChar"/>
    <w:rsid w:val="00ED7EA8"/>
    <w:pPr>
      <w:spacing w:after="0"/>
      <w:jc w:val="center"/>
    </w:pPr>
    <w:rPr>
      <w:rFonts w:ascii="Calibri" w:hAnsi="Calibri" w:cs="Calibri"/>
      <w:noProof/>
    </w:rPr>
  </w:style>
  <w:style w:type="character" w:customStyle="1" w:styleId="GeenafstandChar">
    <w:name w:val="Geen afstand Char"/>
    <w:basedOn w:val="Standaardalinea-lettertype"/>
    <w:link w:val="Geenafstand"/>
    <w:uiPriority w:val="1"/>
    <w:rsid w:val="00ED7EA8"/>
  </w:style>
  <w:style w:type="character" w:customStyle="1" w:styleId="EndNoteBibliographyTitleChar">
    <w:name w:val="EndNote Bibliography Title Char"/>
    <w:basedOn w:val="GeenafstandChar"/>
    <w:link w:val="EndNoteBibliographyTitle"/>
    <w:rsid w:val="00ED7EA8"/>
    <w:rPr>
      <w:rFonts w:ascii="Calibri" w:hAnsi="Calibri" w:cs="Calibri"/>
      <w:noProof/>
    </w:rPr>
  </w:style>
  <w:style w:type="paragraph" w:customStyle="1" w:styleId="EndNoteBibliography">
    <w:name w:val="EndNote Bibliography"/>
    <w:basedOn w:val="Standaard"/>
    <w:link w:val="EndNoteBibliographyChar"/>
    <w:rsid w:val="00ED7EA8"/>
    <w:pPr>
      <w:spacing w:line="240" w:lineRule="auto"/>
      <w:jc w:val="both"/>
    </w:pPr>
    <w:rPr>
      <w:rFonts w:ascii="Calibri" w:hAnsi="Calibri" w:cs="Calibri"/>
      <w:noProof/>
    </w:rPr>
  </w:style>
  <w:style w:type="character" w:customStyle="1" w:styleId="EndNoteBibliographyChar">
    <w:name w:val="EndNote Bibliography Char"/>
    <w:basedOn w:val="GeenafstandChar"/>
    <w:link w:val="EndNoteBibliography"/>
    <w:rsid w:val="00ED7EA8"/>
    <w:rPr>
      <w:rFonts w:ascii="Calibri" w:hAnsi="Calibri" w:cs="Calibri"/>
      <w:noProof/>
    </w:rPr>
  </w:style>
  <w:style w:type="character" w:styleId="Hyperlink">
    <w:name w:val="Hyperlink"/>
    <w:basedOn w:val="Standaardalinea-lettertype"/>
    <w:uiPriority w:val="99"/>
    <w:unhideWhenUsed/>
    <w:rsid w:val="00ED7E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229434">
      <w:bodyDiv w:val="1"/>
      <w:marLeft w:val="0"/>
      <w:marRight w:val="0"/>
      <w:marTop w:val="0"/>
      <w:marBottom w:val="0"/>
      <w:divBdr>
        <w:top w:val="none" w:sz="0" w:space="0" w:color="auto"/>
        <w:left w:val="none" w:sz="0" w:space="0" w:color="auto"/>
        <w:bottom w:val="none" w:sz="0" w:space="0" w:color="auto"/>
        <w:right w:val="none" w:sz="0" w:space="0" w:color="auto"/>
      </w:divBdr>
    </w:div>
    <w:div w:id="1104155799">
      <w:bodyDiv w:val="1"/>
      <w:marLeft w:val="0"/>
      <w:marRight w:val="0"/>
      <w:marTop w:val="0"/>
      <w:marBottom w:val="0"/>
      <w:divBdr>
        <w:top w:val="none" w:sz="0" w:space="0" w:color="auto"/>
        <w:left w:val="none" w:sz="0" w:space="0" w:color="auto"/>
        <w:bottom w:val="none" w:sz="0" w:space="0" w:color="auto"/>
        <w:right w:val="none" w:sz="0" w:space="0" w:color="auto"/>
      </w:divBdr>
    </w:div>
    <w:div w:id="211689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x.doi.org/10.1007%2Fs10654-017-0270-y" TargetMode="External"/><Relationship Id="rId3" Type="http://schemas.openxmlformats.org/officeDocument/2006/relationships/customXml" Target="../customXml/item3.xml"/><Relationship Id="rId7" Type="http://schemas.openxmlformats.org/officeDocument/2006/relationships/image" Target="media/image1.tif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872015\AppData\Local\Temp\Templafy\WordVsto\fcsl4t1u.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TemplafyFormConfiguration><![CDATA[{"formFields":[],"formDataEntries":[]}]]></TemplafyFormConfiguration>
</file>

<file path=customXml/item2.xml><?xml version="1.0" encoding="utf-8"?>
<TemplafyTemplateConfiguration><![CDATA[{"elementsMetadata":[],"transformationConfigurations":[],"templateName":"Blank","templateDescription":"","enableDocumentContentUpdater":false,"version":"2.0"}]]></TemplafyTemplateConfiguration>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4C7DC-7DA6-4285-8147-84D827CEBBDE}">
  <ds:schemaRefs/>
</ds:datastoreItem>
</file>

<file path=customXml/itemProps2.xml><?xml version="1.0" encoding="utf-8"?>
<ds:datastoreItem xmlns:ds="http://schemas.openxmlformats.org/officeDocument/2006/customXml" ds:itemID="{3215D544-A5A6-4514-8CDB-46EEDCDCC460}">
  <ds:schemaRefs/>
</ds:datastoreItem>
</file>

<file path=customXml/itemProps3.xml><?xml version="1.0" encoding="utf-8"?>
<ds:datastoreItem xmlns:ds="http://schemas.openxmlformats.org/officeDocument/2006/customXml" ds:itemID="{FE8DBABA-944A-4144-A38A-F068DD631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fcsl4t1u.dotx</Template>
  <TotalTime>64</TotalTime>
  <Pages>7</Pages>
  <Words>3914</Words>
  <Characters>22310</Characters>
  <Application>Microsoft Office Word</Application>
  <DocSecurity>0</DocSecurity>
  <Lines>185</Lines>
  <Paragraphs>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 Vergroesen</dc:creator>
  <cp:keywords/>
  <dc:description/>
  <cp:lastModifiedBy>Joëlle Vergroesen</cp:lastModifiedBy>
  <cp:revision>16</cp:revision>
  <dcterms:created xsi:type="dcterms:W3CDTF">2022-06-09T12:15:00Z</dcterms:created>
  <dcterms:modified xsi:type="dcterms:W3CDTF">2022-06-10T13:28:00Z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fyTenantId">
    <vt:lpwstr>erasmusmc</vt:lpwstr>
  </property>
  <property fmtid="{D5CDD505-2E9C-101B-9397-08002B2CF9AE}" pid="3" name="TemplafyTemplateId">
    <vt:lpwstr>637841469455294394</vt:lpwstr>
  </property>
  <property fmtid="{D5CDD505-2E9C-101B-9397-08002B2CF9AE}" pid="4" name="TemplafyUserProfileId">
    <vt:lpwstr>637732530773117497</vt:lpwstr>
  </property>
  <property fmtid="{D5CDD505-2E9C-101B-9397-08002B2CF9AE}" pid="5" name="TemplafyFromBlank">
    <vt:bool>true</vt:bool>
  </property>
</Properties>
</file>