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95109" w14:textId="77777777" w:rsidR="00E65235" w:rsidRPr="00FE1FC5" w:rsidRDefault="00E65235" w:rsidP="00E65235">
      <w:pPr>
        <w:pStyle w:val="Geenafstand"/>
        <w:jc w:val="both"/>
        <w:rPr>
          <w:rFonts w:ascii="Times New Roman" w:hAnsi="Times New Roman" w:cs="Times New Roman"/>
          <w:b/>
          <w:i/>
        </w:rPr>
      </w:pPr>
      <w:r w:rsidRPr="00FE1FC5">
        <w:rPr>
          <w:rFonts w:ascii="Times New Roman" w:hAnsi="Times New Roman" w:cs="Times New Roman"/>
          <w:b/>
          <w:i/>
        </w:rPr>
        <w:t>Reviewer #2</w:t>
      </w:r>
    </w:p>
    <w:p w14:paraId="0E56A057" w14:textId="77777777" w:rsidR="00E65235" w:rsidRDefault="00E65235" w:rsidP="00E65235">
      <w:pPr>
        <w:pStyle w:val="Geenafstand"/>
        <w:jc w:val="both"/>
        <w:rPr>
          <w:rFonts w:ascii="Times New Roman" w:hAnsi="Times New Roman" w:cs="Times New Roman"/>
        </w:rPr>
      </w:pPr>
    </w:p>
    <w:p w14:paraId="2C51DA76" w14:textId="77777777" w:rsidR="00FE1FC5" w:rsidRPr="006247BC" w:rsidRDefault="0030624A" w:rsidP="00FE1FC5">
      <w:pPr>
        <w:pStyle w:val="Geenafstand"/>
        <w:jc w:val="both"/>
        <w:rPr>
          <w:rFonts w:ascii="Times New Roman" w:hAnsi="Times New Roman" w:cs="Times New Roman"/>
        </w:rPr>
      </w:pPr>
      <w:r>
        <w:rPr>
          <w:rFonts w:ascii="Times New Roman" w:hAnsi="Times New Roman" w:cs="Times New Roman"/>
        </w:rPr>
        <w:t xml:space="preserve">We would like to thank the reviewer </w:t>
      </w:r>
      <w:r w:rsidR="00FE1FC5" w:rsidRPr="006247BC">
        <w:rPr>
          <w:rFonts w:ascii="Times New Roman" w:hAnsi="Times New Roman" w:cs="Times New Roman"/>
        </w:rPr>
        <w:t xml:space="preserve">for reviewing our manuscript entitled “Dietary nitrate intake is associated with decreased incidence of open-angle glaucoma: The Rotterdam Study" (MS# nutrients-1760125). </w:t>
      </w:r>
      <w:r w:rsidR="00FE1FC5">
        <w:rPr>
          <w:rFonts w:ascii="Times New Roman" w:hAnsi="Times New Roman" w:cs="Times New Roman"/>
        </w:rPr>
        <w:t xml:space="preserve">We appreciate </w:t>
      </w:r>
      <w:r>
        <w:rPr>
          <w:rFonts w:ascii="Times New Roman" w:hAnsi="Times New Roman" w:cs="Times New Roman"/>
        </w:rPr>
        <w:t xml:space="preserve">the </w:t>
      </w:r>
      <w:r w:rsidR="00FE1FC5">
        <w:rPr>
          <w:rFonts w:ascii="Times New Roman" w:hAnsi="Times New Roman" w:cs="Times New Roman"/>
        </w:rPr>
        <w:t xml:space="preserve">positive review and acknowledgement of these important findings. </w:t>
      </w:r>
      <w:r w:rsidR="00FE1FC5" w:rsidRPr="006247BC">
        <w:rPr>
          <w:rFonts w:ascii="Times New Roman" w:hAnsi="Times New Roman" w:cs="Times New Roman"/>
        </w:rPr>
        <w:t xml:space="preserve">Enclosed please find our revised manuscript, which incorporates </w:t>
      </w:r>
      <w:r>
        <w:rPr>
          <w:rFonts w:ascii="Times New Roman" w:hAnsi="Times New Roman" w:cs="Times New Roman"/>
        </w:rPr>
        <w:t>the</w:t>
      </w:r>
      <w:r w:rsidR="00FE1FC5" w:rsidRPr="006247BC">
        <w:rPr>
          <w:rFonts w:ascii="Times New Roman" w:hAnsi="Times New Roman" w:cs="Times New Roman"/>
        </w:rPr>
        <w:t xml:space="preserve"> comments and suggestions</w:t>
      </w:r>
      <w:r>
        <w:rPr>
          <w:rFonts w:ascii="Times New Roman" w:hAnsi="Times New Roman" w:cs="Times New Roman"/>
        </w:rPr>
        <w:t xml:space="preserve"> of both reviewers. </w:t>
      </w:r>
      <w:r w:rsidR="00FE1FC5" w:rsidRPr="006247BC">
        <w:rPr>
          <w:rFonts w:ascii="Times New Roman" w:hAnsi="Times New Roman" w:cs="Times New Roman"/>
        </w:rPr>
        <w:t xml:space="preserve">In this letter we will address </w:t>
      </w:r>
      <w:r>
        <w:rPr>
          <w:rFonts w:ascii="Times New Roman" w:hAnsi="Times New Roman" w:cs="Times New Roman"/>
        </w:rPr>
        <w:t>the</w:t>
      </w:r>
      <w:r w:rsidR="00FE1FC5" w:rsidRPr="006247BC">
        <w:rPr>
          <w:rFonts w:ascii="Times New Roman" w:hAnsi="Times New Roman" w:cs="Times New Roman"/>
        </w:rPr>
        <w:t xml:space="preserve"> comments </w:t>
      </w:r>
      <w:r>
        <w:rPr>
          <w:rFonts w:ascii="Times New Roman" w:hAnsi="Times New Roman" w:cs="Times New Roman"/>
        </w:rPr>
        <w:t xml:space="preserve">of reviewer #2 </w:t>
      </w:r>
      <w:r w:rsidR="00FE1FC5" w:rsidRPr="006247BC">
        <w:rPr>
          <w:rFonts w:ascii="Times New Roman" w:hAnsi="Times New Roman" w:cs="Times New Roman"/>
        </w:rPr>
        <w:t>point by point.</w:t>
      </w:r>
    </w:p>
    <w:p w14:paraId="5B36A4D3" w14:textId="77777777" w:rsidR="00FE1FC5" w:rsidRDefault="00FE1FC5" w:rsidP="00E65235">
      <w:pPr>
        <w:pStyle w:val="Geenafstand"/>
        <w:jc w:val="both"/>
        <w:rPr>
          <w:rFonts w:ascii="Times New Roman" w:hAnsi="Times New Roman" w:cs="Times New Roman"/>
        </w:rPr>
      </w:pPr>
    </w:p>
    <w:p w14:paraId="5A5E2930" w14:textId="77777777" w:rsidR="00E65235" w:rsidRPr="00FE1FC5" w:rsidRDefault="00E65235" w:rsidP="00E65235">
      <w:pPr>
        <w:pStyle w:val="Geenafstand"/>
        <w:jc w:val="both"/>
        <w:rPr>
          <w:rFonts w:ascii="Times New Roman" w:hAnsi="Times New Roman" w:cs="Times New Roman"/>
          <w:b/>
        </w:rPr>
      </w:pPr>
      <w:r w:rsidRPr="00FE1FC5">
        <w:rPr>
          <w:rFonts w:ascii="Times New Roman" w:hAnsi="Times New Roman" w:cs="Times New Roman"/>
          <w:b/>
        </w:rPr>
        <w:t>The authors have conducted a case-control analysis based on a large epidemiological prospective study and investigated an association between dietary nitrate intake and incidence of OAG.</w:t>
      </w:r>
    </w:p>
    <w:p w14:paraId="695EFDE9" w14:textId="77777777" w:rsidR="00E65235" w:rsidRPr="00FE1FC5" w:rsidRDefault="00E65235" w:rsidP="00E65235">
      <w:pPr>
        <w:pStyle w:val="Geenafstand"/>
        <w:jc w:val="both"/>
        <w:rPr>
          <w:rFonts w:ascii="Times New Roman" w:hAnsi="Times New Roman" w:cs="Times New Roman"/>
          <w:b/>
        </w:rPr>
      </w:pPr>
      <w:r w:rsidRPr="00FE1FC5">
        <w:rPr>
          <w:rFonts w:ascii="Times New Roman" w:hAnsi="Times New Roman" w:cs="Times New Roman"/>
          <w:b/>
        </w:rPr>
        <w:t>The study has been well planned and performed. Chapter Material and Methods contain all necessary information. The writing is of perfect quality and the results are clearly presented.</w:t>
      </w:r>
    </w:p>
    <w:p w14:paraId="7C3FCDED" w14:textId="77777777" w:rsidR="00E65235" w:rsidRDefault="00E65235" w:rsidP="00E65235">
      <w:pPr>
        <w:pStyle w:val="Geenafstand"/>
        <w:jc w:val="both"/>
        <w:rPr>
          <w:rFonts w:ascii="Times New Roman" w:hAnsi="Times New Roman" w:cs="Times New Roman"/>
          <w:b/>
        </w:rPr>
      </w:pPr>
      <w:r w:rsidRPr="00FE1FC5">
        <w:rPr>
          <w:rFonts w:ascii="Times New Roman" w:hAnsi="Times New Roman" w:cs="Times New Roman"/>
          <w:b/>
        </w:rPr>
        <w:t>The results and conclusions of this study are important.</w:t>
      </w:r>
    </w:p>
    <w:p w14:paraId="36CBE7B9" w14:textId="77777777" w:rsidR="00FE1FC5" w:rsidRPr="00FE1FC5" w:rsidRDefault="00E55792" w:rsidP="00E65235">
      <w:pPr>
        <w:pStyle w:val="Geenafstand"/>
        <w:jc w:val="both"/>
        <w:rPr>
          <w:rFonts w:ascii="Times New Roman" w:hAnsi="Times New Roman" w:cs="Times New Roman"/>
        </w:rPr>
      </w:pPr>
      <w:r>
        <w:rPr>
          <w:rFonts w:ascii="Times New Roman" w:hAnsi="Times New Roman" w:cs="Times New Roman"/>
        </w:rPr>
        <w:t>We would like to thank the reviewer for the</w:t>
      </w:r>
      <w:r w:rsidR="00FE1FC5">
        <w:rPr>
          <w:rFonts w:ascii="Times New Roman" w:hAnsi="Times New Roman" w:cs="Times New Roman"/>
        </w:rPr>
        <w:t xml:space="preserve"> positive feedback on our study design and </w:t>
      </w:r>
      <w:r>
        <w:rPr>
          <w:rFonts w:ascii="Times New Roman" w:hAnsi="Times New Roman" w:cs="Times New Roman"/>
        </w:rPr>
        <w:t>our final manuscript.</w:t>
      </w:r>
    </w:p>
    <w:p w14:paraId="478569F7" w14:textId="77777777" w:rsidR="00FE1FC5" w:rsidRPr="00E65235" w:rsidRDefault="00FE1FC5" w:rsidP="00E65235">
      <w:pPr>
        <w:pStyle w:val="Geenafstand"/>
        <w:jc w:val="both"/>
        <w:rPr>
          <w:rFonts w:ascii="Times New Roman" w:hAnsi="Times New Roman" w:cs="Times New Roman"/>
        </w:rPr>
      </w:pPr>
    </w:p>
    <w:p w14:paraId="643F06B0" w14:textId="77777777" w:rsidR="0096728F" w:rsidRPr="00672CBE" w:rsidRDefault="00E65235" w:rsidP="00E65235">
      <w:pPr>
        <w:pStyle w:val="Geenafstand"/>
        <w:jc w:val="both"/>
        <w:rPr>
          <w:rFonts w:ascii="Times New Roman" w:hAnsi="Times New Roman" w:cs="Times New Roman"/>
          <w:b/>
        </w:rPr>
      </w:pPr>
      <w:r w:rsidRPr="00672CBE">
        <w:rPr>
          <w:rFonts w:ascii="Times New Roman" w:hAnsi="Times New Roman" w:cs="Times New Roman"/>
          <w:b/>
          <w:bCs/>
        </w:rPr>
        <w:t>I would only like to ask about one fact that I find intriguing. The authors have found that participants without OAG had a significantly higher BMI than those with OAG. Their mean BMI was found to be 27.1 kg/m2 which is considered overweight</w:t>
      </w:r>
      <w:r w:rsidRPr="00672CBE">
        <w:rPr>
          <w:rFonts w:ascii="Times New Roman" w:hAnsi="Times New Roman" w:cs="Times New Roman"/>
          <w:b/>
        </w:rPr>
        <w:t xml:space="preserve">. Lower risk of OAG would be related to a higher total dietary nitrate intake. “Previous research has shown that a higher dietary nitrate intake was associated with significantly wider retinal arterioles.[46] Widening of retinal arteriolar caliber is not only associated with lower risk of cardiovascular and cerebrovascular diseases [47,48], but also with lower risk of glaucoma”. </w:t>
      </w:r>
    </w:p>
    <w:p w14:paraId="60F08599" w14:textId="77777777" w:rsidR="00E65235" w:rsidRPr="00672CBE" w:rsidRDefault="00E65235" w:rsidP="00E65235">
      <w:pPr>
        <w:pStyle w:val="Geenafstand"/>
        <w:jc w:val="both"/>
        <w:rPr>
          <w:rFonts w:ascii="Times New Roman" w:hAnsi="Times New Roman" w:cs="Times New Roman"/>
          <w:b/>
        </w:rPr>
      </w:pPr>
      <w:r w:rsidRPr="00672CBE">
        <w:rPr>
          <w:rFonts w:ascii="Times New Roman" w:hAnsi="Times New Roman" w:cs="Times New Roman"/>
          <w:b/>
        </w:rPr>
        <w:t xml:space="preserve">On the other hand, “compared with individuals with a normal BMI (defined as a BMI of 18.5 to 24.9), lifetime risks for incident CVD [cardiovascular disease] were higher in middle-aged adults in the overweight and obese groups” Khan SS, Ning H, Wilkins JT, et al. Association of Body Mass Index With Lifetime Risk of Cardiovascular Disease and Compression of Morbidity. JAMA </w:t>
      </w:r>
      <w:proofErr w:type="spellStart"/>
      <w:r w:rsidRPr="00672CBE">
        <w:rPr>
          <w:rFonts w:ascii="Times New Roman" w:hAnsi="Times New Roman" w:cs="Times New Roman"/>
          <w:b/>
        </w:rPr>
        <w:t>Cardiol</w:t>
      </w:r>
      <w:proofErr w:type="spellEnd"/>
      <w:r w:rsidRPr="00672CBE">
        <w:rPr>
          <w:rFonts w:ascii="Times New Roman" w:hAnsi="Times New Roman" w:cs="Times New Roman"/>
          <w:b/>
        </w:rPr>
        <w:t>. 2018;3(4):280–287. doi:10.1001/jamacardio.2018.0022</w:t>
      </w:r>
    </w:p>
    <w:p w14:paraId="06421B7F" w14:textId="77777777" w:rsidR="00FE1FC5" w:rsidRPr="00E65235" w:rsidRDefault="00FE1FC5" w:rsidP="00E65235">
      <w:pPr>
        <w:pStyle w:val="Geenafstand"/>
        <w:jc w:val="both"/>
        <w:rPr>
          <w:rFonts w:ascii="Times New Roman" w:hAnsi="Times New Roman" w:cs="Times New Roman"/>
        </w:rPr>
      </w:pPr>
    </w:p>
    <w:p w14:paraId="3125939B" w14:textId="77777777" w:rsidR="00E65235" w:rsidRPr="00FE1FC5" w:rsidRDefault="00E65235" w:rsidP="00E65235">
      <w:pPr>
        <w:pStyle w:val="Geenafstand"/>
        <w:jc w:val="both"/>
        <w:rPr>
          <w:rFonts w:ascii="Times New Roman" w:hAnsi="Times New Roman" w:cs="Times New Roman"/>
          <w:b/>
        </w:rPr>
      </w:pPr>
      <w:r w:rsidRPr="00FE1FC5">
        <w:rPr>
          <w:rFonts w:ascii="Times New Roman" w:hAnsi="Times New Roman" w:cs="Times New Roman"/>
          <w:b/>
        </w:rPr>
        <w:t>I wonder if the authors could comment on this in the Discussion.</w:t>
      </w:r>
    </w:p>
    <w:p w14:paraId="5A217F1B" w14:textId="77777777" w:rsidR="00672CBE" w:rsidRDefault="00E55792" w:rsidP="00E65235">
      <w:pPr>
        <w:pStyle w:val="Geenafstand"/>
        <w:jc w:val="both"/>
        <w:rPr>
          <w:rFonts w:ascii="Times New Roman" w:hAnsi="Times New Roman" w:cs="Times New Roman"/>
        </w:rPr>
      </w:pPr>
      <w:r>
        <w:rPr>
          <w:rFonts w:ascii="Times New Roman" w:hAnsi="Times New Roman" w:cs="Times New Roman"/>
        </w:rPr>
        <w:t>We would like to thank the reviewer for this interesting comment. In the Rotterdam Study we indeed find an inverse association between BMI and OAG incidence</w:t>
      </w:r>
      <w:r w:rsidR="00547FAC">
        <w:rPr>
          <w:rFonts w:ascii="Times New Roman" w:hAnsi="Times New Roman" w:cs="Times New Roman"/>
        </w:rPr>
        <w:t xml:space="preserve"> (Table 1)</w:t>
      </w:r>
      <w:r>
        <w:rPr>
          <w:rFonts w:ascii="Times New Roman" w:hAnsi="Times New Roman" w:cs="Times New Roman"/>
        </w:rPr>
        <w:t>.</w:t>
      </w:r>
      <w:r w:rsidR="00547FAC">
        <w:rPr>
          <w:rFonts w:ascii="Times New Roman" w:hAnsi="Times New Roman" w:cs="Times New Roman"/>
        </w:rPr>
        <w:t xml:space="preserve"> When we divide the participants in three categories based on their BMI (BMI &lt; 18.5, BMI 18.5-24.9, or BMI &gt;= 24.9), the difference between cases and controls is still (borderline) significant (p=0.054), with more people being overweight (68.7%) in the control group than in the glaucoma group (59.3%). </w:t>
      </w:r>
    </w:p>
    <w:p w14:paraId="32313BA9" w14:textId="3BDA9038" w:rsidR="00672CBE" w:rsidRDefault="00672CBE" w:rsidP="00E65235">
      <w:pPr>
        <w:pStyle w:val="Geenafstand"/>
        <w:jc w:val="both"/>
        <w:rPr>
          <w:rFonts w:ascii="Times New Roman" w:hAnsi="Times New Roman" w:cs="Times New Roman"/>
        </w:rPr>
      </w:pPr>
    </w:p>
    <w:p w14:paraId="36745783" w14:textId="77777777" w:rsidR="009A2325" w:rsidRDefault="009C5C17" w:rsidP="00E65235">
      <w:pPr>
        <w:pStyle w:val="Geenafstand"/>
        <w:jc w:val="both"/>
        <w:rPr>
          <w:rFonts w:ascii="Times New Roman" w:hAnsi="Times New Roman" w:cs="Times New Roman"/>
        </w:rPr>
      </w:pPr>
      <w:r>
        <w:rPr>
          <w:rFonts w:ascii="Times New Roman" w:hAnsi="Times New Roman" w:cs="Times New Roman"/>
        </w:rPr>
        <w:t xml:space="preserve">The finding that BMI is inversely associated with OAG is in line with previous studies. Lin et al. </w:t>
      </w:r>
      <w:r>
        <w:rPr>
          <w:rFonts w:ascii="Times New Roman" w:hAnsi="Times New Roman" w:cs="Times New Roman"/>
        </w:rPr>
        <w:fldChar w:fldCharType="begin">
          <w:fldData xml:space="preserve">PEVuZE5vdGU+PENpdGU+PEF1dGhvcj5MaW48L0F1dGhvcj48WWVhcj4yMDE4PC9ZZWFyPjxSZWNO
dW0+ODU8L1JlY051bT48RGlzcGxheVRleHQ+PHN0eWxlIHNpemU9IjEwIj5bMV08L3N0eWxlPjwv
RGlzcGxheVRleHQ+PHJlY29yZD48cmVjLW51bWJlcj44NTwvcmVjLW51bWJlcj48Zm9yZWlnbi1r
ZXlzPjxrZXkgYXBwPSJFTiIgZGItaWQ9ImFldHh3endyOXQ5d3htZXR2emc1MnMwdnR6d3R0eGFh
cmVkOSIgdGltZXN0YW1wPSIxNjU0Nzg4MjA1Ij44NTwva2V5PjwvZm9yZWlnbi1rZXlzPjxyZWYt
dHlwZSBuYW1lPSJKb3VybmFsIEFydGljbGUiPjE3PC9yZWYtdHlwZT48Y29udHJpYnV0b3JzPjxh
dXRob3JzPjxhdXRob3I+TGluLCBTLiBDLjwvYXV0aG9yPjxhdXRob3I+UGFzcXVhbGUsIEwuIFIu
PC9hdXRob3I+PGF1dGhvcj5TaW5naCwgSy48L2F1dGhvcj48YXV0aG9yPkxpbiwgUy4gQy48L2F1
dGhvcj48L2F1dGhvcnM+PC9jb250cmlidXRvcnM+PGF1dGgtYWRkcmVzcz5EZXBhcnRtZW50IG9m
IE9waHRoYWxtb2xvZ3ksIFVuaXZlcnNpdHkgb2YgQ2FsaWZvcm5pYSBTYW4gRnJhbmNpc2NvLCBT
YW4gRnJhbmNpc2NvLiYjeEQ7RGVwYXJ0bWVudCBvZiBNZWRpY2luZSwgTmF0aW9uYWwgWWFuZy1N
aW5nIFVuaXZlcnNpdHksIFRhaXBlaSwgVGFpd2FuLiYjeEQ7TWFzc2FjaHVzZXR0cyBFeWUgYW5k
IEVhciBJbmZpcm1hcnksIEdsYXVjb21hIFNlcnZpY2UuJiN4RDtDaGFubmluZyBEaXZpc2lvbiBv
ZiBOZXR3b3JrIE1lZGljaW5lLCBCcmlnaGFtIGFuZCBXb21lbiZhcG9zO3MgSG9zcGl0YWwsIEhh
cnZhcmQgTWVkaWNhbCBTY2hvb2wsIEJvc3RvbiwgTUEuJiN4RDtEZXBhcnRtZW50IG9mIE9waHRo
YWxtb2xvZ3ksIFN0YW5mb3JkIFVuaXZlcnNpdHksIFN0YW5mb3JkLCBDQS48L2F1dGgtYWRkcmVz
cz48dGl0bGVzPjx0aXRsZT5UaGUgQXNzb2NpYXRpb24gQmV0d2VlbiBCb2R5IE1hc3MgSW5kZXgg
YW5kIE9wZW4tYW5nbGUgR2xhdWNvbWEgaW4gYSBTb3V0aCBLb3JlYW4gUG9wdWxhdGlvbi1iYXNl
ZCBTYW1wbGU8L3RpdGxlPjxzZWNvbmRhcnktdGl0bGU+SiBHbGF1Y29tYTwvc2Vjb25kYXJ5LXRp
dGxlPjwvdGl0bGVzPjxwZXJpb2RpY2FsPjxmdWxsLXRpdGxlPkogR2xhdWNvbWE8L2Z1bGwtdGl0
bGU+PC9wZXJpb2RpY2FsPjxwYWdlcz4yMzktMjQ1PC9wYWdlcz48dm9sdW1lPjI3PC92b2x1bWU+
PG51bWJlcj4zPC9udW1iZXI+PGtleXdvcmRzPjxrZXl3b3JkPkFkdWx0PC9rZXl3b3JkPjxrZXl3
b3JkPkFnZWQ8L2tleXdvcmQ+PGtleXdvcmQ+Qmxvb2QgUHJlc3N1cmUvcGh5c2lvbG9neTwva2V5
d29yZD48a2V5d29yZD5Cb2R5IE1hc3MgSW5kZXg8L2tleXdvcmQ+PGtleXdvcmQ+Q3Jvc3MtU2Vj
dGlvbmFsIFN0dWRpZXM8L2tleXdvcmQ+PGtleXdvcmQ+RmVtYWxlPC9rZXl3b3JkPjxrZXl3b3Jk
PkdsYXVjb21hLCBPcGVuLUFuZ2xlLyBkaWFnbm9zaXMvcGh5c2lvcGF0aG9sb2d5PC9rZXl3b3Jk
PjxrZXl3b3JkPkh1bWFuczwva2V5d29yZD48a2V5d29yZD5JbnRyYW9jdWxhciBQcmVzc3VyZS9w
aHlzaW9sb2d5PC9rZXl3b3JkPjxrZXl3b3JkPk1hbGU8L2tleXdvcmQ+PGtleXdvcmQ+TWlkZGxl
IEFnZWQ8L2tleXdvcmQ+PGtleXdvcmQ+TXVsdGl2YXJpYXRlIEFuYWx5c2lzPC9rZXl3b3JkPjxr
ZXl3b3JkPk51dHJpdGlvbiBTdXJ2ZXlzPC9rZXl3b3JkPjxrZXl3b3JkPk9kZHMgUmF0aW88L2tl
eXdvcmQ+PGtleXdvcmQ+UHJldmFsZW5jZTwva2V5d29yZD48a2V5d29yZD5SZXB1YmxpYyBvZiBL
b3JlYS9lcGlkZW1pb2xvZ3k8L2tleXdvcmQ+PGtleXdvcmQ+VG9ub21ldHJ5LCBPY3VsYXI8L2tl
eXdvcmQ+PGtleXdvcmQ+VmlzdWFsIEZpZWxkcy9waHlzaW9sb2d5PC9rZXl3b3JkPjwva2V5d29y
ZHM+PGRhdGVzPjx5ZWFyPjIwMTg8L3llYXI+PHB1Yi1kYXRlcz48ZGF0ZT5NYXI8L2RhdGU+PC9w
dWItZGF0ZXM+PC9kYXRlcz48aXNibj4xNTM2LTQ4MVggKEVsZWN0cm9uaWMpJiN4RDsxMDU3LTA4
MjkgKExpbmtpbmcpPC9pc2JuPjxhY2Nlc3Npb24tbnVtPjI5MzAzODcyPC9hY2Nlc3Npb24tbnVt
Pjx1cmxzPjwvdXJscz48L3JlY29yZD48L0NpdGU+PC9FbmROb3RlPn==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PEVuZE5vdGU+PENpdGU+PEF1dGhvcj5MaW48L0F1dGhvcj48WWVhcj4yMDE4PC9ZZWFyPjxSZWNO
dW0+ODU8L1JlY051bT48RGlzcGxheVRleHQ+PHN0eWxlIHNpemU9IjEwIj5bMV08L3N0eWxlPjwv
RGlzcGxheVRleHQ+PHJlY29yZD48cmVjLW51bWJlcj44NTwvcmVjLW51bWJlcj48Zm9yZWlnbi1r
ZXlzPjxrZXkgYXBwPSJFTiIgZGItaWQ9ImFldHh3endyOXQ5d3htZXR2emc1MnMwdnR6d3R0eGFh
cmVkOSIgdGltZXN0YW1wPSIxNjU0Nzg4MjA1Ij44NTwva2V5PjwvZm9yZWlnbi1rZXlzPjxyZWYt
dHlwZSBuYW1lPSJKb3VybmFsIEFydGljbGUiPjE3PC9yZWYtdHlwZT48Y29udHJpYnV0b3JzPjxh
dXRob3JzPjxhdXRob3I+TGluLCBTLiBDLjwvYXV0aG9yPjxhdXRob3I+UGFzcXVhbGUsIEwuIFIu
PC9hdXRob3I+PGF1dGhvcj5TaW5naCwgSy48L2F1dGhvcj48YXV0aG9yPkxpbiwgUy4gQy48L2F1
dGhvcj48L2F1dGhvcnM+PC9jb250cmlidXRvcnM+PGF1dGgtYWRkcmVzcz5EZXBhcnRtZW50IG9m
IE9waHRoYWxtb2xvZ3ksIFVuaXZlcnNpdHkgb2YgQ2FsaWZvcm5pYSBTYW4gRnJhbmNpc2NvLCBT
YW4gRnJhbmNpc2NvLiYjeEQ7RGVwYXJ0bWVudCBvZiBNZWRpY2luZSwgTmF0aW9uYWwgWWFuZy1N
aW5nIFVuaXZlcnNpdHksIFRhaXBlaSwgVGFpd2FuLiYjeEQ7TWFzc2FjaHVzZXR0cyBFeWUgYW5k
IEVhciBJbmZpcm1hcnksIEdsYXVjb21hIFNlcnZpY2UuJiN4RDtDaGFubmluZyBEaXZpc2lvbiBv
ZiBOZXR3b3JrIE1lZGljaW5lLCBCcmlnaGFtIGFuZCBXb21lbiZhcG9zO3MgSG9zcGl0YWwsIEhh
cnZhcmQgTWVkaWNhbCBTY2hvb2wsIEJvc3RvbiwgTUEuJiN4RDtEZXBhcnRtZW50IG9mIE9waHRo
YWxtb2xvZ3ksIFN0YW5mb3JkIFVuaXZlcnNpdHksIFN0YW5mb3JkLCBDQS48L2F1dGgtYWRkcmVz
cz48dGl0bGVzPjx0aXRsZT5UaGUgQXNzb2NpYXRpb24gQmV0d2VlbiBCb2R5IE1hc3MgSW5kZXgg
YW5kIE9wZW4tYW5nbGUgR2xhdWNvbWEgaW4gYSBTb3V0aCBLb3JlYW4gUG9wdWxhdGlvbi1iYXNl
ZCBTYW1wbGU8L3RpdGxlPjxzZWNvbmRhcnktdGl0bGU+SiBHbGF1Y29tYTwvc2Vjb25kYXJ5LXRp
dGxlPjwvdGl0bGVzPjxwZXJpb2RpY2FsPjxmdWxsLXRpdGxlPkogR2xhdWNvbWE8L2Z1bGwtdGl0
bGU+PC9wZXJpb2RpY2FsPjxwYWdlcz4yMzktMjQ1PC9wYWdlcz48dm9sdW1lPjI3PC92b2x1bWU+
PG51bWJlcj4zPC9udW1iZXI+PGtleXdvcmRzPjxrZXl3b3JkPkFkdWx0PC9rZXl3b3JkPjxrZXl3
b3JkPkFnZWQ8L2tleXdvcmQ+PGtleXdvcmQ+Qmxvb2QgUHJlc3N1cmUvcGh5c2lvbG9neTwva2V5
d29yZD48a2V5d29yZD5Cb2R5IE1hc3MgSW5kZXg8L2tleXdvcmQ+PGtleXdvcmQ+Q3Jvc3MtU2Vj
dGlvbmFsIFN0dWRpZXM8L2tleXdvcmQ+PGtleXdvcmQ+RmVtYWxlPC9rZXl3b3JkPjxrZXl3b3Jk
PkdsYXVjb21hLCBPcGVuLUFuZ2xlLyBkaWFnbm9zaXMvcGh5c2lvcGF0aG9sb2d5PC9rZXl3b3Jk
PjxrZXl3b3JkPkh1bWFuczwva2V5d29yZD48a2V5d29yZD5JbnRyYW9jdWxhciBQcmVzc3VyZS9w
aHlzaW9sb2d5PC9rZXl3b3JkPjxrZXl3b3JkPk1hbGU8L2tleXdvcmQ+PGtleXdvcmQ+TWlkZGxl
IEFnZWQ8L2tleXdvcmQ+PGtleXdvcmQ+TXVsdGl2YXJpYXRlIEFuYWx5c2lzPC9rZXl3b3JkPjxr
ZXl3b3JkPk51dHJpdGlvbiBTdXJ2ZXlzPC9rZXl3b3JkPjxrZXl3b3JkPk9kZHMgUmF0aW88L2tl
eXdvcmQ+PGtleXdvcmQ+UHJldmFsZW5jZTwva2V5d29yZD48a2V5d29yZD5SZXB1YmxpYyBvZiBL
b3JlYS9lcGlkZW1pb2xvZ3k8L2tleXdvcmQ+PGtleXdvcmQ+VG9ub21ldHJ5LCBPY3VsYXI8L2tl
eXdvcmQ+PGtleXdvcmQ+VmlzdWFsIEZpZWxkcy9waHlzaW9sb2d5PC9rZXl3b3JkPjwva2V5d29y
ZHM+PGRhdGVzPjx5ZWFyPjIwMTg8L3llYXI+PHB1Yi1kYXRlcz48ZGF0ZT5NYXI8L2RhdGU+PC9w
dWItZGF0ZXM+PC9kYXRlcz48aXNibj4xNTM2LTQ4MVggKEVsZWN0cm9uaWMpJiN4RDsxMDU3LTA4
MjkgKExpbmtpbmcpPC9pc2JuPjxhY2Nlc3Npb24tbnVtPjI5MzAzODcyPC9hY2Nlc3Npb24tbnVt
Pjx1cmxzPjwvdXJscz48L3JlY29yZD48L0NpdGU+PC9FbmROb3RlPn==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9C5C17">
        <w:rPr>
          <w:rFonts w:ascii="Times New Roman" w:hAnsi="Times New Roman" w:cs="Times New Roman"/>
          <w:noProof/>
          <w:sz w:val="20"/>
        </w:rPr>
        <w:t>[1]</w:t>
      </w:r>
      <w:r>
        <w:rPr>
          <w:rFonts w:ascii="Times New Roman" w:hAnsi="Times New Roman" w:cs="Times New Roman"/>
        </w:rPr>
        <w:fldChar w:fldCharType="end"/>
      </w:r>
      <w:r>
        <w:rPr>
          <w:rFonts w:ascii="Times New Roman" w:hAnsi="Times New Roman" w:cs="Times New Roman"/>
        </w:rPr>
        <w:t xml:space="preserve"> found that lower BMI was associated with increased odds of OAG, especially in younger females. Ramdas et al. found similar results, with an association between obesity and a lower risk of developing OAG, although only present in women.</w:t>
      </w:r>
      <w:r w:rsidRPr="009C5C17">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&lt;EndNote&gt;&lt;Cite&gt;&lt;Author&gt;Ramdas&lt;/Author&gt;&lt;Year&gt;2011&lt;/Year&gt;&lt;RecNum&gt;86&lt;/RecNum&gt;&lt;DisplayText&gt;&lt;style size="10"&gt;[2]&lt;/style&gt;&lt;/DisplayText&gt;&lt;record&gt;&lt;rec-number&gt;86&lt;/rec-number&gt;&lt;foreign-keys&gt;&lt;key app="EN" db-id="aetxwzwr9t9wxmetvzg52s0vtzwttxaared9" timestamp="1654788725"&gt;86&lt;/key&gt;&lt;/foreign-keys&gt;&lt;ref-type name="Journal Article"&gt;17&lt;/ref-type&gt;&lt;contributors&gt;&lt;authors&gt;&lt;author&gt;Ramdas, W. D.&lt;/author&gt;&lt;author&gt;Wolfs, R. C.&lt;/author&gt;&lt;author&gt;Hofman, A.&lt;/author&gt;&lt;author&gt;de Jong, P. T.&lt;/author&gt;&lt;author&gt;Vingerling, J. R.&lt;/author&gt;&lt;author&gt;Jansonius, N. M.&lt;/author&gt;&lt;/authors&gt;&lt;/contributors&gt;&lt;auth-address&gt;Department of Epidemiology, Erasmus Medical Center, Rotterdam, the Netherlands.&lt;/auth-address&gt;&lt;titles&gt;&lt;title&gt;Lifestyle and risk of developing open-angle glaucoma: the Rotterdam study&lt;/title&gt;&lt;secondary-title&gt;Arch Ophthalmol&lt;/secondary-title&gt;&lt;/titles&gt;&lt;periodical&gt;&lt;full-title&gt;Arch Ophthalmol&lt;/full-title&gt;&lt;/periodical&gt;&lt;pages&gt;767-72&lt;/pages&gt;&lt;volume&gt;129&lt;/volume&gt;&lt;number&gt;6&lt;/number&gt;&lt;keywords&gt;&lt;keyword&gt;Aged&lt;/keyword&gt;&lt;keyword&gt;Alcohol Drinking/adverse effects/epidemiology&lt;/keyword&gt;&lt;keyword&gt;Disease Progression&lt;/keyword&gt;&lt;keyword&gt;Female&lt;/keyword&gt;&lt;keyword&gt;Follow-Up Studies&lt;/keyword&gt;&lt;keyword&gt;Glaucoma, Open-Angle/ epidemiology/etiology/psychology&lt;/keyword&gt;&lt;keyword&gt;Humans&lt;/keyword&gt;&lt;keyword&gt;Incidence&lt;/keyword&gt;&lt;keyword&gt;Intraocular Pressure&lt;/keyword&gt;&lt;keyword&gt;Life Style&lt;/keyword&gt;&lt;keyword&gt;Male&lt;/keyword&gt;&lt;keyword&gt;Netherlands/epidemiology&lt;/keyword&gt;&lt;keyword&gt;Obesity/complications/epidemiology&lt;/keyword&gt;&lt;keyword&gt;Prospective Studies&lt;/keyword&gt;&lt;keyword&gt;Rural Population&lt;/keyword&gt;&lt;keyword&gt;Smoking/adverse effects/epidemiology&lt;/keyword&gt;&lt;keyword&gt;Socioeconomic Factors&lt;/keyword&gt;&lt;/keywords&gt;&lt;dates&gt;&lt;year&gt;2011&lt;/year&gt;&lt;pub-dates&gt;&lt;date&gt;Jun&lt;/date&gt;&lt;/pub-dates&gt;&lt;/dates&gt;&lt;isbn&gt;1538-3601 (Electronic)&amp;#xD;0003-9950 (Linking)&lt;/isbn&gt;&lt;accession-num&gt;21320952&lt;/accession-num&gt;&lt;urls&gt;&lt;/urls&gt;&lt;/record&gt;&lt;/Cite&gt;&lt;/EndNote&gt;</w:instrText>
      </w:r>
      <w:r>
        <w:rPr>
          <w:rFonts w:ascii="Times New Roman" w:hAnsi="Times New Roman" w:cs="Times New Roman"/>
        </w:rPr>
        <w:fldChar w:fldCharType="separate"/>
      </w:r>
      <w:r w:rsidRPr="009C5C17">
        <w:rPr>
          <w:rFonts w:ascii="Times New Roman" w:hAnsi="Times New Roman" w:cs="Times New Roman"/>
          <w:noProof/>
          <w:sz w:val="20"/>
        </w:rPr>
        <w:t>[2]</w:t>
      </w:r>
      <w:r>
        <w:rPr>
          <w:rFonts w:ascii="Times New Roman" w:hAnsi="Times New Roman" w:cs="Times New Roman"/>
        </w:rPr>
        <w:fldChar w:fldCharType="end"/>
      </w:r>
      <w:r w:rsidR="004218F4">
        <w:rPr>
          <w:rFonts w:ascii="Times New Roman" w:hAnsi="Times New Roman" w:cs="Times New Roman"/>
        </w:rPr>
        <w:t xml:space="preserve"> In line with these findings, underweight was associated with increased risk of primary OAG in diabetes patients.</w:t>
      </w:r>
      <w:r w:rsidR="004218F4" w:rsidRPr="004218F4">
        <w:t xml:space="preserve"> </w:t>
      </w:r>
      <w:r w:rsidR="004218F4">
        <w:rPr>
          <w:rFonts w:ascii="Times New Roman" w:hAnsi="Times New Roman" w:cs="Times New Roman"/>
        </w:rPr>
        <w:fldChar w:fldCharType="begin"/>
      </w:r>
      <w:r w:rsidR="004218F4">
        <w:rPr>
          <w:rFonts w:ascii="Times New Roman" w:hAnsi="Times New Roman" w:cs="Times New Roman"/>
        </w:rPr>
        <w:instrText xml:space="preserve"> ADDIN EN.CITE &lt;EndNote&gt;&lt;Cite&gt;&lt;Author&gt;Na&lt;/Author&gt;&lt;Year&gt;2020&lt;/Year&gt;&lt;RecNum&gt;87&lt;/RecNum&gt;&lt;DisplayText&gt;&lt;style size="10"&gt;[3]&lt;/style&gt;&lt;/DisplayText&gt;&lt;record&gt;&lt;rec-number&gt;87&lt;/rec-number&gt;&lt;foreign-keys&gt;&lt;key app="EN" db-id="aetxwzwr9t9wxmetvzg52s0vtzwttxaared9" timestamp="1654788896"&gt;87&lt;/key&gt;&lt;/foreign-keys&gt;&lt;ref-type name="Journal Article"&gt;17&lt;/ref-type&gt;&lt;contributors&gt;&lt;authors&gt;&lt;author&gt;Na, Kyung-Sun&lt;/author&gt;&lt;author&gt;Kim, Jin-Ho&lt;/author&gt;&lt;author&gt;Paik, Ji-Sun&lt;/author&gt;&lt;author&gt;Cho, Won-Kyung&lt;/author&gt;&lt;author&gt;Ha, Minji&lt;/author&gt;&lt;author&gt;Park, Yong-Gyu&lt;/author&gt;&lt;author&gt;Yang, Suk-Woo&lt;/author&gt;&lt;/authors&gt;&lt;/contributors&gt;&lt;titles&gt;&lt;title&gt;Underweight increases the risk of primary open-angle glaucoma in diabetes patients: A Korean nationwide cohort study&lt;/title&gt;&lt;secondary-title&gt;Medicine&lt;/secondary-title&gt;&lt;/titles&gt;&lt;periodical&gt;&lt;full-title&gt;Medicine&lt;/full-title&gt;&lt;/periodical&gt;&lt;pages&gt;e19285&lt;/pages&gt;&lt;volume&gt;99&lt;/volume&gt;&lt;number&gt;10&lt;/number&gt;&lt;keywords&gt;&lt;keyword&gt;body mass index&lt;/keyword&gt;&lt;keyword&gt;cohort studies&lt;/keyword&gt;&lt;keyword&gt;diabetes mellitus&lt;/keyword&gt;&lt;keyword&gt;glaucoma&lt;/keyword&gt;&lt;keyword&gt;Korea&lt;/keyword&gt;&lt;keyword&gt;underweight&lt;/keyword&gt;&lt;/keywords&gt;&lt;dates&gt;&lt;year&gt;2020&lt;/year&gt;&lt;/dates&gt;&lt;isbn&gt;0025-7974&lt;/isbn&gt;&lt;accession-num&gt;00005792-202003060-00019&lt;/accession-num&gt;&lt;urls&gt;&lt;related-urls&gt;&lt;url&gt;https://journals.lww.com/md-journal/Fulltext/2020/03060/Underweight_increases_the_risk_of_primary.19.aspx&lt;/url&gt;&lt;/related-urls&gt;&lt;/urls&gt;&lt;electronic-resource-num&gt;10.1097/md.0000000000019285&lt;/electronic-resource-num&gt;&lt;/record&gt;&lt;/Cite&gt;&lt;/EndNote&gt;</w:instrText>
      </w:r>
      <w:r w:rsidR="004218F4">
        <w:rPr>
          <w:rFonts w:ascii="Times New Roman" w:hAnsi="Times New Roman" w:cs="Times New Roman"/>
        </w:rPr>
        <w:fldChar w:fldCharType="separate"/>
      </w:r>
      <w:r w:rsidR="004218F4" w:rsidRPr="004218F4">
        <w:rPr>
          <w:rFonts w:ascii="Times New Roman" w:hAnsi="Times New Roman" w:cs="Times New Roman"/>
          <w:noProof/>
          <w:sz w:val="20"/>
        </w:rPr>
        <w:t>[3]</w:t>
      </w:r>
      <w:r w:rsidR="004218F4">
        <w:rPr>
          <w:rFonts w:ascii="Times New Roman" w:hAnsi="Times New Roman" w:cs="Times New Roman"/>
        </w:rPr>
        <w:fldChar w:fldCharType="end"/>
      </w:r>
      <w:r w:rsidR="004218F4">
        <w:rPr>
          <w:rFonts w:ascii="Times New Roman" w:hAnsi="Times New Roman" w:cs="Times New Roman"/>
        </w:rPr>
        <w:t xml:space="preserve"> Moreover, in a group of patients in which visual field loss progressed despite treatment with eye drops, lower BMI was associated with progression of visual field loss in normal-tension glaucoma patients. </w:t>
      </w:r>
      <w:r w:rsidR="004218F4">
        <w:rPr>
          <w:rFonts w:ascii="Times New Roman" w:hAnsi="Times New Roman" w:cs="Times New Roman"/>
        </w:rPr>
        <w:fldChar w:fldCharType="begin"/>
      </w:r>
      <w:r w:rsidR="004218F4">
        <w:rPr>
          <w:rFonts w:ascii="Times New Roman" w:hAnsi="Times New Roman" w:cs="Times New Roman"/>
        </w:rPr>
        <w:instrText xml:space="preserve"> ADDIN EN.CITE &lt;EndNote&gt;&lt;Cite&gt;&lt;Author&gt;Kim&lt;/Author&gt;&lt;Year&gt;2017&lt;/Year&gt;&lt;RecNum&gt;88&lt;/RecNum&gt;&lt;DisplayText&gt;&lt;style size="10"&gt;[4]&lt;/style&gt;&lt;/DisplayText&gt;&lt;record&gt;&lt;rec-number&gt;88&lt;/rec-number&gt;&lt;foreign-keys&gt;&lt;key app="EN" db-id="aetxwzwr9t9wxmetvzg52s0vtzwttxaared9" timestamp="1654789030"&gt;88&lt;/key&gt;&lt;/foreign-keys&gt;&lt;ref-type name="Journal Article"&gt;17&lt;/ref-type&gt;&lt;contributors&gt;&lt;authors&gt;&lt;author&gt;Kim, Ah Young&lt;/author&gt;&lt;author&gt;Han, Kyung Eun&lt;/author&gt;&lt;author&gt;Jun, Roo Min&lt;/author&gt;&lt;author&gt;Choi, Kyu Ryong&lt;/author&gt;&lt;/authors&gt;&lt;/contributors&gt;&lt;titles&gt;&lt;title&gt;Progression of Visual Field Loss and Body Mass Index in Normal Tension Glaucoma&lt;/title&gt;&lt;secondary-title&gt;jkos&lt;/secondary-title&gt;&lt;/titles&gt;&lt;periodical&gt;&lt;full-title&gt;jkos&lt;/full-title&gt;&lt;/periodical&gt;&lt;pages&gt;1404-1409&lt;/pages&gt;&lt;volume&gt;58&lt;/volume&gt;&lt;number&gt;12&lt;/number&gt;&lt;keywords&gt;&lt;keyword&gt;Body mass index&lt;/keyword&gt;&lt;keyword&gt;Normal tension glaucoma&lt;/keyword&gt;&lt;keyword&gt;Obesity&lt;/keyword&gt;&lt;keyword&gt;Visual field progression&lt;/keyword&gt;&lt;/keywords&gt;&lt;dates&gt;&lt;year&gt;2017&lt;/year&gt;&lt;/dates&gt;&lt;publisher&gt;The Korean Ophthalmological Society&lt;/publisher&gt;&lt;isbn&gt;0378-6471&lt;/isbn&gt;&lt;work-type&gt;doi: 10.3341/jkos.2017.58.12.1404&lt;/work-type&gt;&lt;urls&gt;&lt;related-urls&gt;&lt;url&gt;http://dx.doi.org/10.3341/jkos.2017.58.12.1404&lt;/url&gt;&lt;url&gt;http://www.e-sciencecentral.org/articles/?scid=1010689&lt;/url&gt;&lt;/related-urls&gt;&lt;/urls&gt;&lt;electronic-resource-num&gt;10.3341/jkos.2017.58.12.1404&lt;/electronic-resource-num&gt;&lt;/record&gt;&lt;/Cite&gt;&lt;/EndNote&gt;</w:instrText>
      </w:r>
      <w:r w:rsidR="004218F4">
        <w:rPr>
          <w:rFonts w:ascii="Times New Roman" w:hAnsi="Times New Roman" w:cs="Times New Roman"/>
        </w:rPr>
        <w:fldChar w:fldCharType="separate"/>
      </w:r>
      <w:r w:rsidR="004218F4" w:rsidRPr="004218F4">
        <w:rPr>
          <w:rFonts w:ascii="Times New Roman" w:hAnsi="Times New Roman" w:cs="Times New Roman"/>
          <w:noProof/>
          <w:sz w:val="20"/>
        </w:rPr>
        <w:t>[4]</w:t>
      </w:r>
      <w:r w:rsidR="004218F4">
        <w:rPr>
          <w:rFonts w:ascii="Times New Roman" w:hAnsi="Times New Roman" w:cs="Times New Roman"/>
        </w:rPr>
        <w:fldChar w:fldCharType="end"/>
      </w:r>
      <w:r w:rsidR="004218F4">
        <w:rPr>
          <w:rFonts w:ascii="Times New Roman" w:hAnsi="Times New Roman" w:cs="Times New Roman"/>
        </w:rPr>
        <w:t xml:space="preserve"> One possible explanation for this is that cerebrospinal fluid pressure (CSFP) has a positive, linear relationship with BMI.</w:t>
      </w:r>
      <w:r w:rsidR="004218F4" w:rsidRPr="004218F4">
        <w:t xml:space="preserve"> </w:t>
      </w:r>
      <w:r w:rsidR="004218F4">
        <w:rPr>
          <w:rFonts w:ascii="Times New Roman" w:hAnsi="Times New Roman" w:cs="Times New Roman"/>
        </w:rPr>
        <w:fldChar w:fldCharType="begin"/>
      </w:r>
      <w:r w:rsidR="004218F4">
        <w:rPr>
          <w:rFonts w:ascii="Times New Roman" w:hAnsi="Times New Roman" w:cs="Times New Roman"/>
        </w:rPr>
        <w:instrText xml:space="preserve"> ADDIN EN.CITE &lt;EndNote&gt;&lt;Cite&gt;&lt;Author&gt;Berdahl&lt;/Author&gt;&lt;Year&gt;2012&lt;/Year&gt;&lt;RecNum&gt;89&lt;/RecNum&gt;&lt;DisplayText&gt;&lt;style size="10"&gt;[5]&lt;/style&gt;&lt;/DisplayText&gt;&lt;record&gt;&lt;rec-number&gt;89&lt;/rec-number&gt;&lt;foreign-keys&gt;&lt;key app="EN" db-id="aetxwzwr9t9wxmetvzg52s0vtzwttxaared9" timestamp="1654789246"&gt;89&lt;/key&gt;&lt;/foreign-keys&gt;&lt;ref-type name="Journal Article"&gt;17&lt;/ref-type&gt;&lt;contributors&gt;&lt;authors&gt;&lt;author&gt;Berdahl, John P.&lt;/author&gt;&lt;author&gt;Fleischman, David&lt;/author&gt;&lt;author&gt;Zaydlarova, Jana&lt;/author&gt;&lt;author&gt;Stinnett, Sandra&lt;/author&gt;&lt;author&gt;Allingham, R. Rand&lt;/author&gt;&lt;author&gt;Fautsch, Michael P.&lt;/author&gt;&lt;/authors&gt;&lt;/contributors&gt;&lt;titles&gt;&lt;title&gt;Body Mass Index Has a Linear Relationship with Cerebrospinal Fluid Pressure&lt;/title&gt;&lt;secondary-title&gt;Investigative Ophthalmology &amp;amp; Visual Science&lt;/secondary-title&gt;&lt;/titles&gt;&lt;periodical&gt;&lt;full-title&gt;Investigative Ophthalmology &amp;amp; Visual Science&lt;/full-title&gt;&lt;/periodical&gt;&lt;pages&gt;1422-1427&lt;/pages&gt;&lt;volume&gt;53&lt;/volume&gt;&lt;number&gt;3&lt;/number&gt;&lt;dates&gt;&lt;year&gt;2012&lt;/year&gt;&lt;/dates&gt;&lt;isbn&gt;1552-5783&lt;/isbn&gt;&lt;urls&gt;&lt;related-urls&gt;&lt;url&gt;https://doi.org/10.1167/iovs.11-8220&lt;/url&gt;&lt;/related-urls&gt;&lt;/urls&gt;&lt;electronic-resource-num&gt;10.1167/iovs.11-8220&lt;/electronic-resource-num&gt;&lt;access-date&gt;6/9/2022&lt;/access-date&gt;&lt;/record&gt;&lt;/Cite&gt;&lt;/EndNote&gt;</w:instrText>
      </w:r>
      <w:r w:rsidR="004218F4">
        <w:rPr>
          <w:rFonts w:ascii="Times New Roman" w:hAnsi="Times New Roman" w:cs="Times New Roman"/>
        </w:rPr>
        <w:fldChar w:fldCharType="separate"/>
      </w:r>
      <w:r w:rsidR="004218F4" w:rsidRPr="004218F4">
        <w:rPr>
          <w:rFonts w:ascii="Times New Roman" w:hAnsi="Times New Roman" w:cs="Times New Roman"/>
          <w:noProof/>
          <w:sz w:val="20"/>
        </w:rPr>
        <w:t>[5]</w:t>
      </w:r>
      <w:r w:rsidR="004218F4">
        <w:rPr>
          <w:rFonts w:ascii="Times New Roman" w:hAnsi="Times New Roman" w:cs="Times New Roman"/>
        </w:rPr>
        <w:fldChar w:fldCharType="end"/>
      </w:r>
      <w:r w:rsidR="004218F4">
        <w:rPr>
          <w:rFonts w:ascii="Times New Roman" w:hAnsi="Times New Roman" w:cs="Times New Roman"/>
        </w:rPr>
        <w:t xml:space="preserve"> As reduced CSFP may be a risk factor for primary OAG, individuals with lower BMI may have an increased risk for developing primary OAG. </w:t>
      </w:r>
      <w:r w:rsidR="004218F4">
        <w:rPr>
          <w:rFonts w:ascii="Times New Roman" w:hAnsi="Times New Roman" w:cs="Times New Roman"/>
        </w:rPr>
        <w:fldChar w:fldCharType="begin"/>
      </w:r>
      <w:r w:rsidR="004218F4">
        <w:rPr>
          <w:rFonts w:ascii="Times New Roman" w:hAnsi="Times New Roman" w:cs="Times New Roman"/>
        </w:rPr>
        <w:instrText xml:space="preserve"> ADDIN EN.CITE &lt;EndNote&gt;&lt;Cite&gt;&lt;Author&gt;Fleischman&lt;/Author&gt;&lt;Year&gt;2012&lt;/Year&gt;&lt;RecNum&gt;90&lt;/RecNum&gt;&lt;DisplayText&gt;&lt;style size="10"&gt;[6]&lt;/style&gt;&lt;/DisplayText&gt;&lt;record&gt;&lt;rec-number&gt;90&lt;/rec-number&gt;&lt;foreign-keys&gt;&lt;key app="EN" db-id="aetxwzwr9t9wxmetvzg52s0vtzwttxaared9" timestamp="1654789287"&gt;90&lt;/key&gt;&lt;/foreign-keys&gt;&lt;ref-type name="Journal Article"&gt;17&lt;/ref-type&gt;&lt;contributors&gt;&lt;authors&gt;&lt;author&gt;Fleischman, D.&lt;/author&gt;&lt;author&gt;Berdahl, J. P.&lt;/author&gt;&lt;author&gt;Zaydlarova, J.&lt;/author&gt;&lt;author&gt;Stinnett, S.&lt;/author&gt;&lt;author&gt;Fautsch, M. P.&lt;/author&gt;&lt;author&gt;Allingham, R. R.&lt;/author&gt;&lt;/authors&gt;&lt;/contributors&gt;&lt;auth-address&gt;Department of Ophthalmology, University of North Carolina, Chapel Hill, North Carolina, United States of America.&lt;/auth-address&gt;&lt;titles&gt;&lt;title&gt;Cerebrospinal fluid pressure decreases with older age&lt;/title&gt;&lt;secondary-title&gt;PLoS One&lt;/secondary-title&gt;&lt;/titles&gt;&lt;periodical&gt;&lt;full-title&gt;PLoS One&lt;/full-title&gt;&lt;/periodical&gt;&lt;pages&gt;e52664&lt;/pages&gt;&lt;volume&gt;7&lt;/volume&gt;&lt;number&gt;12&lt;/number&gt;&lt;keywords&gt;&lt;keyword&gt;Adult&lt;/keyword&gt;&lt;keyword&gt;Age Factors&lt;/keyword&gt;&lt;keyword&gt;Aged&lt;/keyword&gt;&lt;keyword&gt;Aged, 80 and over&lt;/keyword&gt;&lt;keyword&gt;Body Mass Index&lt;/keyword&gt;&lt;keyword&gt;Cerebrospinal Fluid Pressure&lt;/keyword&gt;&lt;keyword&gt;Female&lt;/keyword&gt;&lt;keyword&gt;Glaucoma, Open-Angle/physiopathology&lt;/keyword&gt;&lt;keyword&gt;Humans&lt;/keyword&gt;&lt;keyword&gt;Intraocular Pressure&lt;/keyword&gt;&lt;keyword&gt;Male&lt;/keyword&gt;&lt;keyword&gt;Middle Aged&lt;/keyword&gt;&lt;keyword&gt;Multivariate Analysis&lt;/keyword&gt;&lt;keyword&gt;Retrospective Studies&lt;/keyword&gt;&lt;keyword&gt;Risk Factors&lt;/keyword&gt;&lt;keyword&gt;Sex Factors&lt;/keyword&gt;&lt;keyword&gt;Young Adult&lt;/keyword&gt;&lt;/keywords&gt;&lt;dates&gt;&lt;year&gt;2012&lt;/year&gt;&lt;/dates&gt;&lt;isbn&gt;1932-6203 (Electronic)&amp;#xD;1932-6203 (Linking)&lt;/isbn&gt;&lt;accession-num&gt;23300737&lt;/accession-num&gt;&lt;urls&gt;&lt;/urls&gt;&lt;/record&gt;&lt;/Cite&gt;&lt;/EndNote&gt;</w:instrText>
      </w:r>
      <w:r w:rsidR="004218F4">
        <w:rPr>
          <w:rFonts w:ascii="Times New Roman" w:hAnsi="Times New Roman" w:cs="Times New Roman"/>
        </w:rPr>
        <w:fldChar w:fldCharType="separate"/>
      </w:r>
      <w:r w:rsidR="004218F4" w:rsidRPr="004218F4">
        <w:rPr>
          <w:rFonts w:ascii="Times New Roman" w:hAnsi="Times New Roman" w:cs="Times New Roman"/>
          <w:noProof/>
          <w:sz w:val="20"/>
        </w:rPr>
        <w:t>[6]</w:t>
      </w:r>
      <w:r w:rsidR="004218F4">
        <w:rPr>
          <w:rFonts w:ascii="Times New Roman" w:hAnsi="Times New Roman" w:cs="Times New Roman"/>
        </w:rPr>
        <w:fldChar w:fldCharType="end"/>
      </w:r>
      <w:r w:rsidR="009A2325">
        <w:rPr>
          <w:rFonts w:ascii="Times New Roman" w:hAnsi="Times New Roman" w:cs="Times New Roman"/>
        </w:rPr>
        <w:t xml:space="preserve"> </w:t>
      </w:r>
      <w:r w:rsidR="004218F4">
        <w:rPr>
          <w:rFonts w:ascii="Times New Roman" w:hAnsi="Times New Roman" w:cs="Times New Roman"/>
        </w:rPr>
        <w:t xml:space="preserve">Again, a higher BMI may be protective. </w:t>
      </w:r>
    </w:p>
    <w:p w14:paraId="52895C21" w14:textId="77777777" w:rsidR="009A2325" w:rsidRDefault="009A2325" w:rsidP="00E65235">
      <w:pPr>
        <w:pStyle w:val="Geenafstand"/>
        <w:jc w:val="both"/>
        <w:rPr>
          <w:rFonts w:ascii="Times New Roman" w:hAnsi="Times New Roman" w:cs="Times New Roman"/>
        </w:rPr>
      </w:pPr>
    </w:p>
    <w:p w14:paraId="4ADB8531" w14:textId="6ACC81B4" w:rsidR="009C5C17" w:rsidRDefault="00DA5902" w:rsidP="00E65235">
      <w:pPr>
        <w:pStyle w:val="Geenafstand"/>
        <w:jc w:val="both"/>
        <w:rPr>
          <w:rFonts w:ascii="Times New Roman" w:hAnsi="Times New Roman" w:cs="Times New Roman"/>
        </w:rPr>
      </w:pPr>
      <w:r>
        <w:rPr>
          <w:rFonts w:ascii="Times New Roman" w:hAnsi="Times New Roman" w:cs="Times New Roman"/>
        </w:rPr>
        <w:t>W</w:t>
      </w:r>
      <w:r w:rsidR="009A2325">
        <w:rPr>
          <w:rFonts w:ascii="Times New Roman" w:hAnsi="Times New Roman" w:cs="Times New Roman"/>
        </w:rPr>
        <w:t xml:space="preserve">e acknowledge that BMI is an important confounder in our </w:t>
      </w:r>
      <w:r>
        <w:rPr>
          <w:rFonts w:ascii="Times New Roman" w:hAnsi="Times New Roman" w:cs="Times New Roman"/>
        </w:rPr>
        <w:t>study</w:t>
      </w:r>
      <w:r w:rsidR="009A2325">
        <w:rPr>
          <w:rFonts w:ascii="Times New Roman" w:hAnsi="Times New Roman" w:cs="Times New Roman"/>
        </w:rPr>
        <w:t xml:space="preserve">, </w:t>
      </w:r>
      <w:r>
        <w:rPr>
          <w:rFonts w:ascii="Times New Roman" w:hAnsi="Times New Roman" w:cs="Times New Roman"/>
        </w:rPr>
        <w:t xml:space="preserve">as BMI is </w:t>
      </w:r>
      <w:r w:rsidR="009A2325">
        <w:rPr>
          <w:rFonts w:ascii="Times New Roman" w:hAnsi="Times New Roman" w:cs="Times New Roman"/>
        </w:rPr>
        <w:t xml:space="preserve">associated with both our outcome (OAG) and </w:t>
      </w:r>
      <w:r>
        <w:rPr>
          <w:rFonts w:ascii="Times New Roman" w:hAnsi="Times New Roman" w:cs="Times New Roman"/>
        </w:rPr>
        <w:t>exposure (diet). We</w:t>
      </w:r>
      <w:r w:rsidR="009A2325">
        <w:rPr>
          <w:rFonts w:ascii="Times New Roman" w:hAnsi="Times New Roman" w:cs="Times New Roman"/>
        </w:rPr>
        <w:t xml:space="preserve"> have</w:t>
      </w:r>
      <w:r>
        <w:rPr>
          <w:rFonts w:ascii="Times New Roman" w:hAnsi="Times New Roman" w:cs="Times New Roman"/>
        </w:rPr>
        <w:t xml:space="preserve"> therefore</w:t>
      </w:r>
      <w:r w:rsidR="009A2325">
        <w:rPr>
          <w:rFonts w:ascii="Times New Roman" w:hAnsi="Times New Roman" w:cs="Times New Roman"/>
        </w:rPr>
        <w:t xml:space="preserve"> included BMI as covariate in our main model. </w:t>
      </w:r>
      <w:r>
        <w:rPr>
          <w:rFonts w:ascii="Times New Roman" w:hAnsi="Times New Roman" w:cs="Times New Roman"/>
        </w:rPr>
        <w:t>A</w:t>
      </w:r>
      <w:r w:rsidR="009A2325">
        <w:rPr>
          <w:rFonts w:ascii="Times New Roman" w:hAnsi="Times New Roman" w:cs="Times New Roman"/>
        </w:rPr>
        <w:t>dding or removing BMI from the</w:t>
      </w:r>
      <w:r w:rsidR="001D6DD7">
        <w:rPr>
          <w:rFonts w:ascii="Times New Roman" w:hAnsi="Times New Roman" w:cs="Times New Roman"/>
        </w:rPr>
        <w:t xml:space="preserve"> multivariate</w:t>
      </w:r>
      <w:r w:rsidR="009A2325">
        <w:rPr>
          <w:rFonts w:ascii="Times New Roman" w:hAnsi="Times New Roman" w:cs="Times New Roman"/>
        </w:rPr>
        <w:t xml:space="preserve"> model</w:t>
      </w:r>
      <w:r w:rsidR="001D6DD7">
        <w:rPr>
          <w:rFonts w:ascii="Times New Roman" w:hAnsi="Times New Roman" w:cs="Times New Roman"/>
        </w:rPr>
        <w:t xml:space="preserve"> (model 1)</w:t>
      </w:r>
      <w:r>
        <w:rPr>
          <w:rFonts w:ascii="Times New Roman" w:hAnsi="Times New Roman" w:cs="Times New Roman"/>
        </w:rPr>
        <w:t xml:space="preserve"> did not change the results, as can be seen in the table below. </w:t>
      </w:r>
    </w:p>
    <w:p w14:paraId="2E40C166" w14:textId="77777777" w:rsidR="001D6DD7" w:rsidRDefault="001D6DD7" w:rsidP="00E65235">
      <w:pPr>
        <w:pStyle w:val="Geenafstand"/>
        <w:jc w:val="both"/>
        <w:rPr>
          <w:rFonts w:ascii="Times New Roman" w:hAnsi="Times New Roman" w:cs="Times New Roman"/>
        </w:rPr>
      </w:pPr>
    </w:p>
    <w:tbl>
      <w:tblPr>
        <w:tblStyle w:val="Tabelraster"/>
        <w:tblW w:w="8714" w:type="dxa"/>
        <w:tblLook w:val="04A0" w:firstRow="1" w:lastRow="0" w:firstColumn="1" w:lastColumn="0" w:noHBand="0" w:noVBand="1"/>
      </w:tblPr>
      <w:tblGrid>
        <w:gridCol w:w="5959"/>
        <w:gridCol w:w="1756"/>
        <w:gridCol w:w="999"/>
      </w:tblGrid>
      <w:tr w:rsidR="009A2325" w14:paraId="1933D422" w14:textId="77777777" w:rsidTr="009A2325">
        <w:tc>
          <w:tcPr>
            <w:tcW w:w="5959" w:type="dxa"/>
          </w:tcPr>
          <w:p w14:paraId="727AED4A" w14:textId="77777777" w:rsidR="009A2325" w:rsidRDefault="009A2325" w:rsidP="00E65235">
            <w:pPr>
              <w:pStyle w:val="Geenafstand"/>
              <w:jc w:val="both"/>
              <w:rPr>
                <w:rFonts w:ascii="Times New Roman" w:hAnsi="Times New Roman" w:cs="Times New Roman"/>
              </w:rPr>
            </w:pPr>
          </w:p>
        </w:tc>
        <w:tc>
          <w:tcPr>
            <w:tcW w:w="1756" w:type="dxa"/>
          </w:tcPr>
          <w:p w14:paraId="70EE291D" w14:textId="78215362" w:rsidR="009A2325" w:rsidRDefault="009A2325" w:rsidP="00E65235">
            <w:pPr>
              <w:pStyle w:val="Geenafstand"/>
              <w:jc w:val="both"/>
              <w:rPr>
                <w:rFonts w:ascii="Times New Roman" w:hAnsi="Times New Roman" w:cs="Times New Roman"/>
              </w:rPr>
            </w:pPr>
            <w:r>
              <w:rPr>
                <w:rFonts w:ascii="Times New Roman" w:hAnsi="Times New Roman" w:cs="Times New Roman"/>
              </w:rPr>
              <w:t>OR (95%CI)</w:t>
            </w:r>
          </w:p>
        </w:tc>
        <w:tc>
          <w:tcPr>
            <w:tcW w:w="999" w:type="dxa"/>
          </w:tcPr>
          <w:p w14:paraId="7BAC39D6" w14:textId="106D2C15" w:rsidR="009A2325" w:rsidRDefault="009A2325" w:rsidP="00E65235">
            <w:pPr>
              <w:pStyle w:val="Geenafstand"/>
              <w:jc w:val="both"/>
              <w:rPr>
                <w:rFonts w:ascii="Times New Roman" w:hAnsi="Times New Roman" w:cs="Times New Roman"/>
              </w:rPr>
            </w:pPr>
            <w:r>
              <w:rPr>
                <w:rFonts w:ascii="Times New Roman" w:hAnsi="Times New Roman" w:cs="Times New Roman"/>
              </w:rPr>
              <w:t>P-value</w:t>
            </w:r>
          </w:p>
        </w:tc>
      </w:tr>
      <w:tr w:rsidR="009A2325" w14:paraId="21CB3928" w14:textId="77777777" w:rsidTr="009A2325">
        <w:tc>
          <w:tcPr>
            <w:tcW w:w="5959" w:type="dxa"/>
          </w:tcPr>
          <w:p w14:paraId="745DECE6" w14:textId="129D9D92" w:rsidR="009A2325" w:rsidRDefault="009A2325" w:rsidP="00E65235">
            <w:pPr>
              <w:pStyle w:val="Geenafstand"/>
              <w:jc w:val="both"/>
              <w:rPr>
                <w:rFonts w:ascii="Times New Roman" w:hAnsi="Times New Roman" w:cs="Times New Roman"/>
              </w:rPr>
            </w:pPr>
            <w:r>
              <w:rPr>
                <w:rFonts w:ascii="Times New Roman" w:hAnsi="Times New Roman" w:cs="Times New Roman"/>
              </w:rPr>
              <w:t>Total dietary nitrate intake (per 10 mg/day)</w:t>
            </w:r>
          </w:p>
        </w:tc>
        <w:tc>
          <w:tcPr>
            <w:tcW w:w="1756" w:type="dxa"/>
          </w:tcPr>
          <w:p w14:paraId="52561782" w14:textId="380CA66B" w:rsidR="009A2325" w:rsidRDefault="009A2325" w:rsidP="00E65235">
            <w:pPr>
              <w:pStyle w:val="Geenafstand"/>
              <w:jc w:val="both"/>
              <w:rPr>
                <w:rFonts w:ascii="Times New Roman" w:hAnsi="Times New Roman" w:cs="Times New Roman"/>
              </w:rPr>
            </w:pPr>
          </w:p>
        </w:tc>
        <w:tc>
          <w:tcPr>
            <w:tcW w:w="999" w:type="dxa"/>
          </w:tcPr>
          <w:p w14:paraId="4BD0BC0E" w14:textId="42906201" w:rsidR="009A2325" w:rsidRDefault="009A2325" w:rsidP="00E65235">
            <w:pPr>
              <w:pStyle w:val="Geenafstand"/>
              <w:jc w:val="both"/>
              <w:rPr>
                <w:rFonts w:ascii="Times New Roman" w:hAnsi="Times New Roman" w:cs="Times New Roman"/>
              </w:rPr>
            </w:pPr>
          </w:p>
        </w:tc>
      </w:tr>
      <w:tr w:rsidR="009A2325" w14:paraId="0B5341C7" w14:textId="77777777" w:rsidTr="009A2325">
        <w:tc>
          <w:tcPr>
            <w:tcW w:w="5959" w:type="dxa"/>
          </w:tcPr>
          <w:p w14:paraId="0C5C85BB" w14:textId="59973195" w:rsidR="009A2325" w:rsidRDefault="009A2325" w:rsidP="009A2325">
            <w:pPr>
              <w:pStyle w:val="Geenafstand"/>
              <w:jc w:val="both"/>
              <w:rPr>
                <w:rFonts w:ascii="Times New Roman" w:hAnsi="Times New Roman" w:cs="Times New Roman"/>
              </w:rPr>
            </w:pPr>
            <w:r>
              <w:rPr>
                <w:rFonts w:ascii="Times New Roman" w:hAnsi="Times New Roman" w:cs="Times New Roman"/>
              </w:rPr>
              <w:t xml:space="preserve">   Model 1 (including BMI)</w:t>
            </w:r>
          </w:p>
        </w:tc>
        <w:tc>
          <w:tcPr>
            <w:tcW w:w="1756" w:type="dxa"/>
          </w:tcPr>
          <w:p w14:paraId="54831460" w14:textId="1EBC60C5" w:rsidR="009A2325" w:rsidRDefault="009A2325" w:rsidP="009A2325">
            <w:pPr>
              <w:pStyle w:val="Geenafstand"/>
              <w:jc w:val="both"/>
              <w:rPr>
                <w:rFonts w:ascii="Times New Roman" w:hAnsi="Times New Roman" w:cs="Times New Roman"/>
              </w:rPr>
            </w:pPr>
            <w:r>
              <w:rPr>
                <w:rFonts w:ascii="Times New Roman" w:hAnsi="Times New Roman" w:cs="Times New Roman"/>
              </w:rPr>
              <w:t>0.95 (0.91-0.98)</w:t>
            </w:r>
          </w:p>
        </w:tc>
        <w:tc>
          <w:tcPr>
            <w:tcW w:w="999" w:type="dxa"/>
          </w:tcPr>
          <w:p w14:paraId="43B17E9E" w14:textId="7505ECD4" w:rsidR="009A2325" w:rsidRDefault="009A2325" w:rsidP="009A2325">
            <w:pPr>
              <w:pStyle w:val="Geenafstand"/>
              <w:jc w:val="both"/>
              <w:rPr>
                <w:rFonts w:ascii="Times New Roman" w:hAnsi="Times New Roman" w:cs="Times New Roman"/>
              </w:rPr>
            </w:pPr>
            <w:r>
              <w:rPr>
                <w:rFonts w:ascii="Times New Roman" w:hAnsi="Times New Roman" w:cs="Times New Roman"/>
              </w:rPr>
              <w:t>.002</w:t>
            </w:r>
          </w:p>
        </w:tc>
      </w:tr>
      <w:tr w:rsidR="009A2325" w14:paraId="6B69310A" w14:textId="77777777" w:rsidTr="009A2325">
        <w:tc>
          <w:tcPr>
            <w:tcW w:w="5959" w:type="dxa"/>
          </w:tcPr>
          <w:p w14:paraId="140F229F" w14:textId="731CD6E6" w:rsidR="009A2325" w:rsidRPr="009A2325" w:rsidRDefault="009A2325" w:rsidP="009A2325">
            <w:pPr>
              <w:pStyle w:val="Geenafstand"/>
              <w:jc w:val="both"/>
              <w:rPr>
                <w:rFonts w:ascii="Times New Roman" w:hAnsi="Times New Roman" w:cs="Times New Roman"/>
                <w:i/>
              </w:rPr>
            </w:pPr>
            <w:r w:rsidRPr="009A2325">
              <w:rPr>
                <w:rFonts w:ascii="Times New Roman" w:hAnsi="Times New Roman" w:cs="Times New Roman"/>
                <w:i/>
              </w:rPr>
              <w:t xml:space="preserve">   Model 1 (excluding BMI)</w:t>
            </w:r>
          </w:p>
        </w:tc>
        <w:tc>
          <w:tcPr>
            <w:tcW w:w="1756" w:type="dxa"/>
          </w:tcPr>
          <w:p w14:paraId="23AFF180" w14:textId="7EE2B43A" w:rsidR="009A2325" w:rsidRPr="009A2325" w:rsidRDefault="009A2325" w:rsidP="009A2325">
            <w:pPr>
              <w:pStyle w:val="Geenafstand"/>
              <w:jc w:val="both"/>
              <w:rPr>
                <w:rFonts w:ascii="Times New Roman" w:hAnsi="Times New Roman" w:cs="Times New Roman"/>
                <w:i/>
              </w:rPr>
            </w:pPr>
            <w:r>
              <w:rPr>
                <w:rFonts w:ascii="Times New Roman" w:hAnsi="Times New Roman" w:cs="Times New Roman"/>
                <w:i/>
              </w:rPr>
              <w:t>0.94 (0.91-0.97)</w:t>
            </w:r>
          </w:p>
        </w:tc>
        <w:tc>
          <w:tcPr>
            <w:tcW w:w="999" w:type="dxa"/>
          </w:tcPr>
          <w:p w14:paraId="2FD076C5" w14:textId="7F5B814A" w:rsidR="009A2325" w:rsidRPr="009A2325" w:rsidRDefault="009A2325" w:rsidP="001D6DD7">
            <w:pPr>
              <w:pStyle w:val="Geenafstand"/>
              <w:jc w:val="both"/>
              <w:rPr>
                <w:rFonts w:ascii="Times New Roman" w:hAnsi="Times New Roman" w:cs="Times New Roman"/>
                <w:i/>
              </w:rPr>
            </w:pPr>
            <w:r>
              <w:rPr>
                <w:rFonts w:ascii="Times New Roman" w:hAnsi="Times New Roman" w:cs="Times New Roman"/>
                <w:i/>
              </w:rPr>
              <w:t>&lt;.001</w:t>
            </w:r>
          </w:p>
        </w:tc>
      </w:tr>
      <w:tr w:rsidR="009A2325" w14:paraId="728FE29C" w14:textId="77777777" w:rsidTr="009A2325">
        <w:tc>
          <w:tcPr>
            <w:tcW w:w="5959" w:type="dxa"/>
          </w:tcPr>
          <w:p w14:paraId="3D8B45CB" w14:textId="31F2C4E3" w:rsidR="009A2325" w:rsidRDefault="009A2325" w:rsidP="009A2325">
            <w:pPr>
              <w:pStyle w:val="Geenafstand"/>
              <w:jc w:val="both"/>
              <w:rPr>
                <w:rFonts w:ascii="Times New Roman" w:hAnsi="Times New Roman" w:cs="Times New Roman"/>
              </w:rPr>
            </w:pPr>
            <w:r>
              <w:rPr>
                <w:rFonts w:ascii="Times New Roman" w:hAnsi="Times New Roman" w:cs="Times New Roman"/>
              </w:rPr>
              <w:t>Vegetable dietary nitrate intake (per 10 mg/day)</w:t>
            </w:r>
          </w:p>
        </w:tc>
        <w:tc>
          <w:tcPr>
            <w:tcW w:w="1756" w:type="dxa"/>
          </w:tcPr>
          <w:p w14:paraId="23014BA6" w14:textId="79F32EED" w:rsidR="009A2325" w:rsidRDefault="009A2325" w:rsidP="009A2325">
            <w:pPr>
              <w:pStyle w:val="Geenafstand"/>
              <w:jc w:val="both"/>
              <w:rPr>
                <w:rFonts w:ascii="Times New Roman" w:hAnsi="Times New Roman" w:cs="Times New Roman"/>
              </w:rPr>
            </w:pPr>
          </w:p>
        </w:tc>
        <w:tc>
          <w:tcPr>
            <w:tcW w:w="999" w:type="dxa"/>
          </w:tcPr>
          <w:p w14:paraId="03BFDD0D" w14:textId="77777777" w:rsidR="009A2325" w:rsidRDefault="009A2325" w:rsidP="009A2325">
            <w:pPr>
              <w:pStyle w:val="Geenafstand"/>
              <w:jc w:val="both"/>
              <w:rPr>
                <w:rFonts w:ascii="Times New Roman" w:hAnsi="Times New Roman" w:cs="Times New Roman"/>
              </w:rPr>
            </w:pPr>
          </w:p>
        </w:tc>
      </w:tr>
      <w:tr w:rsidR="009A2325" w14:paraId="5BF39A20" w14:textId="77777777" w:rsidTr="009A2325">
        <w:tc>
          <w:tcPr>
            <w:tcW w:w="5959" w:type="dxa"/>
          </w:tcPr>
          <w:p w14:paraId="14F55EEE" w14:textId="489F40E0" w:rsidR="009A2325" w:rsidRDefault="009A2325" w:rsidP="009A2325">
            <w:pPr>
              <w:pStyle w:val="Geenafstand"/>
              <w:jc w:val="both"/>
              <w:rPr>
                <w:rFonts w:ascii="Times New Roman" w:hAnsi="Times New Roman" w:cs="Times New Roman"/>
              </w:rPr>
            </w:pPr>
            <w:r>
              <w:rPr>
                <w:rFonts w:ascii="Times New Roman" w:hAnsi="Times New Roman" w:cs="Times New Roman"/>
              </w:rPr>
              <w:t xml:space="preserve">   Model 1 (including BMI)</w:t>
            </w:r>
          </w:p>
        </w:tc>
        <w:tc>
          <w:tcPr>
            <w:tcW w:w="1756" w:type="dxa"/>
          </w:tcPr>
          <w:p w14:paraId="24478570" w14:textId="7A00DE20" w:rsidR="009A2325" w:rsidRDefault="009A2325" w:rsidP="009A2325">
            <w:pPr>
              <w:pStyle w:val="Geenafstand"/>
              <w:jc w:val="both"/>
              <w:rPr>
                <w:rFonts w:ascii="Times New Roman" w:hAnsi="Times New Roman" w:cs="Times New Roman"/>
              </w:rPr>
            </w:pPr>
            <w:r>
              <w:rPr>
                <w:rFonts w:ascii="Times New Roman" w:hAnsi="Times New Roman" w:cs="Times New Roman"/>
              </w:rPr>
              <w:t>0.95 (0.91-0.98)</w:t>
            </w:r>
          </w:p>
        </w:tc>
        <w:tc>
          <w:tcPr>
            <w:tcW w:w="999" w:type="dxa"/>
          </w:tcPr>
          <w:p w14:paraId="66D6DD45" w14:textId="747BF2E2" w:rsidR="009A2325" w:rsidRDefault="009A2325" w:rsidP="009A2325">
            <w:pPr>
              <w:pStyle w:val="Geenafstand"/>
              <w:jc w:val="both"/>
              <w:rPr>
                <w:rFonts w:ascii="Times New Roman" w:hAnsi="Times New Roman" w:cs="Times New Roman"/>
              </w:rPr>
            </w:pPr>
            <w:r>
              <w:rPr>
                <w:rFonts w:ascii="Times New Roman" w:hAnsi="Times New Roman" w:cs="Times New Roman"/>
              </w:rPr>
              <w:t>.004</w:t>
            </w:r>
          </w:p>
        </w:tc>
      </w:tr>
      <w:tr w:rsidR="009A2325" w14:paraId="3B50EDEC" w14:textId="77777777" w:rsidTr="009A2325">
        <w:tc>
          <w:tcPr>
            <w:tcW w:w="5959" w:type="dxa"/>
          </w:tcPr>
          <w:p w14:paraId="2B6C9358" w14:textId="4AB64361" w:rsidR="009A2325" w:rsidRPr="009A2325" w:rsidRDefault="009A2325" w:rsidP="009A2325">
            <w:pPr>
              <w:pStyle w:val="Geenafstand"/>
              <w:jc w:val="both"/>
              <w:rPr>
                <w:rFonts w:ascii="Times New Roman" w:hAnsi="Times New Roman" w:cs="Times New Roman"/>
                <w:i/>
              </w:rPr>
            </w:pPr>
            <w:r w:rsidRPr="009A2325">
              <w:rPr>
                <w:rFonts w:ascii="Times New Roman" w:hAnsi="Times New Roman" w:cs="Times New Roman"/>
                <w:i/>
              </w:rPr>
              <w:t xml:space="preserve">   Model 1 (excluding BM</w:t>
            </w:r>
            <w:r w:rsidR="006F7139">
              <w:rPr>
                <w:rFonts w:ascii="Times New Roman" w:hAnsi="Times New Roman" w:cs="Times New Roman"/>
                <w:i/>
              </w:rPr>
              <w:t>I</w:t>
            </w:r>
            <w:r w:rsidRPr="009A2325">
              <w:rPr>
                <w:rFonts w:ascii="Times New Roman" w:hAnsi="Times New Roman" w:cs="Times New Roman"/>
                <w:i/>
              </w:rPr>
              <w:t>)</w:t>
            </w:r>
          </w:p>
        </w:tc>
        <w:tc>
          <w:tcPr>
            <w:tcW w:w="1756" w:type="dxa"/>
          </w:tcPr>
          <w:p w14:paraId="7F5D6903" w14:textId="1C94A9F6" w:rsidR="009A2325" w:rsidRPr="009A2325" w:rsidRDefault="009A2325" w:rsidP="009A2325">
            <w:pPr>
              <w:pStyle w:val="Geenafstand"/>
              <w:jc w:val="both"/>
              <w:rPr>
                <w:rFonts w:ascii="Times New Roman" w:hAnsi="Times New Roman" w:cs="Times New Roman"/>
                <w:i/>
              </w:rPr>
            </w:pPr>
            <w:r>
              <w:rPr>
                <w:rFonts w:ascii="Times New Roman" w:hAnsi="Times New Roman" w:cs="Times New Roman"/>
                <w:i/>
              </w:rPr>
              <w:t>0.94 (0.91-0.98)</w:t>
            </w:r>
          </w:p>
        </w:tc>
        <w:tc>
          <w:tcPr>
            <w:tcW w:w="999" w:type="dxa"/>
          </w:tcPr>
          <w:p w14:paraId="3D929452" w14:textId="5221C3CF" w:rsidR="009A2325" w:rsidRPr="009A2325" w:rsidRDefault="009A2325" w:rsidP="009A2325">
            <w:pPr>
              <w:pStyle w:val="Geenafstand"/>
              <w:jc w:val="both"/>
              <w:rPr>
                <w:rFonts w:ascii="Times New Roman" w:hAnsi="Times New Roman" w:cs="Times New Roman"/>
                <w:i/>
              </w:rPr>
            </w:pPr>
            <w:r>
              <w:rPr>
                <w:rFonts w:ascii="Times New Roman" w:hAnsi="Times New Roman" w:cs="Times New Roman"/>
                <w:i/>
              </w:rPr>
              <w:t>.001</w:t>
            </w:r>
          </w:p>
        </w:tc>
      </w:tr>
      <w:tr w:rsidR="009A2325" w14:paraId="6F9FFA30" w14:textId="77777777" w:rsidTr="009A2325">
        <w:tc>
          <w:tcPr>
            <w:tcW w:w="5959" w:type="dxa"/>
          </w:tcPr>
          <w:p w14:paraId="7687CD65" w14:textId="6B8BE369" w:rsidR="009A2325" w:rsidRDefault="009A2325" w:rsidP="009A2325">
            <w:pPr>
              <w:pStyle w:val="Geenafstand"/>
              <w:jc w:val="both"/>
              <w:rPr>
                <w:rFonts w:ascii="Times New Roman" w:hAnsi="Times New Roman" w:cs="Times New Roman"/>
              </w:rPr>
            </w:pPr>
            <w:r>
              <w:rPr>
                <w:rFonts w:ascii="Times New Roman" w:hAnsi="Times New Roman" w:cs="Times New Roman"/>
              </w:rPr>
              <w:t>Nitrate intake from non-vegetable food sources (per 10 mg/day)</w:t>
            </w:r>
          </w:p>
        </w:tc>
        <w:tc>
          <w:tcPr>
            <w:tcW w:w="1756" w:type="dxa"/>
          </w:tcPr>
          <w:p w14:paraId="52DF9EF7" w14:textId="77777777" w:rsidR="009A2325" w:rsidRDefault="009A2325" w:rsidP="009A2325">
            <w:pPr>
              <w:pStyle w:val="Geenafstand"/>
              <w:jc w:val="both"/>
              <w:rPr>
                <w:rFonts w:ascii="Times New Roman" w:hAnsi="Times New Roman" w:cs="Times New Roman"/>
              </w:rPr>
            </w:pPr>
          </w:p>
        </w:tc>
        <w:tc>
          <w:tcPr>
            <w:tcW w:w="999" w:type="dxa"/>
          </w:tcPr>
          <w:p w14:paraId="67E24C8F" w14:textId="77777777" w:rsidR="009A2325" w:rsidRDefault="009A2325" w:rsidP="009A2325">
            <w:pPr>
              <w:pStyle w:val="Geenafstand"/>
              <w:jc w:val="both"/>
              <w:rPr>
                <w:rFonts w:ascii="Times New Roman" w:hAnsi="Times New Roman" w:cs="Times New Roman"/>
              </w:rPr>
            </w:pPr>
          </w:p>
        </w:tc>
      </w:tr>
      <w:tr w:rsidR="009A2325" w14:paraId="78DF8741" w14:textId="77777777" w:rsidTr="009A2325">
        <w:tc>
          <w:tcPr>
            <w:tcW w:w="5959" w:type="dxa"/>
          </w:tcPr>
          <w:p w14:paraId="0C943D67" w14:textId="278336F0" w:rsidR="009A2325" w:rsidRDefault="009A2325" w:rsidP="009A2325">
            <w:pPr>
              <w:pStyle w:val="Geenafstand"/>
              <w:jc w:val="both"/>
              <w:rPr>
                <w:rFonts w:ascii="Times New Roman" w:hAnsi="Times New Roman" w:cs="Times New Roman"/>
              </w:rPr>
            </w:pPr>
            <w:r>
              <w:rPr>
                <w:rFonts w:ascii="Times New Roman" w:hAnsi="Times New Roman" w:cs="Times New Roman"/>
              </w:rPr>
              <w:t xml:space="preserve">   Model 1 (including BMI)</w:t>
            </w:r>
          </w:p>
        </w:tc>
        <w:tc>
          <w:tcPr>
            <w:tcW w:w="1756" w:type="dxa"/>
          </w:tcPr>
          <w:p w14:paraId="2E045676" w14:textId="4AB9B2F3" w:rsidR="009A2325" w:rsidRDefault="009A2325" w:rsidP="009A2325">
            <w:pPr>
              <w:pStyle w:val="Geenafstand"/>
              <w:jc w:val="both"/>
              <w:rPr>
                <w:rFonts w:ascii="Times New Roman" w:hAnsi="Times New Roman" w:cs="Times New Roman"/>
              </w:rPr>
            </w:pPr>
            <w:r>
              <w:rPr>
                <w:rFonts w:ascii="Times New Roman" w:hAnsi="Times New Roman" w:cs="Times New Roman"/>
              </w:rPr>
              <w:t>0.63 (0.41-0.96)</w:t>
            </w:r>
          </w:p>
        </w:tc>
        <w:tc>
          <w:tcPr>
            <w:tcW w:w="999" w:type="dxa"/>
          </w:tcPr>
          <w:p w14:paraId="7775AFA0" w14:textId="7461B1D7" w:rsidR="009A2325" w:rsidRDefault="009A2325" w:rsidP="009A2325">
            <w:pPr>
              <w:pStyle w:val="Geenafstand"/>
              <w:jc w:val="both"/>
              <w:rPr>
                <w:rFonts w:ascii="Times New Roman" w:hAnsi="Times New Roman" w:cs="Times New Roman"/>
              </w:rPr>
            </w:pPr>
            <w:r>
              <w:rPr>
                <w:rFonts w:ascii="Times New Roman" w:hAnsi="Times New Roman" w:cs="Times New Roman"/>
              </w:rPr>
              <w:t>.03</w:t>
            </w:r>
          </w:p>
        </w:tc>
      </w:tr>
      <w:tr w:rsidR="009A2325" w14:paraId="6FF67EFB" w14:textId="77777777" w:rsidTr="009A2325">
        <w:tc>
          <w:tcPr>
            <w:tcW w:w="5959" w:type="dxa"/>
          </w:tcPr>
          <w:p w14:paraId="0E41F9B0" w14:textId="597BC98D" w:rsidR="009A2325" w:rsidRPr="009A2325" w:rsidRDefault="009A2325" w:rsidP="009A2325">
            <w:pPr>
              <w:pStyle w:val="Geenafstand"/>
              <w:jc w:val="both"/>
              <w:rPr>
                <w:rFonts w:ascii="Times New Roman" w:hAnsi="Times New Roman" w:cs="Times New Roman"/>
                <w:i/>
              </w:rPr>
            </w:pPr>
            <w:r w:rsidRPr="009A2325">
              <w:rPr>
                <w:rFonts w:ascii="Times New Roman" w:hAnsi="Times New Roman" w:cs="Times New Roman"/>
                <w:i/>
              </w:rPr>
              <w:t xml:space="preserve">   Model 1 (excluding BMI)</w:t>
            </w:r>
          </w:p>
        </w:tc>
        <w:tc>
          <w:tcPr>
            <w:tcW w:w="1756" w:type="dxa"/>
          </w:tcPr>
          <w:p w14:paraId="14149B00" w14:textId="012D2D6B" w:rsidR="009A2325" w:rsidRPr="009A2325" w:rsidRDefault="009A2325" w:rsidP="009A2325">
            <w:pPr>
              <w:pStyle w:val="Geenafstand"/>
              <w:jc w:val="both"/>
              <w:rPr>
                <w:rFonts w:ascii="Times New Roman" w:hAnsi="Times New Roman" w:cs="Times New Roman"/>
                <w:i/>
              </w:rPr>
            </w:pPr>
            <w:r>
              <w:rPr>
                <w:rFonts w:ascii="Times New Roman" w:hAnsi="Times New Roman" w:cs="Times New Roman"/>
                <w:i/>
              </w:rPr>
              <w:t>0.61 (0.40-0.93)</w:t>
            </w:r>
          </w:p>
        </w:tc>
        <w:tc>
          <w:tcPr>
            <w:tcW w:w="999" w:type="dxa"/>
          </w:tcPr>
          <w:p w14:paraId="758AFC1B" w14:textId="62F0768C" w:rsidR="009A2325" w:rsidRPr="009A2325" w:rsidRDefault="009A2325" w:rsidP="009A2325">
            <w:pPr>
              <w:pStyle w:val="Geenafstand"/>
              <w:jc w:val="both"/>
              <w:rPr>
                <w:rFonts w:ascii="Times New Roman" w:hAnsi="Times New Roman" w:cs="Times New Roman"/>
                <w:i/>
              </w:rPr>
            </w:pPr>
            <w:r>
              <w:rPr>
                <w:rFonts w:ascii="Times New Roman" w:hAnsi="Times New Roman" w:cs="Times New Roman"/>
                <w:i/>
              </w:rPr>
              <w:t>.02</w:t>
            </w:r>
          </w:p>
        </w:tc>
      </w:tr>
    </w:tbl>
    <w:p w14:paraId="68EF66D7" w14:textId="434930A7" w:rsidR="009A2325" w:rsidRDefault="009A2325" w:rsidP="00E65235">
      <w:pPr>
        <w:pStyle w:val="Geenafstand"/>
        <w:jc w:val="both"/>
        <w:rPr>
          <w:rFonts w:ascii="Times New Roman" w:hAnsi="Times New Roman" w:cs="Times New Roman"/>
        </w:rPr>
      </w:pPr>
    </w:p>
    <w:p w14:paraId="28EDA4ED" w14:textId="5E37F104" w:rsidR="001D6DD7" w:rsidRDefault="00DA5902" w:rsidP="00E65235">
      <w:pPr>
        <w:pStyle w:val="Geenafstand"/>
        <w:jc w:val="both"/>
        <w:rPr>
          <w:rFonts w:ascii="Times New Roman" w:hAnsi="Times New Roman" w:cs="Times New Roman"/>
        </w:rPr>
      </w:pPr>
      <w:r>
        <w:rPr>
          <w:rFonts w:ascii="Times New Roman" w:hAnsi="Times New Roman" w:cs="Times New Roman"/>
        </w:rPr>
        <w:t xml:space="preserve">That the association did not change after adjustment for BMI suggests that </w:t>
      </w:r>
      <w:r w:rsidR="009A2325">
        <w:rPr>
          <w:rFonts w:ascii="Times New Roman" w:hAnsi="Times New Roman" w:cs="Times New Roman"/>
        </w:rPr>
        <w:t xml:space="preserve">the association between dietary nitrate intake and OAG </w:t>
      </w:r>
      <w:r>
        <w:rPr>
          <w:rFonts w:ascii="Times New Roman" w:hAnsi="Times New Roman" w:cs="Times New Roman"/>
        </w:rPr>
        <w:t>cannot be explained by BMI, although residual confounding may persist</w:t>
      </w:r>
      <w:r w:rsidR="001A229F">
        <w:rPr>
          <w:rFonts w:ascii="Times New Roman" w:hAnsi="Times New Roman" w:cs="Times New Roman"/>
        </w:rPr>
        <w:t xml:space="preserve">. </w:t>
      </w:r>
      <w:r w:rsidR="00BF3674">
        <w:rPr>
          <w:rFonts w:ascii="Times New Roman" w:hAnsi="Times New Roman" w:cs="Times New Roman"/>
        </w:rPr>
        <w:t>T</w:t>
      </w:r>
      <w:r w:rsidR="001D6DD7">
        <w:rPr>
          <w:rFonts w:ascii="Times New Roman" w:hAnsi="Times New Roman" w:cs="Times New Roman"/>
        </w:rPr>
        <w:t xml:space="preserve">o account for a possible effect of BMI on the association between dietary nitrate intake and OAG, we performed additional matching. We returned to the original dataset and matched cases and controls based on age (3-years range) and </w:t>
      </w:r>
      <w:r w:rsidR="006F7139">
        <w:rPr>
          <w:rFonts w:ascii="Times New Roman" w:hAnsi="Times New Roman" w:cs="Times New Roman"/>
        </w:rPr>
        <w:t>sex</w:t>
      </w:r>
      <w:r w:rsidR="001D6DD7">
        <w:rPr>
          <w:rFonts w:ascii="Times New Roman" w:hAnsi="Times New Roman" w:cs="Times New Roman"/>
        </w:rPr>
        <w:t>, as done previously, and additionally for BMI (2 kg/m2 range). Please see below for the “new” baseline characteristics table.</w:t>
      </w:r>
    </w:p>
    <w:p w14:paraId="0AC799CD" w14:textId="26641255" w:rsidR="001D6DD7" w:rsidRDefault="001D6DD7" w:rsidP="00E65235">
      <w:pPr>
        <w:pStyle w:val="Geenafstand"/>
        <w:jc w:val="both"/>
        <w:rPr>
          <w:rFonts w:ascii="Times New Roman" w:hAnsi="Times New Roman" w:cs="Times New Roman"/>
        </w:rPr>
      </w:pPr>
    </w:p>
    <w:tbl>
      <w:tblPr>
        <w:tblStyle w:val="Tabelraster"/>
        <w:tblW w:w="5000" w:type="pct"/>
        <w:tblLook w:val="04A0" w:firstRow="1" w:lastRow="0" w:firstColumn="1" w:lastColumn="0" w:noHBand="0" w:noVBand="1"/>
      </w:tblPr>
      <w:tblGrid>
        <w:gridCol w:w="4164"/>
        <w:gridCol w:w="2014"/>
        <w:gridCol w:w="2018"/>
        <w:gridCol w:w="1154"/>
      </w:tblGrid>
      <w:tr w:rsidR="001D6DD7" w:rsidRPr="00CB734A" w14:paraId="5969B3CF" w14:textId="77777777" w:rsidTr="00FC3A4D">
        <w:tc>
          <w:tcPr>
            <w:tcW w:w="2227" w:type="pct"/>
          </w:tcPr>
          <w:p w14:paraId="3329A94D" w14:textId="77777777" w:rsidR="001D6DD7" w:rsidRPr="00CB734A" w:rsidRDefault="001D6DD7" w:rsidP="00FC3A4D">
            <w:pPr>
              <w:pStyle w:val="Geenafstand"/>
              <w:jc w:val="both"/>
              <w:rPr>
                <w:rFonts w:ascii="Times New Roman" w:hAnsi="Times New Roman" w:cs="Times New Roman"/>
                <w:sz w:val="20"/>
                <w:szCs w:val="20"/>
                <w:lang w:val="en"/>
              </w:rPr>
            </w:pPr>
          </w:p>
        </w:tc>
        <w:tc>
          <w:tcPr>
            <w:tcW w:w="1077" w:type="pct"/>
          </w:tcPr>
          <w:p w14:paraId="6050C763" w14:textId="7449F787" w:rsidR="001D6DD7" w:rsidRPr="00CB734A" w:rsidRDefault="001D6DD7" w:rsidP="001D6DD7">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No </w:t>
            </w:r>
            <w:proofErr w:type="spellStart"/>
            <w:r w:rsidRPr="00CB734A">
              <w:rPr>
                <w:rFonts w:ascii="Times New Roman" w:hAnsi="Times New Roman" w:cs="Times New Roman"/>
                <w:sz w:val="20"/>
                <w:szCs w:val="20"/>
                <w:lang w:val="en"/>
              </w:rPr>
              <w:t>iOAG</w:t>
            </w:r>
            <w:proofErr w:type="spellEnd"/>
            <w:r w:rsidRPr="00CB734A">
              <w:rPr>
                <w:rFonts w:ascii="Times New Roman" w:hAnsi="Times New Roman" w:cs="Times New Roman"/>
                <w:sz w:val="20"/>
                <w:szCs w:val="20"/>
                <w:lang w:val="en"/>
              </w:rPr>
              <w:t xml:space="preserve"> (N=</w:t>
            </w:r>
            <w:r>
              <w:rPr>
                <w:rFonts w:ascii="Times New Roman" w:hAnsi="Times New Roman" w:cs="Times New Roman"/>
                <w:sz w:val="20"/>
                <w:szCs w:val="20"/>
                <w:lang w:val="en"/>
              </w:rPr>
              <w:t>845</w:t>
            </w:r>
            <w:r w:rsidRPr="00CB734A">
              <w:rPr>
                <w:rFonts w:ascii="Times New Roman" w:hAnsi="Times New Roman" w:cs="Times New Roman"/>
                <w:sz w:val="20"/>
                <w:szCs w:val="20"/>
                <w:lang w:val="en"/>
              </w:rPr>
              <w:t>)</w:t>
            </w:r>
          </w:p>
        </w:tc>
        <w:tc>
          <w:tcPr>
            <w:tcW w:w="1079" w:type="pct"/>
          </w:tcPr>
          <w:p w14:paraId="15FE07B2" w14:textId="163F0739" w:rsidR="001D6DD7" w:rsidRPr="00CB734A" w:rsidRDefault="001D6DD7" w:rsidP="001D6DD7">
            <w:pPr>
              <w:pStyle w:val="Geenafstand"/>
              <w:jc w:val="both"/>
              <w:rPr>
                <w:rFonts w:ascii="Times New Roman" w:hAnsi="Times New Roman" w:cs="Times New Roman"/>
                <w:sz w:val="20"/>
                <w:szCs w:val="20"/>
                <w:lang w:val="en"/>
              </w:rPr>
            </w:pPr>
            <w:proofErr w:type="spellStart"/>
            <w:r w:rsidRPr="00CB734A">
              <w:rPr>
                <w:rFonts w:ascii="Times New Roman" w:hAnsi="Times New Roman" w:cs="Times New Roman"/>
                <w:sz w:val="20"/>
                <w:szCs w:val="20"/>
                <w:lang w:val="en"/>
              </w:rPr>
              <w:t>iOAG</w:t>
            </w:r>
            <w:proofErr w:type="spellEnd"/>
            <w:r w:rsidRPr="00CB734A">
              <w:rPr>
                <w:rFonts w:ascii="Times New Roman" w:hAnsi="Times New Roman" w:cs="Times New Roman"/>
                <w:sz w:val="20"/>
                <w:szCs w:val="20"/>
                <w:lang w:val="en"/>
              </w:rPr>
              <w:t xml:space="preserve"> (N=1</w:t>
            </w:r>
            <w:r>
              <w:rPr>
                <w:rFonts w:ascii="Times New Roman" w:hAnsi="Times New Roman" w:cs="Times New Roman"/>
                <w:sz w:val="20"/>
                <w:szCs w:val="20"/>
                <w:lang w:val="en"/>
              </w:rPr>
              <w:t>69</w:t>
            </w:r>
            <w:r w:rsidRPr="00CB734A">
              <w:rPr>
                <w:rFonts w:ascii="Times New Roman" w:hAnsi="Times New Roman" w:cs="Times New Roman"/>
                <w:sz w:val="20"/>
                <w:szCs w:val="20"/>
                <w:lang w:val="en"/>
              </w:rPr>
              <w:t>)</w:t>
            </w:r>
          </w:p>
        </w:tc>
        <w:tc>
          <w:tcPr>
            <w:tcW w:w="617" w:type="pct"/>
          </w:tcPr>
          <w:p w14:paraId="4D79EC43"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P-value</w:t>
            </w:r>
          </w:p>
        </w:tc>
      </w:tr>
      <w:tr w:rsidR="001D6DD7" w:rsidRPr="00CB734A" w14:paraId="5BB38114" w14:textId="77777777" w:rsidTr="00FC3A4D">
        <w:tc>
          <w:tcPr>
            <w:tcW w:w="2227" w:type="pct"/>
          </w:tcPr>
          <w:p w14:paraId="4723F480"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Age, years, mean (SD)</w:t>
            </w:r>
          </w:p>
        </w:tc>
        <w:tc>
          <w:tcPr>
            <w:tcW w:w="1077" w:type="pct"/>
          </w:tcPr>
          <w:p w14:paraId="4967A658" w14:textId="55DE4520"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65.1 (6.8)</w:t>
            </w:r>
          </w:p>
        </w:tc>
        <w:tc>
          <w:tcPr>
            <w:tcW w:w="1079" w:type="pct"/>
          </w:tcPr>
          <w:p w14:paraId="286561A0" w14:textId="2FA3F31D"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65.6 (6.7)</w:t>
            </w:r>
          </w:p>
        </w:tc>
        <w:tc>
          <w:tcPr>
            <w:tcW w:w="617" w:type="pct"/>
          </w:tcPr>
          <w:p w14:paraId="545F00EE" w14:textId="4807F9C6"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.42</w:t>
            </w:r>
          </w:p>
        </w:tc>
      </w:tr>
      <w:tr w:rsidR="001D6DD7" w:rsidRPr="00CB734A" w14:paraId="67DEBF50" w14:textId="77777777" w:rsidTr="00FC3A4D">
        <w:tc>
          <w:tcPr>
            <w:tcW w:w="2227" w:type="pct"/>
          </w:tcPr>
          <w:p w14:paraId="106BB535" w14:textId="77777777"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Sex</w:t>
            </w:r>
            <w:r w:rsidRPr="00CB734A">
              <w:rPr>
                <w:rFonts w:ascii="Times New Roman" w:hAnsi="Times New Roman" w:cs="Times New Roman"/>
                <w:sz w:val="20"/>
                <w:szCs w:val="20"/>
                <w:lang w:val="en"/>
              </w:rPr>
              <w:t>, female, N (%)</w:t>
            </w:r>
          </w:p>
        </w:tc>
        <w:tc>
          <w:tcPr>
            <w:tcW w:w="1077" w:type="pct"/>
          </w:tcPr>
          <w:p w14:paraId="0F137D09" w14:textId="57D35E46"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455 (53.8)</w:t>
            </w:r>
          </w:p>
        </w:tc>
        <w:tc>
          <w:tcPr>
            <w:tcW w:w="1079" w:type="pct"/>
          </w:tcPr>
          <w:p w14:paraId="79B08062" w14:textId="6E7CC394"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91 (53.8)</w:t>
            </w:r>
          </w:p>
        </w:tc>
        <w:tc>
          <w:tcPr>
            <w:tcW w:w="617" w:type="pct"/>
          </w:tcPr>
          <w:p w14:paraId="033A1FB3" w14:textId="289653E5"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1.00</w:t>
            </w:r>
          </w:p>
        </w:tc>
      </w:tr>
      <w:tr w:rsidR="001D6DD7" w:rsidRPr="00CB734A" w14:paraId="3E3D2F62" w14:textId="77777777" w:rsidTr="00FC3A4D">
        <w:tc>
          <w:tcPr>
            <w:tcW w:w="2227" w:type="pct"/>
          </w:tcPr>
          <w:p w14:paraId="675E3D20"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Education, N (%)</w:t>
            </w:r>
          </w:p>
          <w:p w14:paraId="255BD609"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  Primary education</w:t>
            </w:r>
          </w:p>
          <w:p w14:paraId="4F2ECFD7"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  Lower education</w:t>
            </w:r>
          </w:p>
          <w:p w14:paraId="51E84A43"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  Intermediate education</w:t>
            </w:r>
          </w:p>
          <w:p w14:paraId="5775E067"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  Higher education</w:t>
            </w:r>
          </w:p>
        </w:tc>
        <w:tc>
          <w:tcPr>
            <w:tcW w:w="1077" w:type="pct"/>
          </w:tcPr>
          <w:p w14:paraId="3F8529BD" w14:textId="77777777" w:rsidR="001D6DD7" w:rsidRDefault="001D6DD7" w:rsidP="00FC3A4D">
            <w:pPr>
              <w:pStyle w:val="Geenafstand"/>
              <w:jc w:val="both"/>
              <w:rPr>
                <w:rFonts w:ascii="Times New Roman" w:hAnsi="Times New Roman" w:cs="Times New Roman"/>
                <w:sz w:val="20"/>
                <w:szCs w:val="20"/>
                <w:lang w:val="en"/>
              </w:rPr>
            </w:pPr>
          </w:p>
          <w:p w14:paraId="3798C232"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113 (13.5)</w:t>
            </w:r>
          </w:p>
          <w:p w14:paraId="17223EFC"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367 (43.8)</w:t>
            </w:r>
          </w:p>
          <w:p w14:paraId="7B76DE65"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248 (29.6)</w:t>
            </w:r>
          </w:p>
          <w:p w14:paraId="30076E96" w14:textId="2750E2FD" w:rsidR="006F7139"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109 (13.0)</w:t>
            </w:r>
          </w:p>
        </w:tc>
        <w:tc>
          <w:tcPr>
            <w:tcW w:w="1079" w:type="pct"/>
          </w:tcPr>
          <w:p w14:paraId="3769919F" w14:textId="77777777" w:rsidR="001D6DD7" w:rsidRDefault="001D6DD7" w:rsidP="00FC3A4D">
            <w:pPr>
              <w:pStyle w:val="Geenafstand"/>
              <w:jc w:val="both"/>
              <w:rPr>
                <w:rFonts w:ascii="Times New Roman" w:hAnsi="Times New Roman" w:cs="Times New Roman"/>
                <w:sz w:val="20"/>
                <w:szCs w:val="20"/>
                <w:lang w:val="en"/>
              </w:rPr>
            </w:pPr>
          </w:p>
          <w:p w14:paraId="073B9037"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21 (12.4)</w:t>
            </w:r>
          </w:p>
          <w:p w14:paraId="7DA9C07D"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77 (45.6)</w:t>
            </w:r>
          </w:p>
          <w:p w14:paraId="084DFB31"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53 (31.4)</w:t>
            </w:r>
          </w:p>
          <w:p w14:paraId="22BF4E09" w14:textId="02FC6C7E" w:rsidR="006F7139"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18 (10.7)</w:t>
            </w:r>
          </w:p>
        </w:tc>
        <w:tc>
          <w:tcPr>
            <w:tcW w:w="617" w:type="pct"/>
          </w:tcPr>
          <w:p w14:paraId="202172C8" w14:textId="3785E6AA"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.81</w:t>
            </w:r>
          </w:p>
        </w:tc>
      </w:tr>
      <w:tr w:rsidR="001D6DD7" w:rsidRPr="00CB734A" w14:paraId="43753C56" w14:textId="77777777" w:rsidTr="00FC3A4D">
        <w:tc>
          <w:tcPr>
            <w:tcW w:w="2227" w:type="pct"/>
          </w:tcPr>
          <w:p w14:paraId="4C4F9C71"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Smoking status, N (%)</w:t>
            </w:r>
          </w:p>
          <w:p w14:paraId="25316CB9"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  Non-smoker</w:t>
            </w:r>
          </w:p>
          <w:p w14:paraId="7424CE98"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  Former smoker</w:t>
            </w:r>
          </w:p>
          <w:p w14:paraId="431691CF"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  Current smoker</w:t>
            </w:r>
          </w:p>
        </w:tc>
        <w:tc>
          <w:tcPr>
            <w:tcW w:w="1077" w:type="pct"/>
          </w:tcPr>
          <w:p w14:paraId="341DEA18" w14:textId="77777777" w:rsidR="001D6DD7" w:rsidRDefault="001D6DD7" w:rsidP="00FC3A4D">
            <w:pPr>
              <w:pStyle w:val="Geenafstand"/>
              <w:jc w:val="both"/>
              <w:rPr>
                <w:rFonts w:ascii="Times New Roman" w:hAnsi="Times New Roman" w:cs="Times New Roman"/>
                <w:sz w:val="20"/>
                <w:szCs w:val="20"/>
                <w:lang w:val="en"/>
              </w:rPr>
            </w:pPr>
          </w:p>
          <w:p w14:paraId="59C69E37"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252 (30.0)</w:t>
            </w:r>
          </w:p>
          <w:p w14:paraId="356CA64F"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389 (46.3)</w:t>
            </w:r>
          </w:p>
          <w:p w14:paraId="7F3EE1BF" w14:textId="7DF8914D" w:rsidR="006F7139"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199 (23.7)</w:t>
            </w:r>
          </w:p>
        </w:tc>
        <w:tc>
          <w:tcPr>
            <w:tcW w:w="1079" w:type="pct"/>
          </w:tcPr>
          <w:p w14:paraId="316B8E33" w14:textId="77777777" w:rsidR="001D6DD7" w:rsidRDefault="001D6DD7" w:rsidP="00FC3A4D">
            <w:pPr>
              <w:pStyle w:val="Geenafstand"/>
              <w:jc w:val="both"/>
              <w:rPr>
                <w:rFonts w:ascii="Times New Roman" w:hAnsi="Times New Roman" w:cs="Times New Roman"/>
                <w:sz w:val="20"/>
                <w:szCs w:val="20"/>
                <w:lang w:val="en"/>
              </w:rPr>
            </w:pPr>
          </w:p>
          <w:p w14:paraId="08241C9B"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52 (30.8)</w:t>
            </w:r>
          </w:p>
          <w:p w14:paraId="6105951A" w14:textId="77777777" w:rsidR="006F7139"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80 (47.3)</w:t>
            </w:r>
          </w:p>
          <w:p w14:paraId="49049A0D" w14:textId="33206E22" w:rsidR="006F7139"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37 (21.9)</w:t>
            </w:r>
          </w:p>
        </w:tc>
        <w:tc>
          <w:tcPr>
            <w:tcW w:w="617" w:type="pct"/>
          </w:tcPr>
          <w:p w14:paraId="5096C7A1" w14:textId="62228990"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.88</w:t>
            </w:r>
          </w:p>
        </w:tc>
      </w:tr>
      <w:tr w:rsidR="001D6DD7" w:rsidRPr="00CB734A" w14:paraId="72FF76FF" w14:textId="77777777" w:rsidTr="00FC3A4D">
        <w:tc>
          <w:tcPr>
            <w:tcW w:w="2227" w:type="pct"/>
          </w:tcPr>
          <w:p w14:paraId="039888B6"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Hypertension, N (%)</w:t>
            </w:r>
          </w:p>
        </w:tc>
        <w:tc>
          <w:tcPr>
            <w:tcW w:w="1077" w:type="pct"/>
          </w:tcPr>
          <w:p w14:paraId="0DC15CF3" w14:textId="78DF6A04"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462 (54.7)</w:t>
            </w:r>
          </w:p>
        </w:tc>
        <w:tc>
          <w:tcPr>
            <w:tcW w:w="1079" w:type="pct"/>
          </w:tcPr>
          <w:p w14:paraId="4E179DE9" w14:textId="2DA04F5F"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91 (54.2)</w:t>
            </w:r>
          </w:p>
        </w:tc>
        <w:tc>
          <w:tcPr>
            <w:tcW w:w="617" w:type="pct"/>
          </w:tcPr>
          <w:p w14:paraId="7B11BFFE" w14:textId="4A0F89DF"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.89</w:t>
            </w:r>
          </w:p>
        </w:tc>
      </w:tr>
      <w:tr w:rsidR="001D6DD7" w:rsidRPr="00CB734A" w14:paraId="3EE7C7FE" w14:textId="77777777" w:rsidTr="00FC3A4D">
        <w:tc>
          <w:tcPr>
            <w:tcW w:w="2227" w:type="pct"/>
          </w:tcPr>
          <w:p w14:paraId="4D84FB10"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SBP, mmHg, mean (SD)</w:t>
            </w:r>
          </w:p>
        </w:tc>
        <w:tc>
          <w:tcPr>
            <w:tcW w:w="1077" w:type="pct"/>
          </w:tcPr>
          <w:p w14:paraId="01A07A58" w14:textId="34D4E11F"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137.1 (20.6)</w:t>
            </w:r>
          </w:p>
        </w:tc>
        <w:tc>
          <w:tcPr>
            <w:tcW w:w="1079" w:type="pct"/>
          </w:tcPr>
          <w:p w14:paraId="04823A2B" w14:textId="33DB38FF"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136.6 (21.1)</w:t>
            </w:r>
          </w:p>
        </w:tc>
        <w:tc>
          <w:tcPr>
            <w:tcW w:w="617" w:type="pct"/>
          </w:tcPr>
          <w:p w14:paraId="12FE3FF1" w14:textId="1729277D"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.74</w:t>
            </w:r>
          </w:p>
        </w:tc>
      </w:tr>
      <w:tr w:rsidR="001D6DD7" w:rsidRPr="00CB734A" w14:paraId="41003E62" w14:textId="77777777" w:rsidTr="00FC3A4D">
        <w:tc>
          <w:tcPr>
            <w:tcW w:w="2227" w:type="pct"/>
          </w:tcPr>
          <w:p w14:paraId="5CF021C3"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DBP, mmHg, mean (SD)</w:t>
            </w:r>
          </w:p>
        </w:tc>
        <w:tc>
          <w:tcPr>
            <w:tcW w:w="1077" w:type="pct"/>
          </w:tcPr>
          <w:p w14:paraId="034C14A1" w14:textId="3FF161D1"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74.8 (10.5)</w:t>
            </w:r>
          </w:p>
        </w:tc>
        <w:tc>
          <w:tcPr>
            <w:tcW w:w="1079" w:type="pct"/>
          </w:tcPr>
          <w:p w14:paraId="18C00F5A" w14:textId="5523A94E" w:rsidR="001D6DD7" w:rsidRPr="00CB734A" w:rsidRDefault="006F7139"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75.2 (12.6)</w:t>
            </w:r>
          </w:p>
        </w:tc>
        <w:tc>
          <w:tcPr>
            <w:tcW w:w="617" w:type="pct"/>
          </w:tcPr>
          <w:p w14:paraId="1B199F48" w14:textId="6AF29678" w:rsidR="001D6DD7" w:rsidRPr="006F7139" w:rsidRDefault="006F7139" w:rsidP="00FC3A4D">
            <w:pPr>
              <w:pStyle w:val="Geenafstand"/>
              <w:jc w:val="both"/>
              <w:rPr>
                <w:rFonts w:ascii="Times New Roman" w:hAnsi="Times New Roman" w:cs="Times New Roman"/>
                <w:sz w:val="20"/>
                <w:szCs w:val="20"/>
                <w:lang w:val="en"/>
              </w:rPr>
            </w:pPr>
            <w:r w:rsidRPr="006F7139">
              <w:rPr>
                <w:rFonts w:ascii="Times New Roman" w:hAnsi="Times New Roman" w:cs="Times New Roman"/>
                <w:sz w:val="20"/>
                <w:szCs w:val="20"/>
                <w:lang w:val="en"/>
              </w:rPr>
              <w:t>.67</w:t>
            </w:r>
          </w:p>
        </w:tc>
      </w:tr>
      <w:tr w:rsidR="001D6DD7" w:rsidRPr="00CB734A" w14:paraId="4E2EEBCA" w14:textId="77777777" w:rsidTr="00FC3A4D">
        <w:tc>
          <w:tcPr>
            <w:tcW w:w="2227" w:type="pct"/>
          </w:tcPr>
          <w:p w14:paraId="41661C67"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BMI, kg/m2, mean (SD)</w:t>
            </w:r>
          </w:p>
        </w:tc>
        <w:tc>
          <w:tcPr>
            <w:tcW w:w="1077" w:type="pct"/>
          </w:tcPr>
          <w:p w14:paraId="055C7D5A" w14:textId="0B5018C4"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26.1 (3.2)</w:t>
            </w:r>
          </w:p>
        </w:tc>
        <w:tc>
          <w:tcPr>
            <w:tcW w:w="1079" w:type="pct"/>
          </w:tcPr>
          <w:p w14:paraId="4841A8AE" w14:textId="6C4C2C2D"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25.9 (3.3)</w:t>
            </w:r>
          </w:p>
        </w:tc>
        <w:tc>
          <w:tcPr>
            <w:tcW w:w="617" w:type="pct"/>
          </w:tcPr>
          <w:p w14:paraId="19F103E3" w14:textId="51586AD9" w:rsidR="001D6DD7" w:rsidRPr="001D6DD7" w:rsidRDefault="001D6DD7" w:rsidP="00FC3A4D">
            <w:pPr>
              <w:pStyle w:val="Geenafstand"/>
              <w:jc w:val="both"/>
              <w:rPr>
                <w:rFonts w:ascii="Times New Roman" w:hAnsi="Times New Roman" w:cs="Times New Roman"/>
                <w:sz w:val="20"/>
                <w:szCs w:val="20"/>
                <w:lang w:val="en"/>
              </w:rPr>
            </w:pPr>
            <w:r w:rsidRPr="001D6DD7">
              <w:rPr>
                <w:rFonts w:ascii="Times New Roman" w:hAnsi="Times New Roman" w:cs="Times New Roman"/>
                <w:sz w:val="20"/>
                <w:szCs w:val="20"/>
                <w:lang w:val="en"/>
              </w:rPr>
              <w:t>.52</w:t>
            </w:r>
          </w:p>
        </w:tc>
      </w:tr>
      <w:tr w:rsidR="001D6DD7" w:rsidRPr="00CB734A" w14:paraId="35CFF8E1" w14:textId="77777777" w:rsidTr="00FC3A4D">
        <w:tc>
          <w:tcPr>
            <w:tcW w:w="2227" w:type="pct"/>
          </w:tcPr>
          <w:p w14:paraId="7918736E"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Total energy intake, kcal/day, mean (SD)</w:t>
            </w:r>
          </w:p>
        </w:tc>
        <w:tc>
          <w:tcPr>
            <w:tcW w:w="1077" w:type="pct"/>
          </w:tcPr>
          <w:p w14:paraId="3A113501" w14:textId="0AEE63F4"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2047.0 (510.2)</w:t>
            </w:r>
          </w:p>
        </w:tc>
        <w:tc>
          <w:tcPr>
            <w:tcW w:w="1079" w:type="pct"/>
          </w:tcPr>
          <w:p w14:paraId="412B2C86" w14:textId="3EC0219D"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2053.9 (507.4)</w:t>
            </w:r>
          </w:p>
        </w:tc>
        <w:tc>
          <w:tcPr>
            <w:tcW w:w="617" w:type="pct"/>
          </w:tcPr>
          <w:p w14:paraId="3057DD42" w14:textId="48005F64" w:rsidR="001D6DD7" w:rsidRPr="001D6DD7" w:rsidRDefault="001D6DD7" w:rsidP="00FC3A4D">
            <w:pPr>
              <w:pStyle w:val="Geenafstand"/>
              <w:jc w:val="both"/>
              <w:rPr>
                <w:rFonts w:ascii="Times New Roman" w:hAnsi="Times New Roman" w:cs="Times New Roman"/>
                <w:sz w:val="20"/>
                <w:szCs w:val="20"/>
                <w:lang w:val="en"/>
              </w:rPr>
            </w:pPr>
            <w:r w:rsidRPr="001D6DD7">
              <w:rPr>
                <w:rFonts w:ascii="Times New Roman" w:hAnsi="Times New Roman" w:cs="Times New Roman"/>
                <w:sz w:val="20"/>
                <w:szCs w:val="20"/>
                <w:lang w:val="en"/>
              </w:rPr>
              <w:t>.87</w:t>
            </w:r>
          </w:p>
        </w:tc>
      </w:tr>
      <w:tr w:rsidR="001D6DD7" w:rsidRPr="00CB734A" w14:paraId="0CB523F9" w14:textId="77777777" w:rsidTr="00FC3A4D">
        <w:tc>
          <w:tcPr>
            <w:tcW w:w="2227" w:type="pct"/>
          </w:tcPr>
          <w:p w14:paraId="068BA9A8"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Diet quality, mean (SD)</w:t>
            </w:r>
          </w:p>
        </w:tc>
        <w:tc>
          <w:tcPr>
            <w:tcW w:w="1077" w:type="pct"/>
          </w:tcPr>
          <w:p w14:paraId="36F8444F" w14:textId="0BD99AD3"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6.6 (1.9)</w:t>
            </w:r>
          </w:p>
        </w:tc>
        <w:tc>
          <w:tcPr>
            <w:tcW w:w="1079" w:type="pct"/>
          </w:tcPr>
          <w:p w14:paraId="6D615FF7" w14:textId="4F089E2B"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6.9 (1.9)</w:t>
            </w:r>
          </w:p>
        </w:tc>
        <w:tc>
          <w:tcPr>
            <w:tcW w:w="617" w:type="pct"/>
          </w:tcPr>
          <w:p w14:paraId="4BAB7BB1" w14:textId="1A3D3FFB" w:rsidR="001D6DD7" w:rsidRPr="001D6DD7" w:rsidRDefault="001D6DD7" w:rsidP="00FC3A4D">
            <w:pPr>
              <w:pStyle w:val="Geenafstand"/>
              <w:jc w:val="both"/>
              <w:rPr>
                <w:rFonts w:ascii="Times New Roman" w:hAnsi="Times New Roman" w:cs="Times New Roman"/>
                <w:sz w:val="20"/>
                <w:szCs w:val="20"/>
                <w:lang w:val="en"/>
              </w:rPr>
            </w:pPr>
            <w:r w:rsidRPr="001D6DD7">
              <w:rPr>
                <w:rFonts w:ascii="Times New Roman" w:hAnsi="Times New Roman" w:cs="Times New Roman"/>
                <w:sz w:val="20"/>
                <w:szCs w:val="20"/>
                <w:lang w:val="en"/>
              </w:rPr>
              <w:t>.07</w:t>
            </w:r>
          </w:p>
        </w:tc>
      </w:tr>
      <w:tr w:rsidR="001D6DD7" w:rsidRPr="00CB734A" w14:paraId="259E1153" w14:textId="77777777" w:rsidTr="00FC3A4D">
        <w:tc>
          <w:tcPr>
            <w:tcW w:w="2227" w:type="pct"/>
          </w:tcPr>
          <w:p w14:paraId="1C31C5CD"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Physical activity, MET hours/week, mean (SD)</w:t>
            </w:r>
          </w:p>
        </w:tc>
        <w:tc>
          <w:tcPr>
            <w:tcW w:w="1077" w:type="pct"/>
          </w:tcPr>
          <w:p w14:paraId="3C7E01BF" w14:textId="2E31F3DE"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0.0 (0.9)</w:t>
            </w:r>
          </w:p>
        </w:tc>
        <w:tc>
          <w:tcPr>
            <w:tcW w:w="1079" w:type="pct"/>
          </w:tcPr>
          <w:p w14:paraId="4915BFAC" w14:textId="04C4BF17"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0.1 (0.9)</w:t>
            </w:r>
          </w:p>
        </w:tc>
        <w:tc>
          <w:tcPr>
            <w:tcW w:w="617" w:type="pct"/>
          </w:tcPr>
          <w:p w14:paraId="626707AB" w14:textId="3ACC3B01"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.22</w:t>
            </w:r>
          </w:p>
        </w:tc>
      </w:tr>
      <w:tr w:rsidR="001D6DD7" w:rsidRPr="00CB734A" w14:paraId="3B68544F" w14:textId="77777777" w:rsidTr="00FC3A4D">
        <w:tc>
          <w:tcPr>
            <w:tcW w:w="2227" w:type="pct"/>
          </w:tcPr>
          <w:p w14:paraId="3C0B6DB3"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IOP, mmHg, mean (SD)</w:t>
            </w:r>
          </w:p>
        </w:tc>
        <w:tc>
          <w:tcPr>
            <w:tcW w:w="1077" w:type="pct"/>
          </w:tcPr>
          <w:p w14:paraId="1D7C4FFC" w14:textId="7C62CB55"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14.2 (2.8)</w:t>
            </w:r>
          </w:p>
        </w:tc>
        <w:tc>
          <w:tcPr>
            <w:tcW w:w="1079" w:type="pct"/>
          </w:tcPr>
          <w:p w14:paraId="451535DC" w14:textId="1F175D0A"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16.3 (3.8)</w:t>
            </w:r>
          </w:p>
        </w:tc>
        <w:tc>
          <w:tcPr>
            <w:tcW w:w="617" w:type="pct"/>
          </w:tcPr>
          <w:p w14:paraId="59C0256B" w14:textId="5B9F6D23" w:rsidR="001D6DD7" w:rsidRPr="00CB734A" w:rsidRDefault="001D6DD7" w:rsidP="00FC3A4D">
            <w:pPr>
              <w:pStyle w:val="Geenafstand"/>
              <w:jc w:val="both"/>
              <w:rPr>
                <w:rFonts w:ascii="Times New Roman" w:hAnsi="Times New Roman" w:cs="Times New Roman"/>
                <w:b/>
                <w:sz w:val="20"/>
                <w:szCs w:val="20"/>
                <w:lang w:val="en"/>
              </w:rPr>
            </w:pPr>
            <w:r>
              <w:rPr>
                <w:rFonts w:ascii="Times New Roman" w:hAnsi="Times New Roman" w:cs="Times New Roman"/>
                <w:b/>
                <w:sz w:val="20"/>
                <w:szCs w:val="20"/>
                <w:lang w:val="en"/>
              </w:rPr>
              <w:t>&lt;.001</w:t>
            </w:r>
          </w:p>
        </w:tc>
      </w:tr>
      <w:tr w:rsidR="001D6DD7" w:rsidRPr="00CB734A" w14:paraId="595133BF" w14:textId="77777777" w:rsidTr="00FC3A4D">
        <w:tc>
          <w:tcPr>
            <w:tcW w:w="2227" w:type="pct"/>
          </w:tcPr>
          <w:p w14:paraId="2C773DC2"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Follow-up time, years, mean (SD)</w:t>
            </w:r>
          </w:p>
        </w:tc>
        <w:tc>
          <w:tcPr>
            <w:tcW w:w="1077" w:type="pct"/>
          </w:tcPr>
          <w:p w14:paraId="7588F3E5" w14:textId="1CB6E8B0"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12.6 (5.3)</w:t>
            </w:r>
          </w:p>
        </w:tc>
        <w:tc>
          <w:tcPr>
            <w:tcW w:w="1079" w:type="pct"/>
          </w:tcPr>
          <w:p w14:paraId="22018FC7" w14:textId="6FAA9BD1"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10.9 (5.3)</w:t>
            </w:r>
          </w:p>
        </w:tc>
        <w:tc>
          <w:tcPr>
            <w:tcW w:w="617" w:type="pct"/>
          </w:tcPr>
          <w:p w14:paraId="30F59B3D" w14:textId="3846E1E1" w:rsidR="001D6DD7" w:rsidRPr="00CB734A" w:rsidRDefault="001D6DD7" w:rsidP="00FC3A4D">
            <w:pPr>
              <w:pStyle w:val="Geenafstand"/>
              <w:jc w:val="both"/>
              <w:rPr>
                <w:rFonts w:ascii="Times New Roman" w:hAnsi="Times New Roman" w:cs="Times New Roman"/>
                <w:b/>
                <w:sz w:val="20"/>
                <w:szCs w:val="20"/>
                <w:lang w:val="en"/>
              </w:rPr>
            </w:pPr>
            <w:r>
              <w:rPr>
                <w:rFonts w:ascii="Times New Roman" w:hAnsi="Times New Roman" w:cs="Times New Roman"/>
                <w:b/>
                <w:sz w:val="20"/>
                <w:szCs w:val="20"/>
                <w:lang w:val="en"/>
              </w:rPr>
              <w:t>&lt;.001</w:t>
            </w:r>
          </w:p>
        </w:tc>
      </w:tr>
      <w:tr w:rsidR="001D6DD7" w:rsidRPr="00CB734A" w14:paraId="498E2A89" w14:textId="77777777" w:rsidTr="00FC3A4D">
        <w:tc>
          <w:tcPr>
            <w:tcW w:w="2227" w:type="pct"/>
          </w:tcPr>
          <w:p w14:paraId="1B3B1642"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Total dietary nitrate intake, mg/day, mean (SD)</w:t>
            </w:r>
          </w:p>
        </w:tc>
        <w:tc>
          <w:tcPr>
            <w:tcW w:w="1077" w:type="pct"/>
          </w:tcPr>
          <w:p w14:paraId="44D19CB8" w14:textId="3B4258ED"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100.2 (69.0)</w:t>
            </w:r>
          </w:p>
        </w:tc>
        <w:tc>
          <w:tcPr>
            <w:tcW w:w="1079" w:type="pct"/>
          </w:tcPr>
          <w:p w14:paraId="38762845" w14:textId="13E93751"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92.7 (47.3)</w:t>
            </w:r>
          </w:p>
        </w:tc>
        <w:tc>
          <w:tcPr>
            <w:tcW w:w="617" w:type="pct"/>
          </w:tcPr>
          <w:p w14:paraId="27F3A859" w14:textId="15F62D7C" w:rsidR="001D6DD7" w:rsidRPr="001D6DD7" w:rsidRDefault="001D6DD7" w:rsidP="00FC3A4D">
            <w:pPr>
              <w:pStyle w:val="Geenafstand"/>
              <w:jc w:val="both"/>
              <w:rPr>
                <w:rFonts w:ascii="Times New Roman" w:hAnsi="Times New Roman" w:cs="Times New Roman"/>
                <w:sz w:val="20"/>
                <w:szCs w:val="20"/>
                <w:lang w:val="en"/>
              </w:rPr>
            </w:pPr>
            <w:r w:rsidRPr="001D6DD7">
              <w:rPr>
                <w:rFonts w:ascii="Times New Roman" w:hAnsi="Times New Roman" w:cs="Times New Roman"/>
                <w:sz w:val="20"/>
                <w:szCs w:val="20"/>
                <w:lang w:val="en"/>
              </w:rPr>
              <w:t>.18</w:t>
            </w:r>
          </w:p>
        </w:tc>
      </w:tr>
      <w:tr w:rsidR="001D6DD7" w:rsidRPr="00CB734A" w14:paraId="36C3FE87" w14:textId="77777777" w:rsidTr="00FC3A4D">
        <w:tc>
          <w:tcPr>
            <w:tcW w:w="2227" w:type="pct"/>
          </w:tcPr>
          <w:p w14:paraId="6E029931"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Nitrate intake from vegetables, mg/day, mean (SD)</w:t>
            </w:r>
          </w:p>
        </w:tc>
        <w:tc>
          <w:tcPr>
            <w:tcW w:w="1077" w:type="pct"/>
          </w:tcPr>
          <w:p w14:paraId="74BBDB51" w14:textId="76BF9172"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85.0 (66.5)</w:t>
            </w:r>
          </w:p>
        </w:tc>
        <w:tc>
          <w:tcPr>
            <w:tcW w:w="1079" w:type="pct"/>
          </w:tcPr>
          <w:p w14:paraId="65D9AFA1" w14:textId="79FC5E52"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77.4 (45.4)</w:t>
            </w:r>
          </w:p>
        </w:tc>
        <w:tc>
          <w:tcPr>
            <w:tcW w:w="617" w:type="pct"/>
          </w:tcPr>
          <w:p w14:paraId="6B33A168" w14:textId="189A6ED3" w:rsidR="001D6DD7" w:rsidRPr="001D6DD7" w:rsidRDefault="001D6DD7" w:rsidP="00FC3A4D">
            <w:pPr>
              <w:pStyle w:val="Geenafstand"/>
              <w:jc w:val="both"/>
              <w:rPr>
                <w:rFonts w:ascii="Times New Roman" w:hAnsi="Times New Roman" w:cs="Times New Roman"/>
                <w:sz w:val="20"/>
                <w:szCs w:val="20"/>
                <w:lang w:val="en"/>
              </w:rPr>
            </w:pPr>
            <w:r w:rsidRPr="001D6DD7">
              <w:rPr>
                <w:rFonts w:ascii="Times New Roman" w:hAnsi="Times New Roman" w:cs="Times New Roman"/>
                <w:sz w:val="20"/>
                <w:szCs w:val="20"/>
                <w:lang w:val="en"/>
              </w:rPr>
              <w:t>.15</w:t>
            </w:r>
          </w:p>
        </w:tc>
      </w:tr>
      <w:tr w:rsidR="001D6DD7" w:rsidRPr="00CB734A" w14:paraId="4A4EED95" w14:textId="77777777" w:rsidTr="00FC3A4D">
        <w:tc>
          <w:tcPr>
            <w:tcW w:w="2227" w:type="pct"/>
          </w:tcPr>
          <w:p w14:paraId="180862AD" w14:textId="77777777" w:rsidR="001D6DD7" w:rsidRPr="00CB734A" w:rsidRDefault="001D6DD7" w:rsidP="00FC3A4D">
            <w:pPr>
              <w:pStyle w:val="Geenafstand"/>
              <w:jc w:val="both"/>
              <w:rPr>
                <w:rFonts w:ascii="Times New Roman" w:hAnsi="Times New Roman" w:cs="Times New Roman"/>
                <w:sz w:val="20"/>
                <w:szCs w:val="20"/>
                <w:lang w:val="en"/>
              </w:rPr>
            </w:pPr>
            <w:r w:rsidRPr="00CB734A">
              <w:rPr>
                <w:rFonts w:ascii="Times New Roman" w:hAnsi="Times New Roman" w:cs="Times New Roman"/>
                <w:sz w:val="20"/>
                <w:szCs w:val="20"/>
                <w:lang w:val="en"/>
              </w:rPr>
              <w:t xml:space="preserve">Nitrate intake from non-vegetable food sources, mg/day, mean (SD) </w:t>
            </w:r>
          </w:p>
        </w:tc>
        <w:tc>
          <w:tcPr>
            <w:tcW w:w="1077" w:type="pct"/>
          </w:tcPr>
          <w:p w14:paraId="14BE5454" w14:textId="30C53E99"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15.2 (13.8)</w:t>
            </w:r>
          </w:p>
        </w:tc>
        <w:tc>
          <w:tcPr>
            <w:tcW w:w="1079" w:type="pct"/>
          </w:tcPr>
          <w:p w14:paraId="64B5C6F2" w14:textId="783EC594" w:rsidR="001D6DD7" w:rsidRPr="00CB734A" w:rsidRDefault="001D6DD7" w:rsidP="00FC3A4D">
            <w:pPr>
              <w:pStyle w:val="Geenafstand"/>
              <w:jc w:val="both"/>
              <w:rPr>
                <w:rFonts w:ascii="Times New Roman" w:hAnsi="Times New Roman" w:cs="Times New Roman"/>
                <w:sz w:val="20"/>
                <w:szCs w:val="20"/>
                <w:lang w:val="en"/>
              </w:rPr>
            </w:pPr>
            <w:r>
              <w:rPr>
                <w:rFonts w:ascii="Times New Roman" w:hAnsi="Times New Roman" w:cs="Times New Roman"/>
                <w:sz w:val="20"/>
                <w:szCs w:val="20"/>
                <w:lang w:val="en"/>
              </w:rPr>
              <w:t>15.3 (11.0)</w:t>
            </w:r>
          </w:p>
        </w:tc>
        <w:tc>
          <w:tcPr>
            <w:tcW w:w="617" w:type="pct"/>
          </w:tcPr>
          <w:p w14:paraId="2C9E271A" w14:textId="55D7178F" w:rsidR="001D6DD7" w:rsidRPr="001D6DD7" w:rsidRDefault="001D6DD7" w:rsidP="00FC3A4D">
            <w:pPr>
              <w:pStyle w:val="Geenafstand"/>
              <w:jc w:val="both"/>
              <w:rPr>
                <w:rFonts w:ascii="Times New Roman" w:hAnsi="Times New Roman" w:cs="Times New Roman"/>
                <w:sz w:val="20"/>
                <w:szCs w:val="20"/>
                <w:lang w:val="en"/>
              </w:rPr>
            </w:pPr>
            <w:r w:rsidRPr="001D6DD7">
              <w:rPr>
                <w:rFonts w:ascii="Times New Roman" w:hAnsi="Times New Roman" w:cs="Times New Roman"/>
                <w:sz w:val="20"/>
                <w:szCs w:val="20"/>
                <w:lang w:val="en"/>
              </w:rPr>
              <w:t>.90</w:t>
            </w:r>
          </w:p>
        </w:tc>
      </w:tr>
    </w:tbl>
    <w:p w14:paraId="68201DF2" w14:textId="5128FB64" w:rsidR="001D6DD7" w:rsidRDefault="001D6DD7" w:rsidP="00E65235">
      <w:pPr>
        <w:pStyle w:val="Geenafstand"/>
        <w:jc w:val="both"/>
        <w:rPr>
          <w:rFonts w:ascii="Times New Roman" w:hAnsi="Times New Roman" w:cs="Times New Roman"/>
        </w:rPr>
      </w:pPr>
    </w:p>
    <w:p w14:paraId="2C40FAD4" w14:textId="1AAC7380" w:rsidR="006F7139" w:rsidRDefault="006F7139" w:rsidP="00E65235">
      <w:pPr>
        <w:pStyle w:val="Geenafstand"/>
        <w:jc w:val="both"/>
        <w:rPr>
          <w:rFonts w:ascii="Times New Roman" w:hAnsi="Times New Roman" w:cs="Times New Roman"/>
        </w:rPr>
      </w:pPr>
      <w:r>
        <w:rPr>
          <w:rFonts w:ascii="Times New Roman" w:hAnsi="Times New Roman" w:cs="Times New Roman"/>
        </w:rPr>
        <w:t>Once the participants have been matched on age, sex and BMI, you can see that none of the covariates included in the model</w:t>
      </w:r>
      <w:r w:rsidR="00B3266A">
        <w:rPr>
          <w:rFonts w:ascii="Times New Roman" w:hAnsi="Times New Roman" w:cs="Times New Roman"/>
        </w:rPr>
        <w:t>s</w:t>
      </w:r>
      <w:r>
        <w:rPr>
          <w:rFonts w:ascii="Times New Roman" w:hAnsi="Times New Roman" w:cs="Times New Roman"/>
        </w:rPr>
        <w:t xml:space="preserve"> are significant between </w:t>
      </w:r>
      <w:proofErr w:type="spellStart"/>
      <w:r>
        <w:rPr>
          <w:rFonts w:ascii="Times New Roman" w:hAnsi="Times New Roman" w:cs="Times New Roman"/>
        </w:rPr>
        <w:t>iOAG</w:t>
      </w:r>
      <w:proofErr w:type="spellEnd"/>
      <w:r>
        <w:rPr>
          <w:rFonts w:ascii="Times New Roman" w:hAnsi="Times New Roman" w:cs="Times New Roman"/>
        </w:rPr>
        <w:t xml:space="preserve"> cases and controls. Cases only have a significantly higher IOP, which is expected, and somewhat shorter follow-up (not surprising, since they are excluded one they are diagnosed with </w:t>
      </w:r>
      <w:proofErr w:type="spellStart"/>
      <w:r>
        <w:rPr>
          <w:rFonts w:ascii="Times New Roman" w:hAnsi="Times New Roman" w:cs="Times New Roman"/>
        </w:rPr>
        <w:t>iOAG</w:t>
      </w:r>
      <w:proofErr w:type="spellEnd"/>
      <w:r>
        <w:rPr>
          <w:rFonts w:ascii="Times New Roman" w:hAnsi="Times New Roman" w:cs="Times New Roman"/>
        </w:rPr>
        <w:t>). Diastolic blood pressure, BMI, and the dietary nitrate intakes are no longer different in the univariate analyses between cases and controls.</w:t>
      </w:r>
    </w:p>
    <w:p w14:paraId="4D7B15BB" w14:textId="05FD8353" w:rsidR="006F7139" w:rsidRDefault="006F7139" w:rsidP="00E65235">
      <w:pPr>
        <w:pStyle w:val="Geenafstand"/>
        <w:jc w:val="both"/>
        <w:rPr>
          <w:rFonts w:ascii="Times New Roman" w:hAnsi="Times New Roman" w:cs="Times New Roman"/>
        </w:rPr>
      </w:pPr>
    </w:p>
    <w:p w14:paraId="38DA091E" w14:textId="1437DA66" w:rsidR="00B3266A" w:rsidRDefault="00B3266A" w:rsidP="00B3266A">
      <w:pPr>
        <w:pStyle w:val="Geenafstand"/>
        <w:jc w:val="both"/>
        <w:rPr>
          <w:rFonts w:ascii="Times New Roman" w:hAnsi="Times New Roman" w:cs="Times New Roman"/>
        </w:rPr>
      </w:pPr>
      <w:r>
        <w:rPr>
          <w:rFonts w:ascii="Times New Roman" w:hAnsi="Times New Roman" w:cs="Times New Roman"/>
        </w:rPr>
        <w:lastRenderedPageBreak/>
        <w:t xml:space="preserve">We have created two supplementary tables (Table S4 and Table S5), to show that the associations found between dietary nitrate intake and </w:t>
      </w:r>
      <w:proofErr w:type="spellStart"/>
      <w:r>
        <w:rPr>
          <w:rFonts w:ascii="Times New Roman" w:hAnsi="Times New Roman" w:cs="Times New Roman"/>
        </w:rPr>
        <w:t>iOAG</w:t>
      </w:r>
      <w:proofErr w:type="spellEnd"/>
      <w:r>
        <w:rPr>
          <w:rFonts w:ascii="Times New Roman" w:hAnsi="Times New Roman" w:cs="Times New Roman"/>
        </w:rPr>
        <w:t xml:space="preserve"> or IOP, </w:t>
      </w:r>
      <w:r w:rsidR="00BF3674">
        <w:rPr>
          <w:rFonts w:ascii="Times New Roman" w:hAnsi="Times New Roman" w:cs="Times New Roman"/>
        </w:rPr>
        <w:t>were largely similar</w:t>
      </w:r>
      <w:r>
        <w:rPr>
          <w:rFonts w:ascii="Times New Roman" w:hAnsi="Times New Roman" w:cs="Times New Roman"/>
        </w:rPr>
        <w:t xml:space="preserve"> in the analyses where we matched on BMI additionally, as compared to including BMI as covariate into model 1. </w:t>
      </w:r>
    </w:p>
    <w:p w14:paraId="1F9C94C0" w14:textId="77777777" w:rsidR="00B3266A" w:rsidRDefault="00B3266A" w:rsidP="00B3266A">
      <w:pPr>
        <w:pStyle w:val="Geenafstand"/>
        <w:jc w:val="both"/>
        <w:rPr>
          <w:rFonts w:ascii="Times New Roman" w:hAnsi="Times New Roman" w:cs="Times New Roman"/>
        </w:rPr>
      </w:pPr>
    </w:p>
    <w:p w14:paraId="55033CDA" w14:textId="76EBCE3F" w:rsidR="00B3266A" w:rsidRDefault="00B3266A" w:rsidP="00B3266A">
      <w:pPr>
        <w:pStyle w:val="Geenafstand"/>
        <w:jc w:val="both"/>
        <w:rPr>
          <w:rFonts w:ascii="Times New Roman" w:hAnsi="Times New Roman" w:cs="Times New Roman"/>
        </w:rPr>
      </w:pPr>
      <w:r>
        <w:rPr>
          <w:rFonts w:ascii="Times New Roman" w:hAnsi="Times New Roman" w:cs="Times New Roman"/>
        </w:rPr>
        <w:t xml:space="preserve">Only the association between dietary nitrate intake from non-vegetable food sources and </w:t>
      </w:r>
      <w:proofErr w:type="spellStart"/>
      <w:r>
        <w:rPr>
          <w:rFonts w:ascii="Times New Roman" w:hAnsi="Times New Roman" w:cs="Times New Roman"/>
        </w:rPr>
        <w:t>iOAG</w:t>
      </w:r>
      <w:proofErr w:type="spellEnd"/>
      <w:r>
        <w:rPr>
          <w:rFonts w:ascii="Times New Roman" w:hAnsi="Times New Roman" w:cs="Times New Roman"/>
        </w:rPr>
        <w:t xml:space="preserve"> is no longer significant, </w:t>
      </w:r>
      <w:r w:rsidR="00BF3674">
        <w:rPr>
          <w:rFonts w:ascii="Times New Roman" w:hAnsi="Times New Roman" w:cs="Times New Roman"/>
        </w:rPr>
        <w:t>but the change in effect</w:t>
      </w:r>
      <w:r>
        <w:rPr>
          <w:rFonts w:ascii="Times New Roman" w:hAnsi="Times New Roman" w:cs="Times New Roman"/>
        </w:rPr>
        <w:t xml:space="preserve"> estimate</w:t>
      </w:r>
      <w:r w:rsidR="00BF3674">
        <w:rPr>
          <w:rFonts w:ascii="Times New Roman" w:hAnsi="Times New Roman" w:cs="Times New Roman"/>
        </w:rPr>
        <w:t>s was minimal and</w:t>
      </w:r>
      <w:r>
        <w:rPr>
          <w:rFonts w:ascii="Times New Roman" w:hAnsi="Times New Roman" w:cs="Times New Roman"/>
        </w:rPr>
        <w:t xml:space="preserve"> </w:t>
      </w:r>
      <w:r w:rsidR="00BF3674">
        <w:rPr>
          <w:rFonts w:ascii="Times New Roman" w:hAnsi="Times New Roman" w:cs="Times New Roman"/>
        </w:rPr>
        <w:t xml:space="preserve">they </w:t>
      </w:r>
      <w:r>
        <w:rPr>
          <w:rFonts w:ascii="Times New Roman" w:hAnsi="Times New Roman" w:cs="Times New Roman"/>
        </w:rPr>
        <w:t>remain</w:t>
      </w:r>
      <w:r w:rsidR="00BF3674">
        <w:rPr>
          <w:rFonts w:ascii="Times New Roman" w:hAnsi="Times New Roman" w:cs="Times New Roman"/>
        </w:rPr>
        <w:t>ed</w:t>
      </w:r>
      <w:r>
        <w:rPr>
          <w:rFonts w:ascii="Times New Roman" w:hAnsi="Times New Roman" w:cs="Times New Roman"/>
        </w:rPr>
        <w:t xml:space="preserve"> far below 1</w:t>
      </w:r>
      <w:r w:rsidR="00BF3674">
        <w:rPr>
          <w:rFonts w:ascii="Times New Roman" w:hAnsi="Times New Roman" w:cs="Times New Roman"/>
        </w:rPr>
        <w:t xml:space="preserve"> (Table S4)</w:t>
      </w:r>
      <w:r>
        <w:rPr>
          <w:rFonts w:ascii="Times New Roman" w:hAnsi="Times New Roman" w:cs="Times New Roman"/>
        </w:rPr>
        <w:t>. For the analyses of IOP, the association between dietary nitrate intake from non-vegetable food sources goes from borderline significant to significant</w:t>
      </w:r>
      <w:r w:rsidR="00BF3674">
        <w:rPr>
          <w:rFonts w:ascii="Times New Roman" w:hAnsi="Times New Roman" w:cs="Times New Roman"/>
        </w:rPr>
        <w:t xml:space="preserve"> (Table S5)</w:t>
      </w:r>
      <w:r>
        <w:rPr>
          <w:rFonts w:ascii="Times New Roman" w:hAnsi="Times New Roman" w:cs="Times New Roman"/>
        </w:rPr>
        <w:t xml:space="preserve">.  </w:t>
      </w:r>
    </w:p>
    <w:p w14:paraId="4AB97BB2" w14:textId="77777777" w:rsidR="00AE4894" w:rsidRDefault="00AE4894" w:rsidP="00B3266A">
      <w:pPr>
        <w:pStyle w:val="Geenafstand"/>
        <w:jc w:val="both"/>
        <w:rPr>
          <w:rFonts w:ascii="Times New Roman" w:hAnsi="Times New Roman" w:cs="Times New Roman"/>
        </w:rPr>
      </w:pPr>
      <w:bookmarkStart w:id="0" w:name="_GoBack"/>
      <w:bookmarkEnd w:id="0"/>
    </w:p>
    <w:p w14:paraId="48248B50" w14:textId="77777777" w:rsidR="00AE4894" w:rsidRDefault="00AE4894" w:rsidP="00AE4894">
      <w:pPr>
        <w:pStyle w:val="Geenafstand"/>
        <w:jc w:val="both"/>
        <w:rPr>
          <w:rFonts w:ascii="Arial" w:hAnsi="Arial" w:cs="Arial"/>
          <w:b/>
          <w:sz w:val="24"/>
          <w:szCs w:val="24"/>
        </w:rPr>
      </w:pPr>
      <w:r w:rsidRPr="004A1F0F">
        <w:rPr>
          <w:rFonts w:ascii="Arial" w:hAnsi="Arial" w:cs="Arial"/>
          <w:b/>
          <w:sz w:val="24"/>
          <w:szCs w:val="24"/>
        </w:rPr>
        <w:t xml:space="preserve">Table </w:t>
      </w:r>
      <w:r>
        <w:rPr>
          <w:rFonts w:ascii="Arial" w:hAnsi="Arial" w:cs="Arial"/>
          <w:b/>
          <w:sz w:val="24"/>
          <w:szCs w:val="24"/>
        </w:rPr>
        <w:t>S4</w:t>
      </w:r>
      <w:r w:rsidRPr="004A1F0F">
        <w:rPr>
          <w:rFonts w:ascii="Arial" w:hAnsi="Arial" w:cs="Arial"/>
          <w:b/>
          <w:sz w:val="24"/>
          <w:szCs w:val="24"/>
        </w:rPr>
        <w:t xml:space="preserve">. Multivariable adjusted odds ratio (95% confidence interval) </w:t>
      </w:r>
      <w:r>
        <w:rPr>
          <w:rFonts w:ascii="Arial" w:hAnsi="Arial" w:cs="Arial"/>
          <w:b/>
          <w:sz w:val="24"/>
          <w:szCs w:val="24"/>
        </w:rPr>
        <w:t>of open-angle glaucoma by nitrate intake</w:t>
      </w:r>
    </w:p>
    <w:p w14:paraId="3D014FD5" w14:textId="77777777" w:rsidR="00AE4894" w:rsidRDefault="00AE4894" w:rsidP="00AE4894">
      <w:pPr>
        <w:pStyle w:val="Geenafstand"/>
        <w:jc w:val="both"/>
        <w:rPr>
          <w:rFonts w:ascii="Arial" w:hAnsi="Arial" w:cs="Arial"/>
          <w:b/>
          <w:sz w:val="24"/>
          <w:szCs w:val="24"/>
        </w:rPr>
      </w:pPr>
    </w:p>
    <w:tbl>
      <w:tblPr>
        <w:tblStyle w:val="Tabelraster"/>
        <w:tblW w:w="4228" w:type="pct"/>
        <w:tblLook w:val="04A0" w:firstRow="1" w:lastRow="0" w:firstColumn="1" w:lastColumn="0" w:noHBand="0" w:noVBand="1"/>
      </w:tblPr>
      <w:tblGrid>
        <w:gridCol w:w="3991"/>
        <w:gridCol w:w="2599"/>
        <w:gridCol w:w="1316"/>
      </w:tblGrid>
      <w:tr w:rsidR="00AE4894" w:rsidRPr="00736689" w14:paraId="37773C7A" w14:textId="77777777" w:rsidTr="00FC3A4D">
        <w:tc>
          <w:tcPr>
            <w:tcW w:w="2524" w:type="pct"/>
          </w:tcPr>
          <w:p w14:paraId="76607B10" w14:textId="77777777" w:rsidR="00AE4894" w:rsidRPr="00FC3A4D" w:rsidRDefault="00AE4894" w:rsidP="00FC3A4D">
            <w:pPr>
              <w:pStyle w:val="Geenafstand"/>
              <w:jc w:val="both"/>
              <w:rPr>
                <w:rFonts w:ascii="Arial" w:hAnsi="Arial" w:cs="Arial"/>
                <w:sz w:val="20"/>
                <w:szCs w:val="20"/>
              </w:rPr>
            </w:pPr>
          </w:p>
        </w:tc>
        <w:tc>
          <w:tcPr>
            <w:tcW w:w="1644" w:type="pct"/>
          </w:tcPr>
          <w:p w14:paraId="6E5E0919" w14:textId="77777777" w:rsidR="00AE4894" w:rsidRPr="00FC3A4D" w:rsidRDefault="00AE4894" w:rsidP="00FC3A4D">
            <w:pPr>
              <w:pStyle w:val="Geenafstand"/>
              <w:jc w:val="both"/>
              <w:rPr>
                <w:rFonts w:ascii="Arial" w:hAnsi="Arial" w:cs="Arial"/>
                <w:sz w:val="20"/>
                <w:szCs w:val="20"/>
              </w:rPr>
            </w:pPr>
            <w:proofErr w:type="spellStart"/>
            <w:r w:rsidRPr="004A1F0F">
              <w:rPr>
                <w:rFonts w:ascii="Arial" w:hAnsi="Arial" w:cs="Arial"/>
                <w:sz w:val="20"/>
                <w:szCs w:val="20"/>
              </w:rPr>
              <w:t>OR</w:t>
            </w:r>
            <w:r w:rsidRPr="004A1F0F">
              <w:rPr>
                <w:rFonts w:ascii="Arial" w:hAnsi="Arial" w:cs="Arial"/>
                <w:sz w:val="20"/>
                <w:szCs w:val="20"/>
                <w:vertAlign w:val="superscript"/>
              </w:rPr>
              <w:t>a</w:t>
            </w:r>
            <w:proofErr w:type="spellEnd"/>
            <w:r w:rsidRPr="004A1F0F">
              <w:rPr>
                <w:rFonts w:ascii="Arial" w:hAnsi="Arial" w:cs="Arial"/>
                <w:sz w:val="20"/>
                <w:szCs w:val="20"/>
              </w:rPr>
              <w:t xml:space="preserve"> per 1 unit increase in nitrate </w:t>
            </w:r>
            <w:proofErr w:type="spellStart"/>
            <w:r w:rsidRPr="004A1F0F">
              <w:rPr>
                <w:rFonts w:ascii="Arial" w:hAnsi="Arial" w:cs="Arial"/>
                <w:sz w:val="20"/>
                <w:szCs w:val="20"/>
              </w:rPr>
              <w:t>intake</w:t>
            </w:r>
            <w:r w:rsidRPr="00FC3A4D">
              <w:rPr>
                <w:rFonts w:ascii="Arial" w:hAnsi="Arial" w:cs="Arial"/>
                <w:sz w:val="20"/>
                <w:szCs w:val="20"/>
                <w:vertAlign w:val="superscript"/>
              </w:rPr>
              <w:t>c</w:t>
            </w:r>
            <w:proofErr w:type="spellEnd"/>
          </w:p>
        </w:tc>
        <w:tc>
          <w:tcPr>
            <w:tcW w:w="833" w:type="pct"/>
          </w:tcPr>
          <w:p w14:paraId="289000B1"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P-value</w:t>
            </w:r>
          </w:p>
        </w:tc>
      </w:tr>
      <w:tr w:rsidR="00AE4894" w:rsidRPr="00736689" w14:paraId="13EAB452" w14:textId="77777777" w:rsidTr="00FC3A4D">
        <w:tc>
          <w:tcPr>
            <w:tcW w:w="2524" w:type="pct"/>
          </w:tcPr>
          <w:p w14:paraId="7457D44E"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Total dietary nitrate intake (per 10 mg/day)</w:t>
            </w:r>
          </w:p>
        </w:tc>
        <w:tc>
          <w:tcPr>
            <w:tcW w:w="1644" w:type="pct"/>
          </w:tcPr>
          <w:p w14:paraId="6878B92F" w14:textId="77777777" w:rsidR="00AE4894" w:rsidRPr="00FC3A4D" w:rsidRDefault="00AE4894" w:rsidP="00FC3A4D">
            <w:pPr>
              <w:pStyle w:val="Geenafstand"/>
              <w:jc w:val="both"/>
              <w:rPr>
                <w:rFonts w:ascii="Arial" w:hAnsi="Arial" w:cs="Arial"/>
                <w:sz w:val="20"/>
                <w:szCs w:val="20"/>
              </w:rPr>
            </w:pPr>
          </w:p>
        </w:tc>
        <w:tc>
          <w:tcPr>
            <w:tcW w:w="833" w:type="pct"/>
          </w:tcPr>
          <w:p w14:paraId="7A651BDC" w14:textId="77777777" w:rsidR="00AE4894" w:rsidRPr="00FC3A4D" w:rsidRDefault="00AE4894" w:rsidP="00FC3A4D">
            <w:pPr>
              <w:pStyle w:val="Geenafstand"/>
              <w:jc w:val="both"/>
              <w:rPr>
                <w:rFonts w:ascii="Arial" w:hAnsi="Arial" w:cs="Arial"/>
                <w:sz w:val="20"/>
                <w:szCs w:val="20"/>
              </w:rPr>
            </w:pPr>
          </w:p>
        </w:tc>
      </w:tr>
      <w:tr w:rsidR="00AE4894" w:rsidRPr="00736689" w14:paraId="4D6B9634" w14:textId="77777777" w:rsidTr="00FC3A4D">
        <w:tc>
          <w:tcPr>
            <w:tcW w:w="2524" w:type="pct"/>
          </w:tcPr>
          <w:p w14:paraId="2E1468C2"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 xml:space="preserve">   Model 1</w:t>
            </w:r>
            <w:r>
              <w:rPr>
                <w:rFonts w:ascii="Arial" w:hAnsi="Arial" w:cs="Arial"/>
                <w:sz w:val="20"/>
                <w:szCs w:val="20"/>
                <w:vertAlign w:val="superscript"/>
              </w:rPr>
              <w:t>a</w:t>
            </w:r>
            <w:r w:rsidRPr="00736689">
              <w:rPr>
                <w:rFonts w:ascii="Arial" w:hAnsi="Arial" w:cs="Arial"/>
                <w:sz w:val="20"/>
                <w:szCs w:val="20"/>
              </w:rPr>
              <w:t xml:space="preserve"> </w:t>
            </w:r>
          </w:p>
        </w:tc>
        <w:tc>
          <w:tcPr>
            <w:tcW w:w="1644" w:type="pct"/>
          </w:tcPr>
          <w:p w14:paraId="6003B271"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0.95 (0.91-0.98)</w:t>
            </w:r>
          </w:p>
        </w:tc>
        <w:tc>
          <w:tcPr>
            <w:tcW w:w="833" w:type="pct"/>
          </w:tcPr>
          <w:p w14:paraId="08E17C56"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.002</w:t>
            </w:r>
          </w:p>
        </w:tc>
      </w:tr>
      <w:tr w:rsidR="00AE4894" w:rsidRPr="00736689" w14:paraId="43BFB04B" w14:textId="77777777" w:rsidTr="00FC3A4D">
        <w:tc>
          <w:tcPr>
            <w:tcW w:w="2524" w:type="pct"/>
          </w:tcPr>
          <w:p w14:paraId="336E341D"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 xml:space="preserve">   Model 1</w:t>
            </w:r>
            <w:r>
              <w:rPr>
                <w:rFonts w:ascii="Arial" w:hAnsi="Arial" w:cs="Arial"/>
                <w:i/>
                <w:sz w:val="20"/>
                <w:szCs w:val="20"/>
                <w:vertAlign w:val="superscript"/>
              </w:rPr>
              <w:t>b</w:t>
            </w:r>
            <w:r w:rsidRPr="00736689">
              <w:rPr>
                <w:rFonts w:ascii="Arial" w:hAnsi="Arial" w:cs="Arial"/>
                <w:i/>
                <w:sz w:val="20"/>
                <w:szCs w:val="20"/>
              </w:rPr>
              <w:t xml:space="preserve"> </w:t>
            </w:r>
          </w:p>
        </w:tc>
        <w:tc>
          <w:tcPr>
            <w:tcW w:w="1644" w:type="pct"/>
          </w:tcPr>
          <w:p w14:paraId="25D2139B"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0.96 (0.92-0.99)</w:t>
            </w:r>
          </w:p>
        </w:tc>
        <w:tc>
          <w:tcPr>
            <w:tcW w:w="833" w:type="pct"/>
          </w:tcPr>
          <w:p w14:paraId="0746D756"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.03</w:t>
            </w:r>
          </w:p>
        </w:tc>
      </w:tr>
      <w:tr w:rsidR="00AE4894" w:rsidRPr="00736689" w14:paraId="656571E7" w14:textId="77777777" w:rsidTr="00FC3A4D">
        <w:tc>
          <w:tcPr>
            <w:tcW w:w="2524" w:type="pct"/>
          </w:tcPr>
          <w:p w14:paraId="2BDB13F9"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Vegetable dietary nitrate intake (per 10 mg/day)</w:t>
            </w:r>
          </w:p>
        </w:tc>
        <w:tc>
          <w:tcPr>
            <w:tcW w:w="1644" w:type="pct"/>
          </w:tcPr>
          <w:p w14:paraId="0E9A126C" w14:textId="77777777" w:rsidR="00AE4894" w:rsidRPr="00FC3A4D" w:rsidRDefault="00AE4894" w:rsidP="00FC3A4D">
            <w:pPr>
              <w:pStyle w:val="Geenafstand"/>
              <w:jc w:val="both"/>
              <w:rPr>
                <w:rFonts w:ascii="Arial" w:hAnsi="Arial" w:cs="Arial"/>
                <w:sz w:val="20"/>
                <w:szCs w:val="20"/>
              </w:rPr>
            </w:pPr>
          </w:p>
        </w:tc>
        <w:tc>
          <w:tcPr>
            <w:tcW w:w="833" w:type="pct"/>
          </w:tcPr>
          <w:p w14:paraId="47C18057" w14:textId="77777777" w:rsidR="00AE4894" w:rsidRPr="00FC3A4D" w:rsidRDefault="00AE4894" w:rsidP="00FC3A4D">
            <w:pPr>
              <w:pStyle w:val="Geenafstand"/>
              <w:jc w:val="both"/>
              <w:rPr>
                <w:rFonts w:ascii="Arial" w:hAnsi="Arial" w:cs="Arial"/>
                <w:sz w:val="20"/>
                <w:szCs w:val="20"/>
              </w:rPr>
            </w:pPr>
          </w:p>
        </w:tc>
      </w:tr>
      <w:tr w:rsidR="00AE4894" w:rsidRPr="00736689" w14:paraId="09A57ABB" w14:textId="77777777" w:rsidTr="00FC3A4D">
        <w:tc>
          <w:tcPr>
            <w:tcW w:w="2524" w:type="pct"/>
          </w:tcPr>
          <w:p w14:paraId="7FCFA51F"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 xml:space="preserve">   Model 1</w:t>
            </w:r>
            <w:r>
              <w:rPr>
                <w:rFonts w:ascii="Arial" w:hAnsi="Arial" w:cs="Arial"/>
                <w:sz w:val="20"/>
                <w:szCs w:val="20"/>
                <w:vertAlign w:val="superscript"/>
              </w:rPr>
              <w:t>a</w:t>
            </w:r>
            <w:r w:rsidRPr="00736689">
              <w:rPr>
                <w:rFonts w:ascii="Arial" w:hAnsi="Arial" w:cs="Arial"/>
                <w:sz w:val="20"/>
                <w:szCs w:val="20"/>
              </w:rPr>
              <w:t xml:space="preserve"> </w:t>
            </w:r>
          </w:p>
        </w:tc>
        <w:tc>
          <w:tcPr>
            <w:tcW w:w="1644" w:type="pct"/>
          </w:tcPr>
          <w:p w14:paraId="5BFEA047"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0.95 (0.91-0.98)</w:t>
            </w:r>
          </w:p>
        </w:tc>
        <w:tc>
          <w:tcPr>
            <w:tcW w:w="833" w:type="pct"/>
          </w:tcPr>
          <w:p w14:paraId="5257B41C"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.004</w:t>
            </w:r>
          </w:p>
        </w:tc>
      </w:tr>
      <w:tr w:rsidR="00AE4894" w:rsidRPr="00736689" w14:paraId="0E2E43EB" w14:textId="77777777" w:rsidTr="00FC3A4D">
        <w:tc>
          <w:tcPr>
            <w:tcW w:w="2524" w:type="pct"/>
          </w:tcPr>
          <w:p w14:paraId="2C620245"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 xml:space="preserve">   Model 1</w:t>
            </w:r>
            <w:r>
              <w:rPr>
                <w:rFonts w:ascii="Arial" w:hAnsi="Arial" w:cs="Arial"/>
                <w:i/>
                <w:sz w:val="20"/>
                <w:szCs w:val="20"/>
                <w:vertAlign w:val="superscript"/>
              </w:rPr>
              <w:t>b</w:t>
            </w:r>
            <w:r w:rsidRPr="00736689">
              <w:rPr>
                <w:rFonts w:ascii="Arial" w:hAnsi="Arial" w:cs="Arial"/>
                <w:i/>
                <w:sz w:val="20"/>
                <w:szCs w:val="20"/>
              </w:rPr>
              <w:t xml:space="preserve"> </w:t>
            </w:r>
          </w:p>
        </w:tc>
        <w:tc>
          <w:tcPr>
            <w:tcW w:w="1644" w:type="pct"/>
          </w:tcPr>
          <w:p w14:paraId="46FDDC98"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0.96 (0.92-0.99)</w:t>
            </w:r>
          </w:p>
        </w:tc>
        <w:tc>
          <w:tcPr>
            <w:tcW w:w="833" w:type="pct"/>
          </w:tcPr>
          <w:p w14:paraId="140490A8"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.03</w:t>
            </w:r>
          </w:p>
        </w:tc>
      </w:tr>
      <w:tr w:rsidR="00AE4894" w:rsidRPr="00736689" w14:paraId="7F881B66" w14:textId="77777777" w:rsidTr="00FC3A4D">
        <w:tc>
          <w:tcPr>
            <w:tcW w:w="2524" w:type="pct"/>
          </w:tcPr>
          <w:p w14:paraId="1FF03B68"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Nitrate intake from non-vegetable food sources (per 10 mg/day)</w:t>
            </w:r>
          </w:p>
        </w:tc>
        <w:tc>
          <w:tcPr>
            <w:tcW w:w="1644" w:type="pct"/>
          </w:tcPr>
          <w:p w14:paraId="5E23BEA0" w14:textId="77777777" w:rsidR="00AE4894" w:rsidRPr="00FC3A4D" w:rsidRDefault="00AE4894" w:rsidP="00FC3A4D">
            <w:pPr>
              <w:pStyle w:val="Geenafstand"/>
              <w:jc w:val="both"/>
              <w:rPr>
                <w:rFonts w:ascii="Arial" w:hAnsi="Arial" w:cs="Arial"/>
                <w:sz w:val="20"/>
                <w:szCs w:val="20"/>
              </w:rPr>
            </w:pPr>
          </w:p>
        </w:tc>
        <w:tc>
          <w:tcPr>
            <w:tcW w:w="833" w:type="pct"/>
          </w:tcPr>
          <w:p w14:paraId="1C54E2A9" w14:textId="77777777" w:rsidR="00AE4894" w:rsidRPr="00FC3A4D" w:rsidRDefault="00AE4894" w:rsidP="00FC3A4D">
            <w:pPr>
              <w:pStyle w:val="Geenafstand"/>
              <w:jc w:val="both"/>
              <w:rPr>
                <w:rFonts w:ascii="Arial" w:hAnsi="Arial" w:cs="Arial"/>
                <w:sz w:val="20"/>
                <w:szCs w:val="20"/>
              </w:rPr>
            </w:pPr>
          </w:p>
        </w:tc>
      </w:tr>
      <w:tr w:rsidR="00AE4894" w:rsidRPr="00736689" w14:paraId="0179DDB7" w14:textId="77777777" w:rsidTr="00FC3A4D">
        <w:tc>
          <w:tcPr>
            <w:tcW w:w="2524" w:type="pct"/>
          </w:tcPr>
          <w:p w14:paraId="23900620"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 xml:space="preserve">   Model 1</w:t>
            </w:r>
            <w:r>
              <w:rPr>
                <w:rFonts w:ascii="Arial" w:hAnsi="Arial" w:cs="Arial"/>
                <w:sz w:val="20"/>
                <w:szCs w:val="20"/>
                <w:vertAlign w:val="superscript"/>
              </w:rPr>
              <w:t>a</w:t>
            </w:r>
            <w:r w:rsidRPr="00736689">
              <w:rPr>
                <w:rFonts w:ascii="Arial" w:hAnsi="Arial" w:cs="Arial"/>
                <w:sz w:val="20"/>
                <w:szCs w:val="20"/>
              </w:rPr>
              <w:t xml:space="preserve"> </w:t>
            </w:r>
          </w:p>
        </w:tc>
        <w:tc>
          <w:tcPr>
            <w:tcW w:w="1644" w:type="pct"/>
          </w:tcPr>
          <w:p w14:paraId="6747CD05"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0.63 (0.41-0.96)</w:t>
            </w:r>
          </w:p>
        </w:tc>
        <w:tc>
          <w:tcPr>
            <w:tcW w:w="833" w:type="pct"/>
          </w:tcPr>
          <w:p w14:paraId="48911906"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.03</w:t>
            </w:r>
          </w:p>
        </w:tc>
      </w:tr>
      <w:tr w:rsidR="00AE4894" w:rsidRPr="00736689" w14:paraId="77399DDE" w14:textId="77777777" w:rsidTr="00FC3A4D">
        <w:tc>
          <w:tcPr>
            <w:tcW w:w="2524" w:type="pct"/>
          </w:tcPr>
          <w:p w14:paraId="3B3B637D"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 xml:space="preserve">   Model 1</w:t>
            </w:r>
            <w:r>
              <w:rPr>
                <w:rFonts w:ascii="Arial" w:hAnsi="Arial" w:cs="Arial"/>
                <w:i/>
                <w:sz w:val="20"/>
                <w:szCs w:val="20"/>
                <w:vertAlign w:val="superscript"/>
              </w:rPr>
              <w:t>b</w:t>
            </w:r>
            <w:r w:rsidRPr="00736689">
              <w:rPr>
                <w:rFonts w:ascii="Arial" w:hAnsi="Arial" w:cs="Arial"/>
                <w:i/>
                <w:sz w:val="20"/>
                <w:szCs w:val="20"/>
              </w:rPr>
              <w:t xml:space="preserve"> </w:t>
            </w:r>
          </w:p>
        </w:tc>
        <w:tc>
          <w:tcPr>
            <w:tcW w:w="1644" w:type="pct"/>
          </w:tcPr>
          <w:p w14:paraId="70647A1D"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0.76 (0.49-1.17)</w:t>
            </w:r>
          </w:p>
        </w:tc>
        <w:tc>
          <w:tcPr>
            <w:tcW w:w="833" w:type="pct"/>
          </w:tcPr>
          <w:p w14:paraId="59ADAFAE"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.22</w:t>
            </w:r>
          </w:p>
        </w:tc>
      </w:tr>
    </w:tbl>
    <w:p w14:paraId="786A50EB" w14:textId="77777777" w:rsidR="00AE4894" w:rsidRDefault="00AE4894" w:rsidP="00AE4894">
      <w:pPr>
        <w:pStyle w:val="Geenafstand"/>
        <w:jc w:val="both"/>
        <w:rPr>
          <w:rFonts w:ascii="Arial" w:hAnsi="Arial" w:cs="Arial"/>
          <w:sz w:val="16"/>
          <w:szCs w:val="16"/>
        </w:rPr>
      </w:pPr>
      <w:r>
        <w:rPr>
          <w:rFonts w:ascii="Arial" w:hAnsi="Arial" w:cs="Arial"/>
          <w:sz w:val="16"/>
          <w:szCs w:val="16"/>
          <w:vertAlign w:val="superscript"/>
        </w:rPr>
        <w:t>a</w:t>
      </w:r>
      <w:r>
        <w:rPr>
          <w:rFonts w:ascii="Arial" w:hAnsi="Arial" w:cs="Arial"/>
          <w:sz w:val="16"/>
          <w:szCs w:val="16"/>
        </w:rPr>
        <w:t xml:space="preserve"> </w:t>
      </w:r>
      <w:r w:rsidRPr="00736689">
        <w:rPr>
          <w:rFonts w:ascii="Arial" w:hAnsi="Arial" w:cs="Arial"/>
          <w:sz w:val="16"/>
          <w:szCs w:val="16"/>
        </w:rPr>
        <w:t>Model</w:t>
      </w:r>
      <w:r w:rsidRPr="004A1F0F">
        <w:rPr>
          <w:rFonts w:ascii="Arial" w:hAnsi="Arial" w:cs="Arial"/>
          <w:sz w:val="16"/>
          <w:szCs w:val="16"/>
        </w:rPr>
        <w:t xml:space="preserve"> 1: adjusted for body mass index, total energy intake, diet quality, physical activity, and follow-up time.</w:t>
      </w:r>
      <w:r>
        <w:rPr>
          <w:rFonts w:ascii="Arial" w:hAnsi="Arial" w:cs="Arial"/>
          <w:sz w:val="16"/>
          <w:szCs w:val="16"/>
        </w:rPr>
        <w:t xml:space="preserve"> Analysis performed in participants matched on age and sex.</w:t>
      </w:r>
      <w:r w:rsidRPr="004A1F0F">
        <w:rPr>
          <w:rFonts w:ascii="Arial" w:hAnsi="Arial" w:cs="Arial"/>
          <w:sz w:val="16"/>
          <w:szCs w:val="16"/>
        </w:rPr>
        <w:t xml:space="preserve"> </w:t>
      </w:r>
    </w:p>
    <w:p w14:paraId="21AF5091" w14:textId="17294E4E" w:rsidR="00AE4894" w:rsidRPr="00736689" w:rsidRDefault="00AE4894" w:rsidP="00AE4894">
      <w:pPr>
        <w:pStyle w:val="Geenafstand"/>
        <w:jc w:val="both"/>
        <w:rPr>
          <w:rFonts w:ascii="Arial" w:hAnsi="Arial" w:cs="Arial"/>
          <w:sz w:val="16"/>
          <w:szCs w:val="16"/>
        </w:rPr>
      </w:pPr>
      <w:r>
        <w:rPr>
          <w:rFonts w:ascii="Arial" w:hAnsi="Arial" w:cs="Arial"/>
          <w:sz w:val="16"/>
          <w:szCs w:val="16"/>
          <w:vertAlign w:val="superscript"/>
        </w:rPr>
        <w:t>b</w:t>
      </w:r>
      <w:r>
        <w:rPr>
          <w:rFonts w:ascii="Arial" w:hAnsi="Arial" w:cs="Arial"/>
          <w:sz w:val="16"/>
          <w:szCs w:val="16"/>
        </w:rPr>
        <w:t xml:space="preserve"> </w:t>
      </w:r>
      <w:r w:rsidRPr="00736689">
        <w:rPr>
          <w:rFonts w:ascii="Arial" w:hAnsi="Arial" w:cs="Arial"/>
          <w:sz w:val="16"/>
          <w:szCs w:val="16"/>
        </w:rPr>
        <w:t>Model</w:t>
      </w:r>
      <w:r w:rsidRPr="004A1F0F">
        <w:rPr>
          <w:rFonts w:ascii="Arial" w:hAnsi="Arial" w:cs="Arial"/>
          <w:sz w:val="16"/>
          <w:szCs w:val="16"/>
        </w:rPr>
        <w:t xml:space="preserve"> 1: adjusted for total energy intake, diet quality, physical activity, and follow-up time</w:t>
      </w:r>
      <w:r>
        <w:rPr>
          <w:rFonts w:ascii="Arial" w:hAnsi="Arial" w:cs="Arial"/>
          <w:sz w:val="16"/>
          <w:szCs w:val="16"/>
        </w:rPr>
        <w:t>. Analysis performed in participants matched on age, sex and BMI.</w:t>
      </w:r>
    </w:p>
    <w:p w14:paraId="5DB294A1" w14:textId="77777777" w:rsidR="00AE4894" w:rsidRPr="004A1F0F" w:rsidRDefault="00AE4894" w:rsidP="00AE4894">
      <w:pPr>
        <w:pStyle w:val="Geenafstand"/>
        <w:jc w:val="both"/>
        <w:rPr>
          <w:rFonts w:ascii="Arial" w:hAnsi="Arial" w:cs="Arial"/>
          <w:sz w:val="16"/>
          <w:szCs w:val="16"/>
        </w:rPr>
      </w:pPr>
      <w:r>
        <w:rPr>
          <w:rFonts w:ascii="Arial" w:hAnsi="Arial" w:cs="Arial"/>
          <w:sz w:val="16"/>
          <w:szCs w:val="16"/>
          <w:vertAlign w:val="superscript"/>
        </w:rPr>
        <w:t>c</w:t>
      </w:r>
      <w:r w:rsidRPr="004A1F0F">
        <w:rPr>
          <w:rFonts w:ascii="Arial" w:hAnsi="Arial" w:cs="Arial"/>
          <w:sz w:val="16"/>
          <w:szCs w:val="16"/>
        </w:rPr>
        <w:t xml:space="preserve"> Odds Ratios (95%CI) for </w:t>
      </w:r>
      <w:r>
        <w:rPr>
          <w:rFonts w:ascii="Arial" w:hAnsi="Arial" w:cs="Arial"/>
          <w:sz w:val="16"/>
          <w:szCs w:val="16"/>
        </w:rPr>
        <w:t>open-angle glaucoma</w:t>
      </w:r>
      <w:r w:rsidRPr="004A1F0F">
        <w:rPr>
          <w:rFonts w:ascii="Arial" w:hAnsi="Arial" w:cs="Arial"/>
          <w:sz w:val="16"/>
          <w:szCs w:val="16"/>
        </w:rPr>
        <w:t xml:space="preserve"> by total dietary nitrate intake, nitrate intake from vegetables, and nitrate intake from non-vegetable food sources (as continuous variables) analyzed using</w:t>
      </w:r>
      <w:r>
        <w:rPr>
          <w:rFonts w:ascii="Arial" w:hAnsi="Arial" w:cs="Arial"/>
          <w:sz w:val="16"/>
          <w:szCs w:val="16"/>
        </w:rPr>
        <w:t xml:space="preserve"> conditional</w:t>
      </w:r>
      <w:r w:rsidRPr="004A1F0F">
        <w:rPr>
          <w:rFonts w:ascii="Arial" w:hAnsi="Arial" w:cs="Arial"/>
          <w:sz w:val="16"/>
          <w:szCs w:val="16"/>
        </w:rPr>
        <w:t xml:space="preserve"> logistic regression. </w:t>
      </w:r>
    </w:p>
    <w:p w14:paraId="34FE4C94" w14:textId="2D97CB0B" w:rsidR="005B0EEB" w:rsidRDefault="005B0EEB" w:rsidP="00E65235">
      <w:pPr>
        <w:pStyle w:val="Geenafstand"/>
        <w:jc w:val="both"/>
        <w:rPr>
          <w:rFonts w:ascii="Times New Roman" w:hAnsi="Times New Roman" w:cs="Times New Roman"/>
        </w:rPr>
      </w:pPr>
    </w:p>
    <w:p w14:paraId="7B05C0BF" w14:textId="77777777" w:rsidR="00AE4894" w:rsidRDefault="00AE4894" w:rsidP="00AE4894">
      <w:pPr>
        <w:pStyle w:val="Geenafstand"/>
        <w:jc w:val="both"/>
        <w:rPr>
          <w:rFonts w:ascii="Arial" w:hAnsi="Arial" w:cs="Arial"/>
          <w:b/>
          <w:sz w:val="24"/>
          <w:szCs w:val="24"/>
        </w:rPr>
      </w:pPr>
      <w:r w:rsidRPr="004A1F0F">
        <w:rPr>
          <w:rFonts w:ascii="Arial" w:hAnsi="Arial" w:cs="Arial"/>
          <w:b/>
          <w:sz w:val="24"/>
          <w:szCs w:val="24"/>
        </w:rPr>
        <w:t xml:space="preserve">Table </w:t>
      </w:r>
      <w:r>
        <w:rPr>
          <w:rFonts w:ascii="Arial" w:hAnsi="Arial" w:cs="Arial"/>
          <w:b/>
          <w:sz w:val="24"/>
          <w:szCs w:val="24"/>
        </w:rPr>
        <w:t>S5</w:t>
      </w:r>
      <w:r w:rsidRPr="004A1F0F">
        <w:rPr>
          <w:rFonts w:ascii="Arial" w:hAnsi="Arial" w:cs="Arial"/>
          <w:b/>
          <w:sz w:val="24"/>
          <w:szCs w:val="24"/>
        </w:rPr>
        <w:t xml:space="preserve">. Multivariable adjusted </w:t>
      </w:r>
      <w:r>
        <w:rPr>
          <w:rFonts w:ascii="Arial" w:hAnsi="Arial" w:cs="Arial"/>
          <w:b/>
          <w:sz w:val="24"/>
          <w:szCs w:val="24"/>
        </w:rPr>
        <w:t>beta</w:t>
      </w:r>
      <w:r w:rsidRPr="004A1F0F">
        <w:rPr>
          <w:rFonts w:ascii="Arial" w:hAnsi="Arial" w:cs="Arial"/>
          <w:b/>
          <w:sz w:val="24"/>
          <w:szCs w:val="24"/>
        </w:rPr>
        <w:t xml:space="preserve"> (95% confidence interval) </w:t>
      </w:r>
      <w:r>
        <w:rPr>
          <w:rFonts w:ascii="Arial" w:hAnsi="Arial" w:cs="Arial"/>
          <w:b/>
          <w:sz w:val="24"/>
          <w:szCs w:val="24"/>
        </w:rPr>
        <w:t>of intraocular pressure by nitrate intake</w:t>
      </w:r>
    </w:p>
    <w:p w14:paraId="26C04990" w14:textId="77777777" w:rsidR="00AE4894" w:rsidRDefault="00AE4894" w:rsidP="00AE4894">
      <w:pPr>
        <w:pStyle w:val="Geenafstand"/>
        <w:jc w:val="both"/>
        <w:rPr>
          <w:rFonts w:ascii="Arial" w:hAnsi="Arial" w:cs="Arial"/>
          <w:b/>
          <w:sz w:val="24"/>
          <w:szCs w:val="24"/>
        </w:rPr>
      </w:pPr>
    </w:p>
    <w:tbl>
      <w:tblPr>
        <w:tblStyle w:val="Tabelraster"/>
        <w:tblW w:w="4228" w:type="pct"/>
        <w:tblLook w:val="04A0" w:firstRow="1" w:lastRow="0" w:firstColumn="1" w:lastColumn="0" w:noHBand="0" w:noVBand="1"/>
      </w:tblPr>
      <w:tblGrid>
        <w:gridCol w:w="3991"/>
        <w:gridCol w:w="2599"/>
        <w:gridCol w:w="1316"/>
      </w:tblGrid>
      <w:tr w:rsidR="00AE4894" w:rsidRPr="00736689" w14:paraId="76CD13B1" w14:textId="77777777" w:rsidTr="00FC3A4D">
        <w:tc>
          <w:tcPr>
            <w:tcW w:w="2524" w:type="pct"/>
          </w:tcPr>
          <w:p w14:paraId="39D2DBA0" w14:textId="77777777" w:rsidR="00AE4894" w:rsidRPr="00FC3A4D" w:rsidRDefault="00AE4894" w:rsidP="00FC3A4D">
            <w:pPr>
              <w:pStyle w:val="Geenafstand"/>
              <w:jc w:val="both"/>
              <w:rPr>
                <w:rFonts w:ascii="Arial" w:hAnsi="Arial" w:cs="Arial"/>
                <w:sz w:val="20"/>
                <w:szCs w:val="20"/>
              </w:rPr>
            </w:pPr>
          </w:p>
        </w:tc>
        <w:tc>
          <w:tcPr>
            <w:tcW w:w="1644" w:type="pct"/>
          </w:tcPr>
          <w:p w14:paraId="69405972" w14:textId="77777777" w:rsidR="00AE4894" w:rsidRPr="00FC3A4D" w:rsidRDefault="00AE4894" w:rsidP="00FC3A4D">
            <w:pPr>
              <w:pStyle w:val="Geenafstand"/>
              <w:jc w:val="both"/>
              <w:rPr>
                <w:rFonts w:ascii="Arial" w:hAnsi="Arial" w:cs="Arial"/>
                <w:sz w:val="20"/>
                <w:szCs w:val="20"/>
              </w:rPr>
            </w:pPr>
            <w:proofErr w:type="spellStart"/>
            <w:r>
              <w:rPr>
                <w:rFonts w:ascii="Arial" w:hAnsi="Arial" w:cs="Arial"/>
                <w:sz w:val="20"/>
                <w:szCs w:val="20"/>
              </w:rPr>
              <w:t>Beta</w:t>
            </w:r>
            <w:r w:rsidRPr="004A1F0F">
              <w:rPr>
                <w:rFonts w:ascii="Arial" w:hAnsi="Arial" w:cs="Arial"/>
                <w:sz w:val="20"/>
                <w:szCs w:val="20"/>
                <w:vertAlign w:val="superscript"/>
              </w:rPr>
              <w:t>a</w:t>
            </w:r>
            <w:proofErr w:type="spellEnd"/>
            <w:r w:rsidRPr="004A1F0F">
              <w:rPr>
                <w:rFonts w:ascii="Arial" w:hAnsi="Arial" w:cs="Arial"/>
                <w:sz w:val="20"/>
                <w:szCs w:val="20"/>
              </w:rPr>
              <w:t xml:space="preserve"> per 1 unit increase in nitrate </w:t>
            </w:r>
            <w:proofErr w:type="spellStart"/>
            <w:r w:rsidRPr="004A1F0F">
              <w:rPr>
                <w:rFonts w:ascii="Arial" w:hAnsi="Arial" w:cs="Arial"/>
                <w:sz w:val="20"/>
                <w:szCs w:val="20"/>
              </w:rPr>
              <w:t>intake</w:t>
            </w:r>
            <w:r w:rsidRPr="00FC3A4D">
              <w:rPr>
                <w:rFonts w:ascii="Arial" w:hAnsi="Arial" w:cs="Arial"/>
                <w:sz w:val="20"/>
                <w:szCs w:val="20"/>
                <w:vertAlign w:val="superscript"/>
              </w:rPr>
              <w:t>c</w:t>
            </w:r>
            <w:proofErr w:type="spellEnd"/>
          </w:p>
        </w:tc>
        <w:tc>
          <w:tcPr>
            <w:tcW w:w="833" w:type="pct"/>
          </w:tcPr>
          <w:p w14:paraId="64B45FD3"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P-value</w:t>
            </w:r>
          </w:p>
        </w:tc>
      </w:tr>
      <w:tr w:rsidR="00AE4894" w:rsidRPr="00736689" w14:paraId="60D378A4" w14:textId="77777777" w:rsidTr="00FC3A4D">
        <w:tc>
          <w:tcPr>
            <w:tcW w:w="2524" w:type="pct"/>
          </w:tcPr>
          <w:p w14:paraId="347958AD"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Total dietary nitrate intake (per 10 mg/day)</w:t>
            </w:r>
          </w:p>
        </w:tc>
        <w:tc>
          <w:tcPr>
            <w:tcW w:w="1644" w:type="pct"/>
          </w:tcPr>
          <w:p w14:paraId="2E4BA390" w14:textId="77777777" w:rsidR="00AE4894" w:rsidRPr="00FC3A4D" w:rsidRDefault="00AE4894" w:rsidP="00FC3A4D">
            <w:pPr>
              <w:pStyle w:val="Geenafstand"/>
              <w:jc w:val="both"/>
              <w:rPr>
                <w:rFonts w:ascii="Arial" w:hAnsi="Arial" w:cs="Arial"/>
                <w:sz w:val="20"/>
                <w:szCs w:val="20"/>
              </w:rPr>
            </w:pPr>
          </w:p>
        </w:tc>
        <w:tc>
          <w:tcPr>
            <w:tcW w:w="833" w:type="pct"/>
          </w:tcPr>
          <w:p w14:paraId="26CEA66D" w14:textId="77777777" w:rsidR="00AE4894" w:rsidRPr="00FC3A4D" w:rsidRDefault="00AE4894" w:rsidP="00FC3A4D">
            <w:pPr>
              <w:pStyle w:val="Geenafstand"/>
              <w:jc w:val="both"/>
              <w:rPr>
                <w:rFonts w:ascii="Arial" w:hAnsi="Arial" w:cs="Arial"/>
                <w:sz w:val="20"/>
                <w:szCs w:val="20"/>
              </w:rPr>
            </w:pPr>
          </w:p>
        </w:tc>
      </w:tr>
      <w:tr w:rsidR="00AE4894" w:rsidRPr="00736689" w14:paraId="023FEF86" w14:textId="77777777" w:rsidTr="00FC3A4D">
        <w:tc>
          <w:tcPr>
            <w:tcW w:w="2524" w:type="pct"/>
          </w:tcPr>
          <w:p w14:paraId="2BC80BA3"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 xml:space="preserve">   Model 1</w:t>
            </w:r>
            <w:r>
              <w:rPr>
                <w:rFonts w:ascii="Arial" w:hAnsi="Arial" w:cs="Arial"/>
                <w:sz w:val="20"/>
                <w:szCs w:val="20"/>
                <w:vertAlign w:val="superscript"/>
              </w:rPr>
              <w:t>a</w:t>
            </w:r>
            <w:r w:rsidRPr="00736689">
              <w:rPr>
                <w:rFonts w:ascii="Arial" w:hAnsi="Arial" w:cs="Arial"/>
                <w:sz w:val="20"/>
                <w:szCs w:val="20"/>
              </w:rPr>
              <w:t xml:space="preserve"> </w:t>
            </w:r>
          </w:p>
        </w:tc>
        <w:tc>
          <w:tcPr>
            <w:tcW w:w="1644" w:type="pct"/>
          </w:tcPr>
          <w:p w14:paraId="347340CF" w14:textId="77777777" w:rsidR="00AE4894" w:rsidRPr="00FC3A4D" w:rsidRDefault="00AE4894" w:rsidP="00FC3A4D">
            <w:pPr>
              <w:pStyle w:val="Geenafstand"/>
              <w:jc w:val="both"/>
              <w:rPr>
                <w:rFonts w:ascii="Arial" w:hAnsi="Arial" w:cs="Arial"/>
                <w:sz w:val="20"/>
                <w:szCs w:val="20"/>
              </w:rPr>
            </w:pPr>
            <w:r>
              <w:rPr>
                <w:rFonts w:ascii="Arial" w:hAnsi="Arial" w:cs="Arial"/>
                <w:sz w:val="20"/>
                <w:szCs w:val="20"/>
              </w:rPr>
              <w:t>0.02 (-0.02-0.06)</w:t>
            </w:r>
          </w:p>
        </w:tc>
        <w:tc>
          <w:tcPr>
            <w:tcW w:w="833" w:type="pct"/>
          </w:tcPr>
          <w:p w14:paraId="448A21D0" w14:textId="77777777" w:rsidR="00AE4894" w:rsidRPr="00FC3A4D" w:rsidRDefault="00AE4894" w:rsidP="00FC3A4D">
            <w:pPr>
              <w:pStyle w:val="Geenafstand"/>
              <w:jc w:val="both"/>
              <w:rPr>
                <w:rFonts w:ascii="Arial" w:hAnsi="Arial" w:cs="Arial"/>
                <w:sz w:val="20"/>
                <w:szCs w:val="20"/>
              </w:rPr>
            </w:pPr>
            <w:r>
              <w:rPr>
                <w:rFonts w:ascii="Arial" w:hAnsi="Arial" w:cs="Arial"/>
                <w:sz w:val="20"/>
                <w:szCs w:val="20"/>
              </w:rPr>
              <w:t>.35</w:t>
            </w:r>
          </w:p>
        </w:tc>
      </w:tr>
      <w:tr w:rsidR="00AE4894" w:rsidRPr="00736689" w14:paraId="5D0C2D19" w14:textId="77777777" w:rsidTr="00FC3A4D">
        <w:tc>
          <w:tcPr>
            <w:tcW w:w="2524" w:type="pct"/>
          </w:tcPr>
          <w:p w14:paraId="69D49BAD"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 xml:space="preserve">   Model 1</w:t>
            </w:r>
            <w:r>
              <w:rPr>
                <w:rFonts w:ascii="Arial" w:hAnsi="Arial" w:cs="Arial"/>
                <w:i/>
                <w:sz w:val="20"/>
                <w:szCs w:val="20"/>
                <w:vertAlign w:val="superscript"/>
              </w:rPr>
              <w:t>b</w:t>
            </w:r>
            <w:r w:rsidRPr="00736689">
              <w:rPr>
                <w:rFonts w:ascii="Arial" w:hAnsi="Arial" w:cs="Arial"/>
                <w:i/>
                <w:sz w:val="20"/>
                <w:szCs w:val="20"/>
              </w:rPr>
              <w:t xml:space="preserve"> </w:t>
            </w:r>
          </w:p>
        </w:tc>
        <w:tc>
          <w:tcPr>
            <w:tcW w:w="1644" w:type="pct"/>
          </w:tcPr>
          <w:p w14:paraId="1C653E4D" w14:textId="77777777" w:rsidR="00AE4894" w:rsidRPr="00FC3A4D" w:rsidRDefault="00AE4894" w:rsidP="00FC3A4D">
            <w:pPr>
              <w:pStyle w:val="Geenafstand"/>
              <w:jc w:val="both"/>
              <w:rPr>
                <w:rFonts w:ascii="Arial" w:hAnsi="Arial" w:cs="Arial"/>
                <w:i/>
                <w:sz w:val="20"/>
                <w:szCs w:val="20"/>
              </w:rPr>
            </w:pPr>
            <w:r>
              <w:rPr>
                <w:rFonts w:ascii="Arial" w:hAnsi="Arial" w:cs="Arial"/>
                <w:i/>
                <w:sz w:val="20"/>
                <w:szCs w:val="20"/>
              </w:rPr>
              <w:t>0.00 (-0.06-0.05)</w:t>
            </w:r>
          </w:p>
        </w:tc>
        <w:tc>
          <w:tcPr>
            <w:tcW w:w="833" w:type="pct"/>
          </w:tcPr>
          <w:p w14:paraId="7313E384" w14:textId="77777777" w:rsidR="00AE4894" w:rsidRPr="00FC3A4D" w:rsidRDefault="00AE4894" w:rsidP="00FC3A4D">
            <w:pPr>
              <w:pStyle w:val="Geenafstand"/>
              <w:jc w:val="both"/>
              <w:rPr>
                <w:rFonts w:ascii="Arial" w:hAnsi="Arial" w:cs="Arial"/>
                <w:i/>
                <w:sz w:val="20"/>
                <w:szCs w:val="20"/>
              </w:rPr>
            </w:pPr>
            <w:r>
              <w:rPr>
                <w:rFonts w:ascii="Arial" w:hAnsi="Arial" w:cs="Arial"/>
                <w:i/>
                <w:sz w:val="20"/>
                <w:szCs w:val="20"/>
              </w:rPr>
              <w:t>.89</w:t>
            </w:r>
          </w:p>
        </w:tc>
      </w:tr>
      <w:tr w:rsidR="00AE4894" w:rsidRPr="00736689" w14:paraId="06EAD6D6" w14:textId="77777777" w:rsidTr="00FC3A4D">
        <w:tc>
          <w:tcPr>
            <w:tcW w:w="2524" w:type="pct"/>
          </w:tcPr>
          <w:p w14:paraId="372AF285"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Vegetable dietary nitrate intake (per 10 mg/day)</w:t>
            </w:r>
          </w:p>
        </w:tc>
        <w:tc>
          <w:tcPr>
            <w:tcW w:w="1644" w:type="pct"/>
          </w:tcPr>
          <w:p w14:paraId="05A6BB60" w14:textId="77777777" w:rsidR="00AE4894" w:rsidRPr="00FC3A4D" w:rsidRDefault="00AE4894" w:rsidP="00FC3A4D">
            <w:pPr>
              <w:pStyle w:val="Geenafstand"/>
              <w:jc w:val="both"/>
              <w:rPr>
                <w:rFonts w:ascii="Arial" w:hAnsi="Arial" w:cs="Arial"/>
                <w:sz w:val="20"/>
                <w:szCs w:val="20"/>
              </w:rPr>
            </w:pPr>
          </w:p>
        </w:tc>
        <w:tc>
          <w:tcPr>
            <w:tcW w:w="833" w:type="pct"/>
          </w:tcPr>
          <w:p w14:paraId="686F0A4B" w14:textId="77777777" w:rsidR="00AE4894" w:rsidRPr="00FC3A4D" w:rsidRDefault="00AE4894" w:rsidP="00FC3A4D">
            <w:pPr>
              <w:pStyle w:val="Geenafstand"/>
              <w:jc w:val="both"/>
              <w:rPr>
                <w:rFonts w:ascii="Arial" w:hAnsi="Arial" w:cs="Arial"/>
                <w:sz w:val="20"/>
                <w:szCs w:val="20"/>
              </w:rPr>
            </w:pPr>
          </w:p>
        </w:tc>
      </w:tr>
      <w:tr w:rsidR="00AE4894" w:rsidRPr="00736689" w14:paraId="3BA100E4" w14:textId="77777777" w:rsidTr="00FC3A4D">
        <w:tc>
          <w:tcPr>
            <w:tcW w:w="2524" w:type="pct"/>
          </w:tcPr>
          <w:p w14:paraId="7A407F52"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 xml:space="preserve">   Model 1</w:t>
            </w:r>
            <w:r>
              <w:rPr>
                <w:rFonts w:ascii="Arial" w:hAnsi="Arial" w:cs="Arial"/>
                <w:sz w:val="20"/>
                <w:szCs w:val="20"/>
                <w:vertAlign w:val="superscript"/>
              </w:rPr>
              <w:t>a</w:t>
            </w:r>
            <w:r w:rsidRPr="00736689">
              <w:rPr>
                <w:rFonts w:ascii="Arial" w:hAnsi="Arial" w:cs="Arial"/>
                <w:sz w:val="20"/>
                <w:szCs w:val="20"/>
              </w:rPr>
              <w:t xml:space="preserve"> </w:t>
            </w:r>
          </w:p>
        </w:tc>
        <w:tc>
          <w:tcPr>
            <w:tcW w:w="1644" w:type="pct"/>
          </w:tcPr>
          <w:p w14:paraId="176153BE" w14:textId="77777777" w:rsidR="00AE4894" w:rsidRPr="00FC3A4D" w:rsidRDefault="00AE4894" w:rsidP="00FC3A4D">
            <w:pPr>
              <w:pStyle w:val="Geenafstand"/>
              <w:jc w:val="both"/>
              <w:rPr>
                <w:rFonts w:ascii="Arial" w:hAnsi="Arial" w:cs="Arial"/>
                <w:sz w:val="20"/>
                <w:szCs w:val="20"/>
              </w:rPr>
            </w:pPr>
            <w:r>
              <w:rPr>
                <w:rFonts w:ascii="Arial" w:hAnsi="Arial" w:cs="Arial"/>
                <w:sz w:val="20"/>
                <w:szCs w:val="20"/>
              </w:rPr>
              <w:t>0.02 (-0.02-0.06)</w:t>
            </w:r>
          </w:p>
        </w:tc>
        <w:tc>
          <w:tcPr>
            <w:tcW w:w="833" w:type="pct"/>
          </w:tcPr>
          <w:p w14:paraId="0BD669AE" w14:textId="77777777" w:rsidR="00AE4894" w:rsidRPr="00FC3A4D" w:rsidRDefault="00AE4894" w:rsidP="00FC3A4D">
            <w:pPr>
              <w:pStyle w:val="Geenafstand"/>
              <w:jc w:val="both"/>
              <w:rPr>
                <w:rFonts w:ascii="Arial" w:hAnsi="Arial" w:cs="Arial"/>
                <w:sz w:val="20"/>
                <w:szCs w:val="20"/>
              </w:rPr>
            </w:pPr>
            <w:r>
              <w:rPr>
                <w:rFonts w:ascii="Arial" w:hAnsi="Arial" w:cs="Arial"/>
                <w:sz w:val="20"/>
                <w:szCs w:val="20"/>
              </w:rPr>
              <w:t>.29</w:t>
            </w:r>
          </w:p>
        </w:tc>
      </w:tr>
      <w:tr w:rsidR="00AE4894" w:rsidRPr="00736689" w14:paraId="2F569ED0" w14:textId="77777777" w:rsidTr="00FC3A4D">
        <w:tc>
          <w:tcPr>
            <w:tcW w:w="2524" w:type="pct"/>
          </w:tcPr>
          <w:p w14:paraId="2AAC0C03"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 xml:space="preserve">   Model 1</w:t>
            </w:r>
            <w:r>
              <w:rPr>
                <w:rFonts w:ascii="Arial" w:hAnsi="Arial" w:cs="Arial"/>
                <w:i/>
                <w:sz w:val="20"/>
                <w:szCs w:val="20"/>
                <w:vertAlign w:val="superscript"/>
              </w:rPr>
              <w:t>b</w:t>
            </w:r>
            <w:r w:rsidRPr="00736689">
              <w:rPr>
                <w:rFonts w:ascii="Arial" w:hAnsi="Arial" w:cs="Arial"/>
                <w:i/>
                <w:sz w:val="20"/>
                <w:szCs w:val="20"/>
              </w:rPr>
              <w:t xml:space="preserve"> </w:t>
            </w:r>
          </w:p>
        </w:tc>
        <w:tc>
          <w:tcPr>
            <w:tcW w:w="1644" w:type="pct"/>
          </w:tcPr>
          <w:p w14:paraId="2555991F" w14:textId="77777777" w:rsidR="00AE4894" w:rsidRPr="00FC3A4D" w:rsidRDefault="00AE4894" w:rsidP="00FC3A4D">
            <w:pPr>
              <w:pStyle w:val="Geenafstand"/>
              <w:jc w:val="both"/>
              <w:rPr>
                <w:rFonts w:ascii="Arial" w:hAnsi="Arial" w:cs="Arial"/>
                <w:i/>
                <w:sz w:val="20"/>
                <w:szCs w:val="20"/>
              </w:rPr>
            </w:pPr>
            <w:r>
              <w:rPr>
                <w:rFonts w:ascii="Arial" w:hAnsi="Arial" w:cs="Arial"/>
                <w:i/>
                <w:sz w:val="20"/>
                <w:szCs w:val="20"/>
              </w:rPr>
              <w:t>0.00 (-0.05-0.05)</w:t>
            </w:r>
          </w:p>
        </w:tc>
        <w:tc>
          <w:tcPr>
            <w:tcW w:w="833" w:type="pct"/>
          </w:tcPr>
          <w:p w14:paraId="5FDFFF6B" w14:textId="77777777" w:rsidR="00AE4894" w:rsidRPr="00FC3A4D" w:rsidRDefault="00AE4894" w:rsidP="00FC3A4D">
            <w:pPr>
              <w:pStyle w:val="Geenafstand"/>
              <w:jc w:val="both"/>
              <w:rPr>
                <w:rFonts w:ascii="Arial" w:hAnsi="Arial" w:cs="Arial"/>
                <w:i/>
                <w:sz w:val="20"/>
                <w:szCs w:val="20"/>
              </w:rPr>
            </w:pPr>
            <w:r>
              <w:rPr>
                <w:rFonts w:ascii="Arial" w:hAnsi="Arial" w:cs="Arial"/>
                <w:i/>
                <w:sz w:val="20"/>
                <w:szCs w:val="20"/>
              </w:rPr>
              <w:t>.97</w:t>
            </w:r>
          </w:p>
        </w:tc>
      </w:tr>
      <w:tr w:rsidR="00AE4894" w:rsidRPr="00736689" w14:paraId="63FD86E6" w14:textId="77777777" w:rsidTr="00FC3A4D">
        <w:tc>
          <w:tcPr>
            <w:tcW w:w="2524" w:type="pct"/>
          </w:tcPr>
          <w:p w14:paraId="29175D77"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Nitrate intake from non-vegetable food sources (per 10 mg/day)</w:t>
            </w:r>
          </w:p>
        </w:tc>
        <w:tc>
          <w:tcPr>
            <w:tcW w:w="1644" w:type="pct"/>
          </w:tcPr>
          <w:p w14:paraId="00697826" w14:textId="77777777" w:rsidR="00AE4894" w:rsidRPr="00FC3A4D" w:rsidRDefault="00AE4894" w:rsidP="00FC3A4D">
            <w:pPr>
              <w:pStyle w:val="Geenafstand"/>
              <w:jc w:val="both"/>
              <w:rPr>
                <w:rFonts w:ascii="Arial" w:hAnsi="Arial" w:cs="Arial"/>
                <w:sz w:val="20"/>
                <w:szCs w:val="20"/>
              </w:rPr>
            </w:pPr>
          </w:p>
        </w:tc>
        <w:tc>
          <w:tcPr>
            <w:tcW w:w="833" w:type="pct"/>
          </w:tcPr>
          <w:p w14:paraId="6932FC14" w14:textId="77777777" w:rsidR="00AE4894" w:rsidRPr="00FC3A4D" w:rsidRDefault="00AE4894" w:rsidP="00FC3A4D">
            <w:pPr>
              <w:pStyle w:val="Geenafstand"/>
              <w:jc w:val="both"/>
              <w:rPr>
                <w:rFonts w:ascii="Arial" w:hAnsi="Arial" w:cs="Arial"/>
                <w:sz w:val="20"/>
                <w:szCs w:val="20"/>
              </w:rPr>
            </w:pPr>
          </w:p>
        </w:tc>
      </w:tr>
      <w:tr w:rsidR="00AE4894" w:rsidRPr="00736689" w14:paraId="15594918" w14:textId="77777777" w:rsidTr="00FC3A4D">
        <w:tc>
          <w:tcPr>
            <w:tcW w:w="2524" w:type="pct"/>
          </w:tcPr>
          <w:p w14:paraId="102D028B" w14:textId="77777777" w:rsidR="00AE4894" w:rsidRPr="00FC3A4D" w:rsidRDefault="00AE4894" w:rsidP="00FC3A4D">
            <w:pPr>
              <w:pStyle w:val="Geenafstand"/>
              <w:jc w:val="both"/>
              <w:rPr>
                <w:rFonts w:ascii="Arial" w:hAnsi="Arial" w:cs="Arial"/>
                <w:sz w:val="20"/>
                <w:szCs w:val="20"/>
              </w:rPr>
            </w:pPr>
            <w:r w:rsidRPr="00FC3A4D">
              <w:rPr>
                <w:rFonts w:ascii="Arial" w:hAnsi="Arial" w:cs="Arial"/>
                <w:sz w:val="20"/>
                <w:szCs w:val="20"/>
              </w:rPr>
              <w:t xml:space="preserve">   Model 1</w:t>
            </w:r>
            <w:r>
              <w:rPr>
                <w:rFonts w:ascii="Arial" w:hAnsi="Arial" w:cs="Arial"/>
                <w:sz w:val="20"/>
                <w:szCs w:val="20"/>
                <w:vertAlign w:val="superscript"/>
              </w:rPr>
              <w:t>a</w:t>
            </w:r>
            <w:r w:rsidRPr="00736689">
              <w:rPr>
                <w:rFonts w:ascii="Arial" w:hAnsi="Arial" w:cs="Arial"/>
                <w:sz w:val="20"/>
                <w:szCs w:val="20"/>
              </w:rPr>
              <w:t xml:space="preserve"> </w:t>
            </w:r>
          </w:p>
        </w:tc>
        <w:tc>
          <w:tcPr>
            <w:tcW w:w="1644" w:type="pct"/>
          </w:tcPr>
          <w:p w14:paraId="29C751EF" w14:textId="77777777" w:rsidR="00AE4894" w:rsidRPr="00FC3A4D" w:rsidRDefault="00AE4894" w:rsidP="00FC3A4D">
            <w:pPr>
              <w:pStyle w:val="Geenafstand"/>
              <w:jc w:val="both"/>
              <w:rPr>
                <w:rFonts w:ascii="Arial" w:hAnsi="Arial" w:cs="Arial"/>
                <w:sz w:val="20"/>
                <w:szCs w:val="20"/>
              </w:rPr>
            </w:pPr>
            <w:r>
              <w:rPr>
                <w:rFonts w:ascii="Arial" w:hAnsi="Arial" w:cs="Arial"/>
                <w:sz w:val="20"/>
                <w:szCs w:val="20"/>
              </w:rPr>
              <w:t>-0.45 (-0.96-0.06)</w:t>
            </w:r>
          </w:p>
        </w:tc>
        <w:tc>
          <w:tcPr>
            <w:tcW w:w="833" w:type="pct"/>
          </w:tcPr>
          <w:p w14:paraId="5E9F0395" w14:textId="77777777" w:rsidR="00AE4894" w:rsidRPr="00FC3A4D" w:rsidRDefault="00AE4894" w:rsidP="00FC3A4D">
            <w:pPr>
              <w:pStyle w:val="Geenafstand"/>
              <w:jc w:val="both"/>
              <w:rPr>
                <w:rFonts w:ascii="Arial" w:hAnsi="Arial" w:cs="Arial"/>
                <w:sz w:val="20"/>
                <w:szCs w:val="20"/>
              </w:rPr>
            </w:pPr>
            <w:r>
              <w:rPr>
                <w:rFonts w:ascii="Arial" w:hAnsi="Arial" w:cs="Arial"/>
                <w:sz w:val="20"/>
                <w:szCs w:val="20"/>
              </w:rPr>
              <w:t>.09</w:t>
            </w:r>
          </w:p>
        </w:tc>
      </w:tr>
      <w:tr w:rsidR="00AE4894" w:rsidRPr="00736689" w14:paraId="4083AA89" w14:textId="77777777" w:rsidTr="00FC3A4D">
        <w:tc>
          <w:tcPr>
            <w:tcW w:w="2524" w:type="pct"/>
          </w:tcPr>
          <w:p w14:paraId="1D55C8A8" w14:textId="77777777" w:rsidR="00AE4894" w:rsidRPr="00FC3A4D" w:rsidRDefault="00AE4894" w:rsidP="00FC3A4D">
            <w:pPr>
              <w:pStyle w:val="Geenafstand"/>
              <w:jc w:val="both"/>
              <w:rPr>
                <w:rFonts w:ascii="Arial" w:hAnsi="Arial" w:cs="Arial"/>
                <w:i/>
                <w:sz w:val="20"/>
                <w:szCs w:val="20"/>
              </w:rPr>
            </w:pPr>
            <w:r w:rsidRPr="00FC3A4D">
              <w:rPr>
                <w:rFonts w:ascii="Arial" w:hAnsi="Arial" w:cs="Arial"/>
                <w:i/>
                <w:sz w:val="20"/>
                <w:szCs w:val="20"/>
              </w:rPr>
              <w:t xml:space="preserve">   Model 1</w:t>
            </w:r>
            <w:r>
              <w:rPr>
                <w:rFonts w:ascii="Arial" w:hAnsi="Arial" w:cs="Arial"/>
                <w:i/>
                <w:sz w:val="20"/>
                <w:szCs w:val="20"/>
                <w:vertAlign w:val="superscript"/>
              </w:rPr>
              <w:t>b</w:t>
            </w:r>
            <w:r w:rsidRPr="00736689">
              <w:rPr>
                <w:rFonts w:ascii="Arial" w:hAnsi="Arial" w:cs="Arial"/>
                <w:i/>
                <w:sz w:val="20"/>
                <w:szCs w:val="20"/>
              </w:rPr>
              <w:t xml:space="preserve"> </w:t>
            </w:r>
          </w:p>
        </w:tc>
        <w:tc>
          <w:tcPr>
            <w:tcW w:w="1644" w:type="pct"/>
          </w:tcPr>
          <w:p w14:paraId="7EFF8B93" w14:textId="77777777" w:rsidR="00AE4894" w:rsidRPr="00FC3A4D" w:rsidRDefault="00AE4894" w:rsidP="00FC3A4D">
            <w:pPr>
              <w:pStyle w:val="Geenafstand"/>
              <w:jc w:val="both"/>
              <w:rPr>
                <w:rFonts w:ascii="Arial" w:hAnsi="Arial" w:cs="Arial"/>
                <w:i/>
                <w:sz w:val="20"/>
                <w:szCs w:val="20"/>
              </w:rPr>
            </w:pPr>
            <w:r>
              <w:rPr>
                <w:rFonts w:ascii="Arial" w:hAnsi="Arial" w:cs="Arial"/>
                <w:i/>
                <w:sz w:val="20"/>
                <w:szCs w:val="20"/>
              </w:rPr>
              <w:t>-0.67 (-1.30- -0.05)</w:t>
            </w:r>
          </w:p>
        </w:tc>
        <w:tc>
          <w:tcPr>
            <w:tcW w:w="833" w:type="pct"/>
          </w:tcPr>
          <w:p w14:paraId="2C9A8F99" w14:textId="77777777" w:rsidR="00AE4894" w:rsidRPr="00FC3A4D" w:rsidRDefault="00AE4894" w:rsidP="00FC3A4D">
            <w:pPr>
              <w:pStyle w:val="Geenafstand"/>
              <w:jc w:val="both"/>
              <w:rPr>
                <w:rFonts w:ascii="Arial" w:hAnsi="Arial" w:cs="Arial"/>
                <w:i/>
                <w:sz w:val="20"/>
                <w:szCs w:val="20"/>
              </w:rPr>
            </w:pPr>
            <w:r>
              <w:rPr>
                <w:rFonts w:ascii="Arial" w:hAnsi="Arial" w:cs="Arial"/>
                <w:i/>
                <w:sz w:val="20"/>
                <w:szCs w:val="20"/>
              </w:rPr>
              <w:t>.04</w:t>
            </w:r>
          </w:p>
        </w:tc>
      </w:tr>
    </w:tbl>
    <w:p w14:paraId="16322E54" w14:textId="77777777" w:rsidR="00AE4894" w:rsidRDefault="00AE4894" w:rsidP="00AE4894">
      <w:pPr>
        <w:pStyle w:val="Geenafstand"/>
        <w:jc w:val="both"/>
        <w:rPr>
          <w:rFonts w:ascii="Arial" w:hAnsi="Arial" w:cs="Arial"/>
          <w:sz w:val="16"/>
          <w:szCs w:val="16"/>
        </w:rPr>
      </w:pPr>
      <w:r>
        <w:rPr>
          <w:rFonts w:ascii="Arial" w:hAnsi="Arial" w:cs="Arial"/>
          <w:sz w:val="16"/>
          <w:szCs w:val="16"/>
          <w:vertAlign w:val="superscript"/>
        </w:rPr>
        <w:t>a</w:t>
      </w:r>
      <w:r>
        <w:rPr>
          <w:rFonts w:ascii="Arial" w:hAnsi="Arial" w:cs="Arial"/>
          <w:sz w:val="16"/>
          <w:szCs w:val="16"/>
        </w:rPr>
        <w:t xml:space="preserve"> </w:t>
      </w:r>
      <w:r w:rsidRPr="00736689">
        <w:rPr>
          <w:rFonts w:ascii="Arial" w:hAnsi="Arial" w:cs="Arial"/>
          <w:sz w:val="16"/>
          <w:szCs w:val="16"/>
        </w:rPr>
        <w:t>Model</w:t>
      </w:r>
      <w:r w:rsidRPr="004A1F0F">
        <w:rPr>
          <w:rFonts w:ascii="Arial" w:hAnsi="Arial" w:cs="Arial"/>
          <w:sz w:val="16"/>
          <w:szCs w:val="16"/>
        </w:rPr>
        <w:t xml:space="preserve"> 1: adjusted for body mass index, total energy intake, diet quality, physical activity, and follow-up time.</w:t>
      </w:r>
      <w:r>
        <w:rPr>
          <w:rFonts w:ascii="Arial" w:hAnsi="Arial" w:cs="Arial"/>
          <w:sz w:val="16"/>
          <w:szCs w:val="16"/>
        </w:rPr>
        <w:t xml:space="preserve"> Analysis performed in participants matched on age and sex.</w:t>
      </w:r>
      <w:r w:rsidRPr="004A1F0F">
        <w:rPr>
          <w:rFonts w:ascii="Arial" w:hAnsi="Arial" w:cs="Arial"/>
          <w:sz w:val="16"/>
          <w:szCs w:val="16"/>
        </w:rPr>
        <w:t xml:space="preserve"> </w:t>
      </w:r>
    </w:p>
    <w:p w14:paraId="1E27F6DA" w14:textId="77777777" w:rsidR="00AE4894" w:rsidRPr="00736689" w:rsidRDefault="00AE4894" w:rsidP="00AE4894">
      <w:pPr>
        <w:pStyle w:val="Geenafstand"/>
        <w:jc w:val="both"/>
        <w:rPr>
          <w:rFonts w:ascii="Arial" w:hAnsi="Arial" w:cs="Arial"/>
          <w:sz w:val="16"/>
          <w:szCs w:val="16"/>
        </w:rPr>
      </w:pPr>
      <w:r>
        <w:rPr>
          <w:rFonts w:ascii="Arial" w:hAnsi="Arial" w:cs="Arial"/>
          <w:sz w:val="16"/>
          <w:szCs w:val="16"/>
          <w:vertAlign w:val="superscript"/>
        </w:rPr>
        <w:t>b</w:t>
      </w:r>
      <w:r>
        <w:rPr>
          <w:rFonts w:ascii="Arial" w:hAnsi="Arial" w:cs="Arial"/>
          <w:sz w:val="16"/>
          <w:szCs w:val="16"/>
        </w:rPr>
        <w:t xml:space="preserve"> </w:t>
      </w:r>
      <w:r w:rsidRPr="00736689">
        <w:rPr>
          <w:rFonts w:ascii="Arial" w:hAnsi="Arial" w:cs="Arial"/>
          <w:sz w:val="16"/>
          <w:szCs w:val="16"/>
        </w:rPr>
        <w:t>Model</w:t>
      </w:r>
      <w:r w:rsidRPr="004A1F0F">
        <w:rPr>
          <w:rFonts w:ascii="Arial" w:hAnsi="Arial" w:cs="Arial"/>
          <w:sz w:val="16"/>
          <w:szCs w:val="16"/>
        </w:rPr>
        <w:t xml:space="preserve"> 1: adjusted for total energy intake, diet quality, physical activity, and follow-up time</w:t>
      </w:r>
      <w:r>
        <w:rPr>
          <w:rFonts w:ascii="Arial" w:hAnsi="Arial" w:cs="Arial"/>
          <w:sz w:val="16"/>
          <w:szCs w:val="16"/>
        </w:rPr>
        <w:t>, Analysis performed in participants matched on age, sex and BMI.</w:t>
      </w:r>
    </w:p>
    <w:p w14:paraId="7E35D4B8" w14:textId="77777777" w:rsidR="00AE4894" w:rsidRPr="004A1F0F" w:rsidRDefault="00AE4894" w:rsidP="00AE4894">
      <w:pPr>
        <w:pStyle w:val="Geenafstand"/>
        <w:jc w:val="both"/>
        <w:rPr>
          <w:rFonts w:ascii="Arial" w:hAnsi="Arial" w:cs="Arial"/>
          <w:sz w:val="16"/>
          <w:szCs w:val="16"/>
        </w:rPr>
      </w:pPr>
      <w:r>
        <w:rPr>
          <w:rFonts w:ascii="Arial" w:hAnsi="Arial" w:cs="Arial"/>
          <w:sz w:val="16"/>
          <w:szCs w:val="16"/>
          <w:vertAlign w:val="superscript"/>
        </w:rPr>
        <w:t>c</w:t>
      </w:r>
      <w:r w:rsidRPr="004A1F0F">
        <w:rPr>
          <w:rFonts w:ascii="Arial" w:hAnsi="Arial" w:cs="Arial"/>
          <w:sz w:val="16"/>
          <w:szCs w:val="16"/>
        </w:rPr>
        <w:t xml:space="preserve"> </w:t>
      </w:r>
      <w:r>
        <w:rPr>
          <w:rFonts w:ascii="Arial" w:hAnsi="Arial" w:cs="Arial"/>
          <w:sz w:val="16"/>
          <w:szCs w:val="16"/>
        </w:rPr>
        <w:t>Betas</w:t>
      </w:r>
      <w:r w:rsidRPr="004A1F0F">
        <w:rPr>
          <w:rFonts w:ascii="Arial" w:hAnsi="Arial" w:cs="Arial"/>
          <w:sz w:val="16"/>
          <w:szCs w:val="16"/>
        </w:rPr>
        <w:t xml:space="preserve"> (95%CI) for </w:t>
      </w:r>
      <w:r>
        <w:rPr>
          <w:rFonts w:ascii="Arial" w:hAnsi="Arial" w:cs="Arial"/>
          <w:sz w:val="16"/>
          <w:szCs w:val="16"/>
        </w:rPr>
        <w:t>intraocular pressure</w:t>
      </w:r>
      <w:r w:rsidRPr="004A1F0F">
        <w:rPr>
          <w:rFonts w:ascii="Arial" w:hAnsi="Arial" w:cs="Arial"/>
          <w:sz w:val="16"/>
          <w:szCs w:val="16"/>
        </w:rPr>
        <w:t xml:space="preserve"> by total dietary nitrate intake, nitrate intake from vegetables, and nitrate intake from non-vegetable food sources (as continuous variables) analyzed using </w:t>
      </w:r>
      <w:r>
        <w:rPr>
          <w:rFonts w:ascii="Arial" w:hAnsi="Arial" w:cs="Arial"/>
          <w:sz w:val="16"/>
          <w:szCs w:val="16"/>
        </w:rPr>
        <w:t>linear</w:t>
      </w:r>
      <w:r w:rsidRPr="004A1F0F">
        <w:rPr>
          <w:rFonts w:ascii="Arial" w:hAnsi="Arial" w:cs="Arial"/>
          <w:sz w:val="16"/>
          <w:szCs w:val="16"/>
        </w:rPr>
        <w:t xml:space="preserve"> regression. </w:t>
      </w:r>
    </w:p>
    <w:p w14:paraId="33553864" w14:textId="77777777" w:rsidR="00AE4894" w:rsidRDefault="00AE4894" w:rsidP="00E65235">
      <w:pPr>
        <w:pStyle w:val="Geenafstand"/>
        <w:jc w:val="both"/>
        <w:rPr>
          <w:rFonts w:ascii="Times New Roman" w:hAnsi="Times New Roman" w:cs="Times New Roman"/>
        </w:rPr>
      </w:pPr>
    </w:p>
    <w:p w14:paraId="152CD00F" w14:textId="3CB5345F" w:rsidR="001D6DD7" w:rsidRDefault="005B0EEB" w:rsidP="00E65235">
      <w:pPr>
        <w:pStyle w:val="Geenafstand"/>
        <w:jc w:val="both"/>
        <w:rPr>
          <w:rFonts w:ascii="Times New Roman" w:hAnsi="Times New Roman" w:cs="Times New Roman"/>
        </w:rPr>
      </w:pPr>
      <w:r>
        <w:rPr>
          <w:rFonts w:ascii="Times New Roman" w:hAnsi="Times New Roman" w:cs="Times New Roman"/>
        </w:rPr>
        <w:lastRenderedPageBreak/>
        <w:t xml:space="preserve">By displaying these results, we hope to have shown that the associations described in the original manuscript are most likely true associations and explained by dietary nitrate intake rather than age, sex, or BMI. </w:t>
      </w:r>
    </w:p>
    <w:p w14:paraId="37AC89D2" w14:textId="71300AD6" w:rsidR="00B907F8" w:rsidRDefault="00B907F8" w:rsidP="00E65235">
      <w:pPr>
        <w:pStyle w:val="Geenafstand"/>
        <w:jc w:val="both"/>
        <w:rPr>
          <w:rFonts w:ascii="Times New Roman" w:hAnsi="Times New Roman" w:cs="Times New Roman"/>
        </w:rPr>
      </w:pPr>
    </w:p>
    <w:p w14:paraId="5B1CB3DE" w14:textId="1563A4B4" w:rsidR="00B907F8" w:rsidRDefault="00B907F8" w:rsidP="00E65235">
      <w:pPr>
        <w:pStyle w:val="Geenafstand"/>
        <w:jc w:val="both"/>
        <w:rPr>
          <w:rFonts w:ascii="Times New Roman" w:hAnsi="Times New Roman" w:cs="Times New Roman"/>
        </w:rPr>
      </w:pPr>
      <w:r>
        <w:rPr>
          <w:rFonts w:ascii="Times New Roman" w:hAnsi="Times New Roman" w:cs="Times New Roman"/>
        </w:rPr>
        <w:t>Although an association between glaucoma and cardiovascular disease has been described in the literature</w:t>
      </w:r>
      <w:r w:rsidR="00F16ACA" w:rsidRPr="00F16ACA">
        <w:t xml:space="preserve"> </w:t>
      </w:r>
      <w:r w:rsidR="00F16ACA">
        <w:rPr>
          <w:rFonts w:ascii="Times New Roman" w:hAnsi="Times New Roman" w:cs="Times New Roman"/>
        </w:rPr>
        <w:fldChar w:fldCharType="begin">
          <w:fldData xml:space="preserve">PEVuZE5vdGU+PENpdGU+PEF1dGhvcj5DaGE8L0F1dGhvcj48WWVhcj4yMDE2PC9ZZWFyPjxSZWNO
dW0+OTE8L1JlY051bT48RGlzcGxheVRleHQ+PHN0eWxlIHNpemU9IjEwIj5bNy05XTwvc3R5bGU+
PC9EaXNwbGF5VGV4dD48cmVjb3JkPjxyZWMtbnVtYmVyPjkxPC9yZWMtbnVtYmVyPjxmb3JlaWdu
LWtleXM+PGtleSBhcHA9IkVOIiBkYi1pZD0iYWV0eHd6d3I5dDl3eG1ldHZ6ZzUyczB2dHp3dHR4
YWFyZWQ5IiB0aW1lc3RhbXA9IjE2NTQ4NjUzOTkiPjkxPC9rZXk+PC9mb3JlaWduLWtleXM+PHJl
Zi10eXBlIG5hbWU9IkpvdXJuYWwgQXJ0aWNsZSI+MTc8L3JlZi10eXBlPjxjb250cmlidXRvcnM+
PGF1dGhvcnM+PGF1dGhvcj5DaGEsIFNvb25jaGVvbDwvYXV0aG9yPjxhdXRob3I+R3UsIEJ5b3Vu
Z3lvdW5nPC9hdXRob3I+PGF1dGhvcj5TYWdvbmcsIE1pbjwvYXV0aG9yPjxhdXRob3I+U29uLCBK
dW5IeXVrPC9hdXRob3I+PGF1dGhvcj5LaW0sIE1vb2h5dW48L2F1dGhvcj48L2F1dGhvcnM+PC9j
b250cmlidXRvcnM+PHRpdGxlcz48dGl0bGU+QXNzb2NpYXRpb24gYmV0d2VlbiBnbGF1Y29tYSBh
bmQgY2FyZGlvdmFzY3VsYXIgZGlzZWFzZSByaXNrIGluIEtvcmVhbiBwb3B1bGF0aW9uIGJhc2Vk
IHN0dWR5PC90aXRsZT48c2Vjb25kYXJ5LXRpdGxlPkludmVzdGlnYXRpdmUgT3BodGhhbG1vbG9n
eSAmYW1wOyBWaXN1YWwgU2NpZW5jZTwvc2Vjb25kYXJ5LXRpdGxlPjwvdGl0bGVzPjxwZXJpb2Rp
Y2FsPjxmdWxsLXRpdGxlPkludmVzdGlnYXRpdmUgT3BodGhhbG1vbG9neSAmYW1wOyBWaXN1YWwg
U2NpZW5jZTwvZnVsbC10aXRsZT48L3BlcmlvZGljYWw+PHBhZ2VzPjI2MTQtMjYxNDwvcGFnZXM+
PHZvbHVtZT41Nzwvdm9sdW1lPjxudW1iZXI+MTI8L251bWJlcj48ZGF0ZXM+PHllYXI+MjAxNjwv
eWVhcj48L2RhdGVzPjxpc2JuPjE1NTItNTc4MzwvaXNibj48dXJscz48L3VybHM+PGFjY2Vzcy1k
YXRlPjYvMTAvMjAyMjwvYWNjZXNzLWRhdGU+PC9yZWNvcmQ+PC9DaXRlPjxDaXRlPjxBdXRob3I+
TWFyc2hhbGw8L0F1dGhvcj48WWVhcj4yMDIxPC9ZZWFyPjxSZWNOdW0+OTI8L1JlY051bT48cmVj
b3JkPjxyZWMtbnVtYmVyPjkyPC9yZWMtbnVtYmVyPjxmb3JlaWduLWtleXM+PGtleSBhcHA9IkVO
IiBkYi1pZD0iYWV0eHd6d3I5dDl3eG1ldHZ6ZzUyczB2dHp3dHR4YWFyZWQ5IiB0aW1lc3RhbXA9
IjE2NTQ4NjU0NzciPjkyPC9rZXk+PC9mb3JlaWduLWtleXM+PHJlZi10eXBlIG5hbWU9IkpvdXJu
YWwgQXJ0aWNsZSI+MTc8L3JlZi10eXBlPjxjb250cmlidXRvcnM+PGF1dGhvcnM+PGF1dGhvcj5N
YXJzaGFsbCwgSC48L2F1dGhvcj48YXV0aG9yPk11bGxhbnksIFMuPC9hdXRob3I+PGF1dGhvcj5R
YXNzaW0sIEEuPC9hdXRob3I+PGF1dGhvcj5TaWdncywgTy48L2F1dGhvcj48YXV0aG9yPkhhc3Nh
bGwsIE0uPC9hdXRob3I+PGF1dGhvcj5SaWRnZSwgQi48L2F1dGhvcj48YXV0aG9yPk5ndXllbiwg
VC48L2F1dGhvcj48YXV0aG9yPkF3YWRhbGxhLCBNLjwvYXV0aG9yPjxhdXRob3I+QW5kcmV3LCBO
LiBILjwvYXV0aG9yPjxhdXRob3I+SGVhbGV5LCBQLiBSLjwvYXV0aG9yPjxhdXRob3I+QWdhciwg
QS48L2F1dGhvcj48YXV0aG9yPkdhbGFub3BvdWxvcywgQS48L2F1dGhvcj48YXV0aG9yPkhld2l0
dCwgQS4gVy48L2F1dGhvcj48YXV0aG9yPk1hY0dyZWdvciwgUy48L2F1dGhvcj48YXV0aG9yPkdy
YWhhbSwgUy4gTC48L2F1dGhvcj48YXV0aG9yPk1pbGxzLCBSLjwvYXV0aG9yPjxhdXRob3I+U2h1
bHosIEEuPC9hdXRob3I+PGF1dGhvcj5MYW5kZXJzLCBKLjwvYXV0aG9yPjxhdXRob3I+Q2Fzc29u
LCBSLiBKLjwvYXV0aG9yPjxhdXRob3I+Q3JhaWcsIEouIEUuPC9hdXRob3I+PC9hdXRob3JzPjwv
Y29udHJpYnV0b3JzPjxhdXRoLWFkZHJlc3M+RGVwYXJ0bWVudCBvZiBPcGh0aGFsbW9sb2d5LCBG
bGluZGVycyBVbml2ZXJzaXR5LCBBZGVsYWlkZSwgQXVzdHJhbGlhLiBFbGVjdHJvbmljIGFkZHJl
c3M6IGgubi5tYXJzaGFsbEBvdXRsb29rLmNvbS4mI3hEO0RlcGFydG1lbnQgb2YgT3BodGhhbG1v
bG9neSwgRmxpbmRlcnMgVW5pdmVyc2l0eSwgQWRlbGFpZGUsIEF1c3RyYWxpYS4mI3hEO0Rpc2Np
cGxpbmUgb2YgT3BodGhhbG1vbG9neSBhbmQgVmlzdWFsIFNjaWVuY2VzLCBVbml2ZXJzaXR5IG9m
IEFkZWxhaWRlLCBBZGVsYWlkZSwgU291dGggQXVzdHJhbGlhLiYjeEQ7Q2VudHJlIGZvciBWaXNp
b24gUmVzZWFyY2gsIFVuaXZlcnNpdHkgb2YgU3lkbmV5LCBTeWRuZXksIEF1c3RyYWxpYS4mI3hE
O0RlcGFydG1lbnQgb2YgT3BodGhhbG1vbG9neSwgVW5pdmVyc2l0eSBvZiBOZXcgU291dGggV2Fs
ZXMsIFN5ZG5leSwgQXVzdHJhbGlhLiYjeEQ7TWVuemllcyBJbnN0aXR1dGUgZm9yIE1lZGljYWwg
UmVzZWFyY2gsIFVuaXZlcnNpdHkgb2YgVGFzbWFuaWEsIFRhc21hbmlhLCBBdXN0cmFsaWEuJiN4
RDtRSU1SIEJlcmdob2ZlciBNZWRpY2FsIFJlc2VhcmNoIEluc3RpdHV0ZSwgQnJpc2JhbmUsIEF1
c3RyYWxpYS4mI3hEO0ZhY3VsdHkgb2YgSGVhbHRoIGFuZCBNZWRpY2FsIFNjaWVuY2VzLCBNYWNx
dWFyaWUgVW5pdmVyc2l0eSwgU3lkbmV5LCBBdXN0cmFsaWEuPC9hdXRoLWFkZHJlc3M+PHRpdGxl
cz48dGl0bGU+Q2FyZGlvdmFzY3VsYXIgRGlzZWFzZSBQcmVkaWN0cyBTdHJ1Y3R1cmFsIGFuZCBG
dW5jdGlvbmFsIFByb2dyZXNzaW9uIGluIEVhcmx5IEdsYXVjb21hPC90aXRsZT48c2Vjb25kYXJ5
LXRpdGxlPk9waHRoYWxtb2xvZ3k8L3NlY29uZGFyeS10aXRsZT48L3RpdGxlcz48cGVyaW9kaWNh
bD48ZnVsbC10aXRsZT5PcGh0aGFsbW9sb2d5PC9mdWxsLXRpdGxlPjwvcGVyaW9kaWNhbD48cGFn
ZXM+NTgtNjk8L3BhZ2VzPjx2b2x1bWU+MTI4PC92b2x1bWU+PG51bWJlcj4xPC9udW1iZXI+PGtl
eXdvcmRzPjxrZXl3b3JkPkFnZWQ8L2tleXdvcmQ+PGtleXdvcmQ+Q2FyZGlvdmFzY3VsYXIgRGlz
ZWFzZXMvIGNvbXBsaWNhdGlvbnM8L2tleXdvcmQ+PGtleXdvcmQ+RGlzZWFzZSBQcm9ncmVzc2lv
bjwva2V5d29yZD48a2V5d29yZD5GZW1hbGU8L2tleXdvcmQ+PGtleXdvcmQ+Rm9sbG93LVVwIFN0
dWRpZXM8L2tleXdvcmQ+PGtleXdvcmQ+R2xhdWNvbWEvY29tcGxpY2F0aW9ucy8gZGlhZ25vc2lz
PC9rZXl3b3JkPjxrZXl3b3JkPkh1bWFuczwva2V5d29yZD48a2V5d29yZD5JbnRyYW9jdWxhciBQ
cmVzc3VyZS8gcGh5c2lvbG9neTwva2V5d29yZD48a2V5d29yZD5NYWxlPC9rZXl3b3JkPjxrZXl3
b3JkPk1pZGRsZSBBZ2VkPC9rZXl3b3JkPjxrZXl3b3JkPk5lcnZlIEZpYmVycy9wYXRob2xvZ3k8
L2tleXdvcmQ+PGtleXdvcmQ+T3B0aWMgRGlzay9wYXRob2xvZ3k8L2tleXdvcmQ+PGtleXdvcmQ+
UHJvZ25vc2lzPC9rZXl3b3JkPjxrZXl3b3JkPlByb3NwZWN0aXZlIFN0dWRpZXM8L2tleXdvcmQ+
PGtleXdvcmQ+UmV0aW5hbCBHYW5nbGlvbiBDZWxscy8gcGF0aG9sb2d5PC9rZXl3b3JkPjxrZXl3
b3JkPlRpbWUgRmFjdG9yczwva2V5d29yZD48a2V5d29yZD5Ub21vZ3JhcGh5LCBPcHRpY2FsIENv
aGVyZW5jZS8gbWV0aG9kczwva2V5d29yZD48a2V5d29yZD5WaXN1YWwgQWN1aXR5PC9rZXl3b3Jk
PjxrZXl3b3JkPk9jdDwva2V5d29yZD48a2V5d29yZD5jYXJkaW92YXNjdWxhciBkaXNlYXNlPC9r
ZXl3b3JkPjxrZXl3b3JkPmdsYXVjb21hPC9rZXl3b3JkPjwva2V5d29yZHM+PGRhdGVzPjx5ZWFy
PjIwMjE8L3llYXI+PHB1Yi1kYXRlcz48ZGF0ZT5KYW48L2RhdGU+PC9wdWItZGF0ZXM+PC9kYXRl
cz48aXNibj4xNTQ5LTQ3MTMgKEVsZWN0cm9uaWMpJiN4RDswMTYxLTY0MjAgKExpbmtpbmcpPC9p
c2JuPjxhY2Nlc3Npb24tbnVtPjMyNzMwOTU2PC9hY2Nlc3Npb24tbnVtPjx1cmxzPjwvdXJscz48
L3JlY29yZD48L0NpdGU+PENpdGU+PEF1dGhvcj5DaGVuPC9BdXRob3I+PFllYXI+MjAxNjwvWWVh
cj48UmVjTnVtPjkzPC9SZWNOdW0+PHJlY29yZD48cmVjLW51bWJlcj45MzwvcmVjLW51bWJlcj48
Zm9yZWlnbi1rZXlzPjxrZXkgYXBwPSJFTiIgZGItaWQ9ImFldHh3endyOXQ5d3htZXR2emc1MnMw
dnR6d3R0eGFhcmVkOSIgdGltZXN0YW1wPSIxNjU0ODY1NTA1Ij45Mzwva2V5PjwvZm9yZWlnbi1r
ZXlzPjxyZWYtdHlwZSBuYW1lPSJKb3VybmFsIEFydGljbGUiPjE3PC9yZWYtdHlwZT48Y29udHJp
YnV0b3JzPjxhdXRob3JzPjxhdXRob3I+Q2hlbiwgWS4gWS48L2F1dGhvcj48YXV0aG9yPkh1LCBI
LiBZLjwvYXV0aG9yPjxhdXRob3I+Q2h1LCBELjwvYXV0aG9yPjxhdXRob3I+Q2hlbiwgSC4gSC48
L2F1dGhvcj48YXV0aG9yPkNoYW5nLCBDLiBLLjwvYXV0aG9yPjxhdXRob3I+Q2hvdSwgUC48L2F1
dGhvcj48L2F1dGhvcnM+PC9jb250cmlidXRvcnM+PGF1dGgtYWRkcmVzcz5TY2hvb2wgb2YgTWVk
aWNpbmUsIE5hdGlvbmFsIFlhbmctTWluZyBVbml2ZXJzaXR5LCBUYWlwZWksIFRhaXdhbi4mI3hE
O0RlcGFydG1lbnQgb2YgT3BodGhhbG1vbG9neSwgTmF0aW9uYWwgWWFuZy1NaW5nIFVuaXZlcnNp
dHkgSG9zcGl0YWwsIFlpbGFuLCBUYWl3YW4uJiN4RDtDb21tdW5pdHkgTWVkaWNpbmUgUmVzZWFy
Y2ggQ2VudGVyIGFuZCBJbnN0aXR1dGUgb2YgUHVibGljIEhlYWx0aCwgTmF0aW9uYWwgWWFuZy1N
aW5nIFVuaXZlcnNpdHksIFRhaXBlaSwgVGFpd2FuLiYjeEQ7RGVwYXJ0bWVudCBvZiBFZHVjYXRp
b24gYW5kIFJlc2VhcmNoLCBUYWlwZWkgQ2l0eSBIb3NwaXRhbCwgVGFpcGVpLCBUYWl3YW4uJiN4
RDtEZXB1dHkgU3VwZXJpbnRlbmRlbnQsIFRhaXBlaSBDaXR5IEhvc3BpdGFsLCBUYWlwZWksIFRh
aXdhbi4mI3hEO0RlcGFydG1lbnQgb2YgTWVkaWNhbCBSZXNlYXJjaCwgVGFpY2h1bmcgVmV0ZXJh
bnMgR2VuZXJhbCBIb3NwaXRhbCwgVGFpY2h1bmcsIFRhaXdhbi4mI3hEO0luc3RpdHV0ZSBvZiBC
aW9tZWRpY2FsIFNjaWVuY2UgYW5kIFJvbmcgSHNpbmcgUmVzZWFyY2ggQ2VudGVyIGZvciBUcmFu
c2xhdGlvbmFsIE1lZGljaW5lLCBDaHVuZy1Ic2luZyBVbml2ZXJzaXR5LCBUYWljaHVuZywgVGFp
d2FuLiYjeEQ7RGl2aXNpb24gb2YgQWxsZXJneSwgSW1tdW5vbG9neSBhbmQgUmhldW1hdG9sb2d5
LCBEZXBhcnRtZW50IG9mIEludGVybmFsIE1lZGljaW5lLCBUYWljaHVuZyBWZXRlcmFucyBHZW5l
cmFsIEhvc3BpdGFsLCBUYWljaHVuZywgVGFpd2FuLiYjeEQ7U2Nob29sIG9mIE1lZGljaW5lLCBD
aHVuZy1TaGFuIE1lZGljYWwgVW5pdmVyc2l0eSwgVGFpY2h1bmcsIFRhaXdhbi4mI3hEO0RlcGFy
dG1lbnQgb2YgTWVkaWNhbCBFZHVjYXRpb24sIFRhaWNodW5nIFZldGVyYW5zIEdlbmVyYWwgSG9z
cGl0YWwsIFRhaWNodW5nLCBUYWl3YW4uJiN4RDtEZXBhcnRtZW50IG9mIFBzeWNob2xvZ2ljYWwg
TWVkaWNpbmUsIEluc3RpdHV0ZSBvZiBQc3ljaGlhdHJ5LCBQc3ljaG9sb2d5IGFuZCBOZXVyb3Nj
aWVuY2UsIEtpbmcmYXBvcztzIENvbGxlZ2UgTG9uZG9uLCBMb25kb24sIFVuaXRlZCBLaW5nZG9t
LjwvYXV0aC1hZGRyZXNzPjx0aXRsZXM+PHRpdGxlPlBhdGllbnRzIHdpdGggUHJpbWFyeSBPcGVu
LUFuZ2xlIEdsYXVjb21hIE1heSBEZXZlbG9wIElzY2hlbWljIEhlYXJ0IERpc2Vhc2UgTW9yZSBP
ZnRlbiB0aGFuIFRob3NlIHdpdGhvdXQgR2xhdWNvbWE6IEFuIDExLVllYXIgUG9wdWxhdGlvbi1C
YXNlZCBDb2hvcnQgU3R1ZHk8L3RpdGxlPjxzZWNvbmRhcnktdGl0bGU+UExvUyBPbmU8L3NlY29u
ZGFyeS10aXRsZT48L3RpdGxlcz48cGVyaW9kaWNhbD48ZnVsbC10aXRsZT5QTG9TIE9uZTwvZnVs
bC10aXRsZT48L3BlcmlvZGljYWw+PHBhZ2VzPmUwMTYzMjEwPC9wYWdlcz48dm9sdW1lPjExPC92
b2x1bWU+PG51bWJlcj45PC9udW1iZXI+PGtleXdvcmRzPjxrZXl3b3JkPkFnZWQ8L2tleXdvcmQ+
PGtleXdvcmQ+Q29tb3JiaWRpdHk8L2tleXdvcmQ+PGtleXdvcmQ+RGF0YWJhc2VzLCBGYWN0dWFs
PC9rZXl3b3JkPjxrZXl3b3JkPkZlbWFsZTwva2V5d29yZD48a2V5d29yZD5HbGF1Y29tYSwgT3Bl
bi1BbmdsZS8gZXBpZGVtaW9sb2d5PC9rZXl3b3JkPjxrZXl3b3JkPkh1bWFuczwva2V5d29yZD48
a2V5d29yZD5JbmNpZGVuY2U8L2tleXdvcmQ+PGtleXdvcmQ+TWFsZTwva2V5d29yZD48a2V5d29y
ZD5NaWRkbGUgQWdlZDwva2V5d29yZD48a2V5d29yZD5NeW9jYXJkaWFsIElzY2hlbWlhLyBlcGlk
ZW1pb2xvZ3k8L2tleXdvcmQ+PGtleXdvcmQ+Umlzazwva2V5d29yZD48a2V5d29yZD5SaXNrIEFz
c2Vzc21lbnQ8L2tleXdvcmQ+PGtleXdvcmQ+VGFpd2FuL2VwaWRlbWlvbG9neTwva2V5d29yZD48
L2tleXdvcmRzPjxkYXRlcz48eWVhcj4yMDE2PC95ZWFyPjwvZGF0ZXM+PGlzYm4+MTkzMi02MjAz
IChFbGVjdHJvbmljKSYjeEQ7MTkzMi02MjAzIChMaW5raW5nKTwvaXNibj48YWNjZXNzaW9uLW51
bT4yNzY0OTQxNDwvYWNjZXNzaW9uLW51bT48dXJscz48L3VybHM+PC9yZWNvcmQ+PC9DaXRlPjwv
RW5kTm90ZT4A
</w:fldData>
        </w:fldChar>
      </w:r>
      <w:r w:rsidR="00F16ACA">
        <w:rPr>
          <w:rFonts w:ascii="Times New Roman" w:hAnsi="Times New Roman" w:cs="Times New Roman"/>
        </w:rPr>
        <w:instrText xml:space="preserve"> ADDIN EN.CITE </w:instrText>
      </w:r>
      <w:r w:rsidR="00F16ACA">
        <w:rPr>
          <w:rFonts w:ascii="Times New Roman" w:hAnsi="Times New Roman" w:cs="Times New Roman"/>
        </w:rPr>
        <w:fldChar w:fldCharType="begin">
          <w:fldData xml:space="preserve">PEVuZE5vdGU+PENpdGU+PEF1dGhvcj5DaGE8L0F1dGhvcj48WWVhcj4yMDE2PC9ZZWFyPjxSZWNO
dW0+OTE8L1JlY051bT48RGlzcGxheVRleHQ+PHN0eWxlIHNpemU9IjEwIj5bNy05XTwvc3R5bGU+
PC9EaXNwbGF5VGV4dD48cmVjb3JkPjxyZWMtbnVtYmVyPjkxPC9yZWMtbnVtYmVyPjxmb3JlaWdu
LWtleXM+PGtleSBhcHA9IkVOIiBkYi1pZD0iYWV0eHd6d3I5dDl3eG1ldHZ6ZzUyczB2dHp3dHR4
YWFyZWQ5IiB0aW1lc3RhbXA9IjE2NTQ4NjUzOTkiPjkxPC9rZXk+PC9mb3JlaWduLWtleXM+PHJl
Zi10eXBlIG5hbWU9IkpvdXJuYWwgQXJ0aWNsZSI+MTc8L3JlZi10eXBlPjxjb250cmlidXRvcnM+
PGF1dGhvcnM+PGF1dGhvcj5DaGEsIFNvb25jaGVvbDwvYXV0aG9yPjxhdXRob3I+R3UsIEJ5b3Vu
Z3lvdW5nPC9hdXRob3I+PGF1dGhvcj5TYWdvbmcsIE1pbjwvYXV0aG9yPjxhdXRob3I+U29uLCBK
dW5IeXVrPC9hdXRob3I+PGF1dGhvcj5LaW0sIE1vb2h5dW48L2F1dGhvcj48L2F1dGhvcnM+PC9j
b250cmlidXRvcnM+PHRpdGxlcz48dGl0bGU+QXNzb2NpYXRpb24gYmV0d2VlbiBnbGF1Y29tYSBh
bmQgY2FyZGlvdmFzY3VsYXIgZGlzZWFzZSByaXNrIGluIEtvcmVhbiBwb3B1bGF0aW9uIGJhc2Vk
IHN0dWR5PC90aXRsZT48c2Vjb25kYXJ5LXRpdGxlPkludmVzdGlnYXRpdmUgT3BodGhhbG1vbG9n
eSAmYW1wOyBWaXN1YWwgU2NpZW5jZTwvc2Vjb25kYXJ5LXRpdGxlPjwvdGl0bGVzPjxwZXJpb2Rp
Y2FsPjxmdWxsLXRpdGxlPkludmVzdGlnYXRpdmUgT3BodGhhbG1vbG9neSAmYW1wOyBWaXN1YWwg
U2NpZW5jZTwvZnVsbC10aXRsZT48L3BlcmlvZGljYWw+PHBhZ2VzPjI2MTQtMjYxNDwvcGFnZXM+
PHZvbHVtZT41Nzwvdm9sdW1lPjxudW1iZXI+MTI8L251bWJlcj48ZGF0ZXM+PHllYXI+MjAxNjwv
eWVhcj48L2RhdGVzPjxpc2JuPjE1NTItNTc4MzwvaXNibj48dXJscz48L3VybHM+PGFjY2Vzcy1k
YXRlPjYvMTAvMjAyMjwvYWNjZXNzLWRhdGU+PC9yZWNvcmQ+PC9DaXRlPjxDaXRlPjxBdXRob3I+
TWFyc2hhbGw8L0F1dGhvcj48WWVhcj4yMDIxPC9ZZWFyPjxSZWNOdW0+OTI8L1JlY051bT48cmVj
b3JkPjxyZWMtbnVtYmVyPjkyPC9yZWMtbnVtYmVyPjxmb3JlaWduLWtleXM+PGtleSBhcHA9IkVO
IiBkYi1pZD0iYWV0eHd6d3I5dDl3eG1ldHZ6ZzUyczB2dHp3dHR4YWFyZWQ5IiB0aW1lc3RhbXA9
IjE2NTQ4NjU0NzciPjkyPC9rZXk+PC9mb3JlaWduLWtleXM+PHJlZi10eXBlIG5hbWU9IkpvdXJu
YWwgQXJ0aWNsZSI+MTc8L3JlZi10eXBlPjxjb250cmlidXRvcnM+PGF1dGhvcnM+PGF1dGhvcj5N
YXJzaGFsbCwgSC48L2F1dGhvcj48YXV0aG9yPk11bGxhbnksIFMuPC9hdXRob3I+PGF1dGhvcj5R
YXNzaW0sIEEuPC9hdXRob3I+PGF1dGhvcj5TaWdncywgTy48L2F1dGhvcj48YXV0aG9yPkhhc3Nh
bGwsIE0uPC9hdXRob3I+PGF1dGhvcj5SaWRnZSwgQi48L2F1dGhvcj48YXV0aG9yPk5ndXllbiwg
VC48L2F1dGhvcj48YXV0aG9yPkF3YWRhbGxhLCBNLjwvYXV0aG9yPjxhdXRob3I+QW5kcmV3LCBO
LiBILjwvYXV0aG9yPjxhdXRob3I+SGVhbGV5LCBQLiBSLjwvYXV0aG9yPjxhdXRob3I+QWdhciwg
QS48L2F1dGhvcj48YXV0aG9yPkdhbGFub3BvdWxvcywgQS48L2F1dGhvcj48YXV0aG9yPkhld2l0
dCwgQS4gVy48L2F1dGhvcj48YXV0aG9yPk1hY0dyZWdvciwgUy48L2F1dGhvcj48YXV0aG9yPkdy
YWhhbSwgUy4gTC48L2F1dGhvcj48YXV0aG9yPk1pbGxzLCBSLjwvYXV0aG9yPjxhdXRob3I+U2h1
bHosIEEuPC9hdXRob3I+PGF1dGhvcj5MYW5kZXJzLCBKLjwvYXV0aG9yPjxhdXRob3I+Q2Fzc29u
LCBSLiBKLjwvYXV0aG9yPjxhdXRob3I+Q3JhaWcsIEouIEUuPC9hdXRob3I+PC9hdXRob3JzPjwv
Y29udHJpYnV0b3JzPjxhdXRoLWFkZHJlc3M+RGVwYXJ0bWVudCBvZiBPcGh0aGFsbW9sb2d5LCBG
bGluZGVycyBVbml2ZXJzaXR5LCBBZGVsYWlkZSwgQXVzdHJhbGlhLiBFbGVjdHJvbmljIGFkZHJl
c3M6IGgubi5tYXJzaGFsbEBvdXRsb29rLmNvbS4mI3hEO0RlcGFydG1lbnQgb2YgT3BodGhhbG1v
bG9neSwgRmxpbmRlcnMgVW5pdmVyc2l0eSwgQWRlbGFpZGUsIEF1c3RyYWxpYS4mI3hEO0Rpc2Np
cGxpbmUgb2YgT3BodGhhbG1vbG9neSBhbmQgVmlzdWFsIFNjaWVuY2VzLCBVbml2ZXJzaXR5IG9m
IEFkZWxhaWRlLCBBZGVsYWlkZSwgU291dGggQXVzdHJhbGlhLiYjeEQ7Q2VudHJlIGZvciBWaXNp
b24gUmVzZWFyY2gsIFVuaXZlcnNpdHkgb2YgU3lkbmV5LCBTeWRuZXksIEF1c3RyYWxpYS4mI3hE
O0RlcGFydG1lbnQgb2YgT3BodGhhbG1vbG9neSwgVW5pdmVyc2l0eSBvZiBOZXcgU291dGggV2Fs
ZXMsIFN5ZG5leSwgQXVzdHJhbGlhLiYjeEQ7TWVuemllcyBJbnN0aXR1dGUgZm9yIE1lZGljYWwg
UmVzZWFyY2gsIFVuaXZlcnNpdHkgb2YgVGFzbWFuaWEsIFRhc21hbmlhLCBBdXN0cmFsaWEuJiN4
RDtRSU1SIEJlcmdob2ZlciBNZWRpY2FsIFJlc2VhcmNoIEluc3RpdHV0ZSwgQnJpc2JhbmUsIEF1
c3RyYWxpYS4mI3hEO0ZhY3VsdHkgb2YgSGVhbHRoIGFuZCBNZWRpY2FsIFNjaWVuY2VzLCBNYWNx
dWFyaWUgVW5pdmVyc2l0eSwgU3lkbmV5LCBBdXN0cmFsaWEuPC9hdXRoLWFkZHJlc3M+PHRpdGxl
cz48dGl0bGU+Q2FyZGlvdmFzY3VsYXIgRGlzZWFzZSBQcmVkaWN0cyBTdHJ1Y3R1cmFsIGFuZCBG
dW5jdGlvbmFsIFByb2dyZXNzaW9uIGluIEVhcmx5IEdsYXVjb21hPC90aXRsZT48c2Vjb25kYXJ5
LXRpdGxlPk9waHRoYWxtb2xvZ3k8L3NlY29uZGFyeS10aXRsZT48L3RpdGxlcz48cGVyaW9kaWNh
bD48ZnVsbC10aXRsZT5PcGh0aGFsbW9sb2d5PC9mdWxsLXRpdGxlPjwvcGVyaW9kaWNhbD48cGFn
ZXM+NTgtNjk8L3BhZ2VzPjx2b2x1bWU+MTI4PC92b2x1bWU+PG51bWJlcj4xPC9udW1iZXI+PGtl
eXdvcmRzPjxrZXl3b3JkPkFnZWQ8L2tleXdvcmQ+PGtleXdvcmQ+Q2FyZGlvdmFzY3VsYXIgRGlz
ZWFzZXMvIGNvbXBsaWNhdGlvbnM8L2tleXdvcmQ+PGtleXdvcmQ+RGlzZWFzZSBQcm9ncmVzc2lv
bjwva2V5d29yZD48a2V5d29yZD5GZW1hbGU8L2tleXdvcmQ+PGtleXdvcmQ+Rm9sbG93LVVwIFN0
dWRpZXM8L2tleXdvcmQ+PGtleXdvcmQ+R2xhdWNvbWEvY29tcGxpY2F0aW9ucy8gZGlhZ25vc2lz
PC9rZXl3b3JkPjxrZXl3b3JkPkh1bWFuczwva2V5d29yZD48a2V5d29yZD5JbnRyYW9jdWxhciBQ
cmVzc3VyZS8gcGh5c2lvbG9neTwva2V5d29yZD48a2V5d29yZD5NYWxlPC9rZXl3b3JkPjxrZXl3
b3JkPk1pZGRsZSBBZ2VkPC9rZXl3b3JkPjxrZXl3b3JkPk5lcnZlIEZpYmVycy9wYXRob2xvZ3k8
L2tleXdvcmQ+PGtleXdvcmQ+T3B0aWMgRGlzay9wYXRob2xvZ3k8L2tleXdvcmQ+PGtleXdvcmQ+
UHJvZ25vc2lzPC9rZXl3b3JkPjxrZXl3b3JkPlByb3NwZWN0aXZlIFN0dWRpZXM8L2tleXdvcmQ+
PGtleXdvcmQ+UmV0aW5hbCBHYW5nbGlvbiBDZWxscy8gcGF0aG9sb2d5PC9rZXl3b3JkPjxrZXl3
b3JkPlRpbWUgRmFjdG9yczwva2V5d29yZD48a2V5d29yZD5Ub21vZ3JhcGh5LCBPcHRpY2FsIENv
aGVyZW5jZS8gbWV0aG9kczwva2V5d29yZD48a2V5d29yZD5WaXN1YWwgQWN1aXR5PC9rZXl3b3Jk
PjxrZXl3b3JkPk9jdDwva2V5d29yZD48a2V5d29yZD5jYXJkaW92YXNjdWxhciBkaXNlYXNlPC9r
ZXl3b3JkPjxrZXl3b3JkPmdsYXVjb21hPC9rZXl3b3JkPjwva2V5d29yZHM+PGRhdGVzPjx5ZWFy
PjIwMjE8L3llYXI+PHB1Yi1kYXRlcz48ZGF0ZT5KYW48L2RhdGU+PC9wdWItZGF0ZXM+PC9kYXRl
cz48aXNibj4xNTQ5LTQ3MTMgKEVsZWN0cm9uaWMpJiN4RDswMTYxLTY0MjAgKExpbmtpbmcpPC9p
c2JuPjxhY2Nlc3Npb24tbnVtPjMyNzMwOTU2PC9hY2Nlc3Npb24tbnVtPjx1cmxzPjwvdXJscz48
L3JlY29yZD48L0NpdGU+PENpdGU+PEF1dGhvcj5DaGVuPC9BdXRob3I+PFllYXI+MjAxNjwvWWVh
cj48UmVjTnVtPjkzPC9SZWNOdW0+PHJlY29yZD48cmVjLW51bWJlcj45MzwvcmVjLW51bWJlcj48
Zm9yZWlnbi1rZXlzPjxrZXkgYXBwPSJFTiIgZGItaWQ9ImFldHh3endyOXQ5d3htZXR2emc1MnMw
dnR6d3R0eGFhcmVkOSIgdGltZXN0YW1wPSIxNjU0ODY1NTA1Ij45Mzwva2V5PjwvZm9yZWlnbi1r
ZXlzPjxyZWYtdHlwZSBuYW1lPSJKb3VybmFsIEFydGljbGUiPjE3PC9yZWYtdHlwZT48Y29udHJp
YnV0b3JzPjxhdXRob3JzPjxhdXRob3I+Q2hlbiwgWS4gWS48L2F1dGhvcj48YXV0aG9yPkh1LCBI
LiBZLjwvYXV0aG9yPjxhdXRob3I+Q2h1LCBELjwvYXV0aG9yPjxhdXRob3I+Q2hlbiwgSC4gSC48
L2F1dGhvcj48YXV0aG9yPkNoYW5nLCBDLiBLLjwvYXV0aG9yPjxhdXRob3I+Q2hvdSwgUC48L2F1
dGhvcj48L2F1dGhvcnM+PC9jb250cmlidXRvcnM+PGF1dGgtYWRkcmVzcz5TY2hvb2wgb2YgTWVk
aWNpbmUsIE5hdGlvbmFsIFlhbmctTWluZyBVbml2ZXJzaXR5LCBUYWlwZWksIFRhaXdhbi4mI3hE
O0RlcGFydG1lbnQgb2YgT3BodGhhbG1vbG9neSwgTmF0aW9uYWwgWWFuZy1NaW5nIFVuaXZlcnNp
dHkgSG9zcGl0YWwsIFlpbGFuLCBUYWl3YW4uJiN4RDtDb21tdW5pdHkgTWVkaWNpbmUgUmVzZWFy
Y2ggQ2VudGVyIGFuZCBJbnN0aXR1dGUgb2YgUHVibGljIEhlYWx0aCwgTmF0aW9uYWwgWWFuZy1N
aW5nIFVuaXZlcnNpdHksIFRhaXBlaSwgVGFpd2FuLiYjeEQ7RGVwYXJ0bWVudCBvZiBFZHVjYXRp
b24gYW5kIFJlc2VhcmNoLCBUYWlwZWkgQ2l0eSBIb3NwaXRhbCwgVGFpcGVpLCBUYWl3YW4uJiN4
RDtEZXB1dHkgU3VwZXJpbnRlbmRlbnQsIFRhaXBlaSBDaXR5IEhvc3BpdGFsLCBUYWlwZWksIFRh
aXdhbi4mI3hEO0RlcGFydG1lbnQgb2YgTWVkaWNhbCBSZXNlYXJjaCwgVGFpY2h1bmcgVmV0ZXJh
bnMgR2VuZXJhbCBIb3NwaXRhbCwgVGFpY2h1bmcsIFRhaXdhbi4mI3hEO0luc3RpdHV0ZSBvZiBC
aW9tZWRpY2FsIFNjaWVuY2UgYW5kIFJvbmcgSHNpbmcgUmVzZWFyY2ggQ2VudGVyIGZvciBUcmFu
c2xhdGlvbmFsIE1lZGljaW5lLCBDaHVuZy1Ic2luZyBVbml2ZXJzaXR5LCBUYWljaHVuZywgVGFp
d2FuLiYjeEQ7RGl2aXNpb24gb2YgQWxsZXJneSwgSW1tdW5vbG9neSBhbmQgUmhldW1hdG9sb2d5
LCBEZXBhcnRtZW50IG9mIEludGVybmFsIE1lZGljaW5lLCBUYWljaHVuZyBWZXRlcmFucyBHZW5l
cmFsIEhvc3BpdGFsLCBUYWljaHVuZywgVGFpd2FuLiYjeEQ7U2Nob29sIG9mIE1lZGljaW5lLCBD
aHVuZy1TaGFuIE1lZGljYWwgVW5pdmVyc2l0eSwgVGFpY2h1bmcsIFRhaXdhbi4mI3hEO0RlcGFy
dG1lbnQgb2YgTWVkaWNhbCBFZHVjYXRpb24sIFRhaWNodW5nIFZldGVyYW5zIEdlbmVyYWwgSG9z
cGl0YWwsIFRhaWNodW5nLCBUYWl3YW4uJiN4RDtEZXBhcnRtZW50IG9mIFBzeWNob2xvZ2ljYWwg
TWVkaWNpbmUsIEluc3RpdHV0ZSBvZiBQc3ljaGlhdHJ5LCBQc3ljaG9sb2d5IGFuZCBOZXVyb3Nj
aWVuY2UsIEtpbmcmYXBvcztzIENvbGxlZ2UgTG9uZG9uLCBMb25kb24sIFVuaXRlZCBLaW5nZG9t
LjwvYXV0aC1hZGRyZXNzPjx0aXRsZXM+PHRpdGxlPlBhdGllbnRzIHdpdGggUHJpbWFyeSBPcGVu
LUFuZ2xlIEdsYXVjb21hIE1heSBEZXZlbG9wIElzY2hlbWljIEhlYXJ0IERpc2Vhc2UgTW9yZSBP
ZnRlbiB0aGFuIFRob3NlIHdpdGhvdXQgR2xhdWNvbWE6IEFuIDExLVllYXIgUG9wdWxhdGlvbi1C
YXNlZCBDb2hvcnQgU3R1ZHk8L3RpdGxlPjxzZWNvbmRhcnktdGl0bGU+UExvUyBPbmU8L3NlY29u
ZGFyeS10aXRsZT48L3RpdGxlcz48cGVyaW9kaWNhbD48ZnVsbC10aXRsZT5QTG9TIE9uZTwvZnVs
bC10aXRsZT48L3BlcmlvZGljYWw+PHBhZ2VzPmUwMTYzMjEwPC9wYWdlcz48dm9sdW1lPjExPC92
b2x1bWU+PG51bWJlcj45PC9udW1iZXI+PGtleXdvcmRzPjxrZXl3b3JkPkFnZWQ8L2tleXdvcmQ+
PGtleXdvcmQ+Q29tb3JiaWRpdHk8L2tleXdvcmQ+PGtleXdvcmQ+RGF0YWJhc2VzLCBGYWN0dWFs
PC9rZXl3b3JkPjxrZXl3b3JkPkZlbWFsZTwva2V5d29yZD48a2V5d29yZD5HbGF1Y29tYSwgT3Bl
bi1BbmdsZS8gZXBpZGVtaW9sb2d5PC9rZXl3b3JkPjxrZXl3b3JkPkh1bWFuczwva2V5d29yZD48
a2V5d29yZD5JbmNpZGVuY2U8L2tleXdvcmQ+PGtleXdvcmQ+TWFsZTwva2V5d29yZD48a2V5d29y
ZD5NaWRkbGUgQWdlZDwva2V5d29yZD48a2V5d29yZD5NeW9jYXJkaWFsIElzY2hlbWlhLyBlcGlk
ZW1pb2xvZ3k8L2tleXdvcmQ+PGtleXdvcmQ+Umlzazwva2V5d29yZD48a2V5d29yZD5SaXNrIEFz
c2Vzc21lbnQ8L2tleXdvcmQ+PGtleXdvcmQ+VGFpd2FuL2VwaWRlbWlvbG9neTwva2V5d29yZD48
L2tleXdvcmRzPjxkYXRlcz48eWVhcj4yMDE2PC95ZWFyPjwvZGF0ZXM+PGlzYm4+MTkzMi02MjAz
IChFbGVjdHJvbmljKSYjeEQ7MTkzMi02MjAzIChMaW5raW5nKTwvaXNibj48YWNjZXNzaW9uLW51
bT4yNzY0OTQxNDwvYWNjZXNzaW9uLW51bT48dXJscz48L3VybHM+PC9yZWNvcmQ+PC9DaXRlPjwv
RW5kTm90ZT4A
</w:fldData>
        </w:fldChar>
      </w:r>
      <w:r w:rsidR="00F16ACA">
        <w:rPr>
          <w:rFonts w:ascii="Times New Roman" w:hAnsi="Times New Roman" w:cs="Times New Roman"/>
        </w:rPr>
        <w:instrText xml:space="preserve"> ADDIN EN.CITE.DATA </w:instrText>
      </w:r>
      <w:r w:rsidR="00F16ACA">
        <w:rPr>
          <w:rFonts w:ascii="Times New Roman" w:hAnsi="Times New Roman" w:cs="Times New Roman"/>
        </w:rPr>
      </w:r>
      <w:r w:rsidR="00F16ACA">
        <w:rPr>
          <w:rFonts w:ascii="Times New Roman" w:hAnsi="Times New Roman" w:cs="Times New Roman"/>
        </w:rPr>
        <w:fldChar w:fldCharType="end"/>
      </w:r>
      <w:r w:rsidR="00F16ACA">
        <w:rPr>
          <w:rFonts w:ascii="Times New Roman" w:hAnsi="Times New Roman" w:cs="Times New Roman"/>
        </w:rPr>
      </w:r>
      <w:r w:rsidR="00F16ACA">
        <w:rPr>
          <w:rFonts w:ascii="Times New Roman" w:hAnsi="Times New Roman" w:cs="Times New Roman"/>
        </w:rPr>
        <w:fldChar w:fldCharType="separate"/>
      </w:r>
      <w:r w:rsidR="00F16ACA" w:rsidRPr="00F16ACA">
        <w:rPr>
          <w:rFonts w:ascii="Times New Roman" w:hAnsi="Times New Roman" w:cs="Times New Roman"/>
          <w:noProof/>
          <w:sz w:val="20"/>
        </w:rPr>
        <w:t>[7-9]</w:t>
      </w:r>
      <w:r w:rsidR="00F16ACA">
        <w:rPr>
          <w:rFonts w:ascii="Times New Roman" w:hAnsi="Times New Roman" w:cs="Times New Roman"/>
        </w:rPr>
        <w:fldChar w:fldCharType="end"/>
      </w:r>
      <w:r>
        <w:rPr>
          <w:rFonts w:ascii="Times New Roman" w:hAnsi="Times New Roman" w:cs="Times New Roman"/>
        </w:rPr>
        <w:t>, we believe this is more linked to their shared pathology, impaired auto regulatory capacity of glaucomatous eyes and arterial stiffness of CVD</w:t>
      </w:r>
      <w:r w:rsidR="00F16ACA" w:rsidRPr="00F16ACA">
        <w:t xml:space="preserve"> </w:t>
      </w:r>
      <w:r w:rsidR="00F16ACA">
        <w:rPr>
          <w:rFonts w:ascii="Times New Roman" w:hAnsi="Times New Roman" w:cs="Times New Roman"/>
        </w:rPr>
        <w:fldChar w:fldCharType="begin"/>
      </w:r>
      <w:r w:rsidR="00F16ACA">
        <w:rPr>
          <w:rFonts w:ascii="Times New Roman" w:hAnsi="Times New Roman" w:cs="Times New Roman"/>
        </w:rPr>
        <w:instrText xml:space="preserve"> ADDIN EN.CITE &lt;EndNote&gt;&lt;Cite&gt;&lt;Author&gt;Cha&lt;/Author&gt;&lt;Year&gt;2016&lt;/Year&gt;&lt;RecNum&gt;91&lt;/RecNum&gt;&lt;DisplayText&gt;&lt;style size="10"&gt;[7]&lt;/style&gt;&lt;/DisplayText&gt;&lt;record&gt;&lt;rec-number&gt;91&lt;/rec-number&gt;&lt;foreign-keys&gt;&lt;key app="EN" db-id="aetxwzwr9t9wxmetvzg52s0vtzwttxaared9" timestamp="1654865399"&gt;91&lt;/key&gt;&lt;/foreign-keys&gt;&lt;ref-type name="Journal Article"&gt;17&lt;/ref-type&gt;&lt;contributors&gt;&lt;authors&gt;&lt;author&gt;Cha, Sooncheol&lt;/author&gt;&lt;author&gt;Gu, Byoungyoung&lt;/author&gt;&lt;author&gt;Sagong, Min&lt;/author&gt;&lt;author&gt;Son, JunHyuk&lt;/author&gt;&lt;author&gt;Kim, Moohyun&lt;/author&gt;&lt;/authors&gt;&lt;/contributors&gt;&lt;titles&gt;&lt;title&gt;Association between glaucoma and cardiovascular disease risk in Korean population based study&lt;/title&gt;&lt;secondary-title&gt;Investigative Ophthalmology &amp;amp; Visual Science&lt;/secondary-title&gt;&lt;/titles&gt;&lt;periodical&gt;&lt;full-title&gt;Investigative Ophthalmology &amp;amp; Visual Science&lt;/full-title&gt;&lt;/periodical&gt;&lt;pages&gt;2614-2614&lt;/pages&gt;&lt;volume&gt;57&lt;/volume&gt;&lt;number&gt;12&lt;/number&gt;&lt;dates&gt;&lt;year&gt;2016&lt;/year&gt;&lt;/dates&gt;&lt;isbn&gt;1552-5783&lt;/isbn&gt;&lt;urls&gt;&lt;/urls&gt;&lt;access-date&gt;6/10/2022&lt;/access-date&gt;&lt;/record&gt;&lt;/Cite&gt;&lt;/EndNote&gt;</w:instrText>
      </w:r>
      <w:r w:rsidR="00F16ACA">
        <w:rPr>
          <w:rFonts w:ascii="Times New Roman" w:hAnsi="Times New Roman" w:cs="Times New Roman"/>
        </w:rPr>
        <w:fldChar w:fldCharType="separate"/>
      </w:r>
      <w:r w:rsidR="00F16ACA" w:rsidRPr="00F16ACA">
        <w:rPr>
          <w:rFonts w:ascii="Times New Roman" w:hAnsi="Times New Roman" w:cs="Times New Roman"/>
          <w:noProof/>
          <w:sz w:val="20"/>
        </w:rPr>
        <w:t>[7]</w:t>
      </w:r>
      <w:r w:rsidR="00F16ACA">
        <w:rPr>
          <w:rFonts w:ascii="Times New Roman" w:hAnsi="Times New Roman" w:cs="Times New Roman"/>
        </w:rPr>
        <w:fldChar w:fldCharType="end"/>
      </w:r>
      <w:r>
        <w:rPr>
          <w:rFonts w:ascii="Times New Roman" w:hAnsi="Times New Roman" w:cs="Times New Roman"/>
        </w:rPr>
        <w:t>,</w:t>
      </w:r>
      <w:r w:rsidR="00F16ACA">
        <w:rPr>
          <w:rFonts w:ascii="Times New Roman" w:hAnsi="Times New Roman" w:cs="Times New Roman"/>
        </w:rPr>
        <w:t xml:space="preserve"> or even genetics</w:t>
      </w:r>
      <w:r w:rsidR="00F16ACA" w:rsidRPr="00F16ACA">
        <w:t xml:space="preserve"> </w:t>
      </w:r>
      <w:r w:rsidR="00F16ACA">
        <w:rPr>
          <w:rFonts w:ascii="Times New Roman" w:hAnsi="Times New Roman" w:cs="Times New Roman"/>
        </w:rPr>
        <w:fldChar w:fldCharType="begin"/>
      </w:r>
      <w:r w:rsidR="00F16ACA">
        <w:rPr>
          <w:rFonts w:ascii="Times New Roman" w:hAnsi="Times New Roman" w:cs="Times New Roman"/>
        </w:rPr>
        <w:instrText xml:space="preserve"> ADDIN EN.CITE &lt;EndNote&gt;&lt;Cite&gt;&lt;Author&gt;Marshall&lt;/Author&gt;&lt;Year&gt;2022&lt;/Year&gt;&lt;RecNum&gt;94&lt;/RecNum&gt;&lt;DisplayText&gt;&lt;style size="10"&gt;[10]&lt;/style&gt;&lt;/DisplayText&gt;&lt;record&gt;&lt;rec-number&gt;94&lt;/rec-number&gt;&lt;foreign-keys&gt;&lt;key app="EN" db-id="aetxwzwr9t9wxmetvzg52s0vtzwttxaared9" timestamp="1654865633"&gt;94&lt;/key&gt;&lt;/foreign-keys&gt;&lt;ref-type name="Journal Article"&gt;17&lt;/ref-type&gt;&lt;contributors&gt;&lt;authors&gt;&lt;author&gt;Marshall, Henry&lt;/author&gt;&lt;author&gt;Mullany, Sean&lt;/author&gt;&lt;author&gt;Han, Xikun&lt;/author&gt;&lt;author&gt;Berry, Ella C.&lt;/author&gt;&lt;author&gt;Hassall, Mark M.&lt;/author&gt;&lt;author&gt;Qassim, Ayub&lt;/author&gt;&lt;author&gt;Nguyen, Thi&lt;/author&gt;&lt;author&gt;Hollitt, Georgina L.&lt;/author&gt;&lt;author&gt;Knight, Lachlan S. W.&lt;/author&gt;&lt;author&gt;Ridge, Bronwyn&lt;/author&gt;&lt;author&gt;Schmidt, Joshua&lt;/author&gt;&lt;author&gt;Crowley, Caroline&lt;/author&gt;&lt;author&gt;Schulz, Angela&lt;/author&gt;&lt;author&gt;Mills, Richard A.&lt;/author&gt;&lt;author&gt;Agar, Ashish&lt;/author&gt;&lt;author&gt;Galanopoulos, Anna&lt;/author&gt;&lt;author&gt;Landers, John&lt;/author&gt;&lt;author&gt;Healey, Paul R.&lt;/author&gt;&lt;author&gt;Graham, Stuart L.&lt;/author&gt;&lt;author&gt;Hewitt, Alex W.&lt;/author&gt;&lt;author&gt;Casson, Robert J.&lt;/author&gt;&lt;author&gt;MacGregor, Stuart&lt;/author&gt;&lt;author&gt;Siggs, Owen M.&lt;/author&gt;&lt;author&gt;Craig, Jamie E.&lt;/author&gt;&lt;/authors&gt;&lt;/contributors&gt;&lt;titles&gt;&lt;title&gt;Genetic Risk of Cardiovascular Disease Is Associated with Macular Ganglion Cell–Inner Plexiform Layer Thinning in an Early Glaucoma Cohort&lt;/title&gt;&lt;secondary-title&gt;Ophthalmology Science&lt;/secondary-title&gt;&lt;/titles&gt;&lt;periodical&gt;&lt;full-title&gt;Ophthalmology Science&lt;/full-title&gt;&lt;/periodical&gt;&lt;pages&gt;100108&lt;/pages&gt;&lt;volume&gt;2&lt;/volume&gt;&lt;number&gt;1&lt;/number&gt;&lt;keywords&gt;&lt;keyword&gt;Cardiovascular disease&lt;/keyword&gt;&lt;keyword&gt;Glaucoma&lt;/keyword&gt;&lt;keyword&gt;Macular GCIPL&lt;/keyword&gt;&lt;keyword&gt;Paracentral visual field&lt;/keyword&gt;&lt;keyword&gt;Retinal thinning&lt;/keyword&gt;&lt;/keywords&gt;&lt;dates&gt;&lt;year&gt;2022&lt;/year&gt;&lt;pub-dates&gt;&lt;date&gt;2022/03/01/&lt;/date&gt;&lt;/pub-dates&gt;&lt;/dates&gt;&lt;isbn&gt;2666-9145&lt;/isbn&gt;&lt;urls&gt;&lt;related-urls&gt;&lt;url&gt;https://www.sciencedirect.com/science/article/pii/S2666914521001068&lt;/url&gt;&lt;/related-urls&gt;&lt;/urls&gt;&lt;electronic-resource-num&gt;https://doi.org/10.1016/j.xops.2021.100108&lt;/electronic-resource-num&gt;&lt;/record&gt;&lt;/Cite&gt;&lt;/EndNote&gt;</w:instrText>
      </w:r>
      <w:r w:rsidR="00F16ACA">
        <w:rPr>
          <w:rFonts w:ascii="Times New Roman" w:hAnsi="Times New Roman" w:cs="Times New Roman"/>
        </w:rPr>
        <w:fldChar w:fldCharType="separate"/>
      </w:r>
      <w:r w:rsidR="00F16ACA" w:rsidRPr="00F16ACA">
        <w:rPr>
          <w:rFonts w:ascii="Times New Roman" w:hAnsi="Times New Roman" w:cs="Times New Roman"/>
          <w:noProof/>
          <w:sz w:val="20"/>
        </w:rPr>
        <w:t>[10]</w:t>
      </w:r>
      <w:r w:rsidR="00F16ACA">
        <w:rPr>
          <w:rFonts w:ascii="Times New Roman" w:hAnsi="Times New Roman" w:cs="Times New Roman"/>
        </w:rPr>
        <w:fldChar w:fldCharType="end"/>
      </w:r>
      <w:r w:rsidR="00F16ACA">
        <w:rPr>
          <w:rFonts w:ascii="Times New Roman" w:hAnsi="Times New Roman" w:cs="Times New Roman"/>
        </w:rPr>
        <w:t>,</w:t>
      </w:r>
      <w:r>
        <w:rPr>
          <w:rFonts w:ascii="Times New Roman" w:hAnsi="Times New Roman" w:cs="Times New Roman"/>
        </w:rPr>
        <w:t xml:space="preserve"> than </w:t>
      </w:r>
      <w:r w:rsidR="00F16ACA">
        <w:rPr>
          <w:rFonts w:ascii="Times New Roman" w:hAnsi="Times New Roman" w:cs="Times New Roman"/>
        </w:rPr>
        <w:t>mediated by BMI</w:t>
      </w:r>
      <w:r>
        <w:rPr>
          <w:rFonts w:ascii="Times New Roman" w:hAnsi="Times New Roman" w:cs="Times New Roman"/>
        </w:rPr>
        <w:t xml:space="preserve">. </w:t>
      </w:r>
    </w:p>
    <w:p w14:paraId="2AB2510D" w14:textId="3954A0C4" w:rsidR="00E60380" w:rsidRDefault="00E60380" w:rsidP="00E65235">
      <w:pPr>
        <w:pStyle w:val="Geenafstand"/>
        <w:jc w:val="both"/>
        <w:rPr>
          <w:rFonts w:ascii="Times New Roman" w:hAnsi="Times New Roman" w:cs="Times New Roman"/>
        </w:rPr>
      </w:pPr>
    </w:p>
    <w:p w14:paraId="7EA84615" w14:textId="2063A282" w:rsidR="00C04F04" w:rsidRDefault="00C04F04" w:rsidP="00E65235">
      <w:pPr>
        <w:pStyle w:val="Geenafstand"/>
        <w:jc w:val="both"/>
        <w:rPr>
          <w:rFonts w:ascii="Times New Roman" w:hAnsi="Times New Roman" w:cs="Times New Roman"/>
        </w:rPr>
      </w:pPr>
      <w:r>
        <w:rPr>
          <w:rFonts w:ascii="Times New Roman" w:hAnsi="Times New Roman" w:cs="Times New Roman"/>
        </w:rPr>
        <w:t xml:space="preserve">Apart from the two additional supplementary figures, we have added some information regarding this comment in lines 301-304 of the manuscript. </w:t>
      </w:r>
    </w:p>
    <w:p w14:paraId="55105C8B" w14:textId="7626DFB0" w:rsidR="00F16ACA" w:rsidRDefault="00F16ACA">
      <w:pPr>
        <w:rPr>
          <w:rFonts w:ascii="Times New Roman" w:hAnsi="Times New Roman" w:cs="Times New Roman"/>
        </w:rPr>
      </w:pPr>
      <w:r>
        <w:rPr>
          <w:rFonts w:ascii="Times New Roman" w:hAnsi="Times New Roman" w:cs="Times New Roman"/>
        </w:rPr>
        <w:br w:type="page"/>
      </w:r>
    </w:p>
    <w:p w14:paraId="70A3318F" w14:textId="77777777" w:rsidR="00F16ACA" w:rsidRPr="00F16ACA" w:rsidRDefault="009C5C17" w:rsidP="00F16ACA">
      <w:pPr>
        <w:pStyle w:val="EndNoteBibliography"/>
        <w:spacing w:after="0"/>
        <w:ind w:left="720" w:hanging="720"/>
      </w:pPr>
      <w:r>
        <w:rPr>
          <w:rFonts w:ascii="Times New Roman" w:hAnsi="Times New Roman" w:cs="Times New Roman"/>
        </w:rPr>
        <w:lastRenderedPageBreak/>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F16ACA" w:rsidRPr="00F16ACA">
        <w:t>1.</w:t>
      </w:r>
      <w:r w:rsidR="00F16ACA" w:rsidRPr="00F16ACA">
        <w:tab/>
        <w:t xml:space="preserve">Lin, S.C.; Pasquale, L.R.; Singh, K.; Lin, S.C. The Association Between Body Mass Index and Open-angle Glaucoma in a South Korean Population-based Sample. </w:t>
      </w:r>
      <w:r w:rsidR="00F16ACA" w:rsidRPr="00F16ACA">
        <w:rPr>
          <w:i/>
        </w:rPr>
        <w:t xml:space="preserve">J Glaucoma </w:t>
      </w:r>
      <w:r w:rsidR="00F16ACA" w:rsidRPr="00F16ACA">
        <w:rPr>
          <w:b/>
        </w:rPr>
        <w:t>2018</w:t>
      </w:r>
      <w:r w:rsidR="00F16ACA" w:rsidRPr="00F16ACA">
        <w:t xml:space="preserve">, </w:t>
      </w:r>
      <w:r w:rsidR="00F16ACA" w:rsidRPr="00F16ACA">
        <w:rPr>
          <w:i/>
        </w:rPr>
        <w:t>27</w:t>
      </w:r>
      <w:r w:rsidR="00F16ACA" w:rsidRPr="00F16ACA">
        <w:t>, 239-245.</w:t>
      </w:r>
    </w:p>
    <w:p w14:paraId="1DFDAB07" w14:textId="77777777" w:rsidR="00F16ACA" w:rsidRPr="00F16ACA" w:rsidRDefault="00F16ACA" w:rsidP="00F16ACA">
      <w:pPr>
        <w:pStyle w:val="EndNoteBibliography"/>
        <w:spacing w:after="0"/>
        <w:ind w:left="720" w:hanging="720"/>
      </w:pPr>
      <w:r w:rsidRPr="00F16ACA">
        <w:t>2.</w:t>
      </w:r>
      <w:r w:rsidRPr="00F16ACA">
        <w:tab/>
        <w:t xml:space="preserve">Ramdas, W.D.; Wolfs, R.C.; Hofman, A.; de Jong, P.T.; Vingerling, J.R.; Jansonius, N.M. Lifestyle and risk of developing open-angle glaucoma: the Rotterdam study. </w:t>
      </w:r>
      <w:r w:rsidRPr="00F16ACA">
        <w:rPr>
          <w:i/>
        </w:rPr>
        <w:t xml:space="preserve">Arch Ophthalmol </w:t>
      </w:r>
      <w:r w:rsidRPr="00F16ACA">
        <w:rPr>
          <w:b/>
        </w:rPr>
        <w:t>2011</w:t>
      </w:r>
      <w:r w:rsidRPr="00F16ACA">
        <w:t xml:space="preserve">, </w:t>
      </w:r>
      <w:r w:rsidRPr="00F16ACA">
        <w:rPr>
          <w:i/>
        </w:rPr>
        <w:t>129</w:t>
      </w:r>
      <w:r w:rsidRPr="00F16ACA">
        <w:t>, 767-772.</w:t>
      </w:r>
    </w:p>
    <w:p w14:paraId="7456BCC8" w14:textId="77777777" w:rsidR="00F16ACA" w:rsidRPr="00F16ACA" w:rsidRDefault="00F16ACA" w:rsidP="00F16ACA">
      <w:pPr>
        <w:pStyle w:val="EndNoteBibliography"/>
        <w:spacing w:after="0"/>
        <w:ind w:left="720" w:hanging="720"/>
      </w:pPr>
      <w:r w:rsidRPr="00F16ACA">
        <w:t>3.</w:t>
      </w:r>
      <w:r w:rsidRPr="00F16ACA">
        <w:tab/>
        <w:t xml:space="preserve">Na, K.-S.; Kim, J.-H.; Paik, J.-S.; Cho, W.-K.; Ha, M.; Park, Y.-G.; Yang, S.-W. Underweight increases the risk of primary open-angle glaucoma in diabetes patients: A Korean nationwide cohort study. </w:t>
      </w:r>
      <w:r w:rsidRPr="00F16ACA">
        <w:rPr>
          <w:i/>
        </w:rPr>
        <w:t xml:space="preserve">Medicine </w:t>
      </w:r>
      <w:r w:rsidRPr="00F16ACA">
        <w:rPr>
          <w:b/>
        </w:rPr>
        <w:t>2020</w:t>
      </w:r>
      <w:r w:rsidRPr="00F16ACA">
        <w:t xml:space="preserve">, </w:t>
      </w:r>
      <w:r w:rsidRPr="00F16ACA">
        <w:rPr>
          <w:i/>
        </w:rPr>
        <w:t>99</w:t>
      </w:r>
      <w:r w:rsidRPr="00F16ACA">
        <w:t>, e19285, doi:10.1097/md.0000000000019285.</w:t>
      </w:r>
    </w:p>
    <w:p w14:paraId="2C6F8022" w14:textId="77777777" w:rsidR="00F16ACA" w:rsidRPr="00F16ACA" w:rsidRDefault="00F16ACA" w:rsidP="00F16ACA">
      <w:pPr>
        <w:pStyle w:val="EndNoteBibliography"/>
        <w:spacing w:after="0"/>
        <w:ind w:left="720" w:hanging="720"/>
      </w:pPr>
      <w:r w:rsidRPr="00F16ACA">
        <w:t>4.</w:t>
      </w:r>
      <w:r w:rsidRPr="00F16ACA">
        <w:tab/>
        <w:t xml:space="preserve">Kim, A.Y.; Han, K.E.; Jun, R.M.; Choi, K.R. Progression of Visual Field Loss and Body Mass Index in Normal Tension Glaucoma. </w:t>
      </w:r>
      <w:r w:rsidRPr="00F16ACA">
        <w:rPr>
          <w:i/>
        </w:rPr>
        <w:t xml:space="preserve">jkos </w:t>
      </w:r>
      <w:r w:rsidRPr="00F16ACA">
        <w:rPr>
          <w:b/>
        </w:rPr>
        <w:t>2017</w:t>
      </w:r>
      <w:r w:rsidRPr="00F16ACA">
        <w:t xml:space="preserve">, </w:t>
      </w:r>
      <w:r w:rsidRPr="00F16ACA">
        <w:rPr>
          <w:i/>
        </w:rPr>
        <w:t>58</w:t>
      </w:r>
      <w:r w:rsidRPr="00F16ACA">
        <w:t>, 1404-1409, doi:10.3341/jkos.2017.58.12.1404.</w:t>
      </w:r>
    </w:p>
    <w:p w14:paraId="02754B19" w14:textId="77777777" w:rsidR="00F16ACA" w:rsidRPr="00F16ACA" w:rsidRDefault="00F16ACA" w:rsidP="00F16ACA">
      <w:pPr>
        <w:pStyle w:val="EndNoteBibliography"/>
        <w:spacing w:after="0"/>
        <w:ind w:left="720" w:hanging="720"/>
      </w:pPr>
      <w:r w:rsidRPr="00F16ACA">
        <w:t>5.</w:t>
      </w:r>
      <w:r w:rsidRPr="00F16ACA">
        <w:tab/>
        <w:t xml:space="preserve">Berdahl, J.P.; Fleischman, D.; Zaydlarova, J.; Stinnett, S.; Allingham, R.R.; Fautsch, M.P. Body Mass Index Has a Linear Relationship with Cerebrospinal Fluid Pressure. </w:t>
      </w:r>
      <w:r w:rsidRPr="00F16ACA">
        <w:rPr>
          <w:i/>
        </w:rPr>
        <w:t xml:space="preserve">Investigative Ophthalmology &amp; Visual Science </w:t>
      </w:r>
      <w:r w:rsidRPr="00F16ACA">
        <w:rPr>
          <w:b/>
        </w:rPr>
        <w:t>2012</w:t>
      </w:r>
      <w:r w:rsidRPr="00F16ACA">
        <w:t xml:space="preserve">, </w:t>
      </w:r>
      <w:r w:rsidRPr="00F16ACA">
        <w:rPr>
          <w:i/>
        </w:rPr>
        <w:t>53</w:t>
      </w:r>
      <w:r w:rsidRPr="00F16ACA">
        <w:t>, 1422-1427, doi:10.1167/iovs.11-8220.</w:t>
      </w:r>
    </w:p>
    <w:p w14:paraId="7811D6DA" w14:textId="77777777" w:rsidR="00F16ACA" w:rsidRPr="00F16ACA" w:rsidRDefault="00F16ACA" w:rsidP="00F16ACA">
      <w:pPr>
        <w:pStyle w:val="EndNoteBibliography"/>
        <w:spacing w:after="0"/>
        <w:ind w:left="720" w:hanging="720"/>
      </w:pPr>
      <w:r w:rsidRPr="00F16ACA">
        <w:t>6.</w:t>
      </w:r>
      <w:r w:rsidRPr="00F16ACA">
        <w:tab/>
        <w:t xml:space="preserve">Fleischman, D.; Berdahl, J.P.; Zaydlarova, J.; Stinnett, S.; Fautsch, M.P.; Allingham, R.R. Cerebrospinal fluid pressure decreases with older age. </w:t>
      </w:r>
      <w:r w:rsidRPr="00F16ACA">
        <w:rPr>
          <w:i/>
        </w:rPr>
        <w:t xml:space="preserve">PLoS One </w:t>
      </w:r>
      <w:r w:rsidRPr="00F16ACA">
        <w:rPr>
          <w:b/>
        </w:rPr>
        <w:t>2012</w:t>
      </w:r>
      <w:r w:rsidRPr="00F16ACA">
        <w:t xml:space="preserve">, </w:t>
      </w:r>
      <w:r w:rsidRPr="00F16ACA">
        <w:rPr>
          <w:i/>
        </w:rPr>
        <w:t>7</w:t>
      </w:r>
      <w:r w:rsidRPr="00F16ACA">
        <w:t>, e52664.</w:t>
      </w:r>
    </w:p>
    <w:p w14:paraId="5D509D02" w14:textId="77777777" w:rsidR="00F16ACA" w:rsidRPr="00F16ACA" w:rsidRDefault="00F16ACA" w:rsidP="00F16ACA">
      <w:pPr>
        <w:pStyle w:val="EndNoteBibliography"/>
        <w:spacing w:after="0"/>
        <w:ind w:left="720" w:hanging="720"/>
      </w:pPr>
      <w:r w:rsidRPr="00F16ACA">
        <w:t>7.</w:t>
      </w:r>
      <w:r w:rsidRPr="00F16ACA">
        <w:tab/>
        <w:t xml:space="preserve">Cha, S.; Gu, B.; Sagong, M.; Son, J.; Kim, M. Association between glaucoma and cardiovascular disease risk in Korean population based study. </w:t>
      </w:r>
      <w:r w:rsidRPr="00F16ACA">
        <w:rPr>
          <w:i/>
        </w:rPr>
        <w:t xml:space="preserve">Investigative Ophthalmology &amp; Visual Science </w:t>
      </w:r>
      <w:r w:rsidRPr="00F16ACA">
        <w:rPr>
          <w:b/>
        </w:rPr>
        <w:t>2016</w:t>
      </w:r>
      <w:r w:rsidRPr="00F16ACA">
        <w:t xml:space="preserve">, </w:t>
      </w:r>
      <w:r w:rsidRPr="00F16ACA">
        <w:rPr>
          <w:i/>
        </w:rPr>
        <w:t>57</w:t>
      </w:r>
      <w:r w:rsidRPr="00F16ACA">
        <w:t>, 2614-2614.</w:t>
      </w:r>
    </w:p>
    <w:p w14:paraId="21300FCC" w14:textId="77777777" w:rsidR="00F16ACA" w:rsidRPr="00F16ACA" w:rsidRDefault="00F16ACA" w:rsidP="00F16ACA">
      <w:pPr>
        <w:pStyle w:val="EndNoteBibliography"/>
        <w:spacing w:after="0"/>
        <w:ind w:left="720" w:hanging="720"/>
      </w:pPr>
      <w:r w:rsidRPr="00F16ACA">
        <w:t>8.</w:t>
      </w:r>
      <w:r w:rsidRPr="00F16ACA">
        <w:tab/>
        <w:t xml:space="preserve">Marshall, H.; Mullany, S.; Qassim, A.; Siggs, O.; Hassall, M.; Ridge, B.; Nguyen, T.; Awadalla, M.; Andrew, N.H.; Healey, P.R., et al. Cardiovascular Disease Predicts Structural and Functional Progression in Early Glaucoma. </w:t>
      </w:r>
      <w:r w:rsidRPr="00F16ACA">
        <w:rPr>
          <w:i/>
        </w:rPr>
        <w:t xml:space="preserve">Ophthalmology </w:t>
      </w:r>
      <w:r w:rsidRPr="00F16ACA">
        <w:rPr>
          <w:b/>
        </w:rPr>
        <w:t>2021</w:t>
      </w:r>
      <w:r w:rsidRPr="00F16ACA">
        <w:t xml:space="preserve">, </w:t>
      </w:r>
      <w:r w:rsidRPr="00F16ACA">
        <w:rPr>
          <w:i/>
        </w:rPr>
        <w:t>128</w:t>
      </w:r>
      <w:r w:rsidRPr="00F16ACA">
        <w:t>, 58-69.</w:t>
      </w:r>
    </w:p>
    <w:p w14:paraId="56F0CC5C" w14:textId="77777777" w:rsidR="00F16ACA" w:rsidRPr="00F16ACA" w:rsidRDefault="00F16ACA" w:rsidP="00F16ACA">
      <w:pPr>
        <w:pStyle w:val="EndNoteBibliography"/>
        <w:spacing w:after="0"/>
        <w:ind w:left="720" w:hanging="720"/>
      </w:pPr>
      <w:r w:rsidRPr="00F16ACA">
        <w:t>9.</w:t>
      </w:r>
      <w:r w:rsidRPr="00F16ACA">
        <w:tab/>
        <w:t xml:space="preserve">Chen, Y.Y.; Hu, H.Y.; Chu, D.; Chen, H.H.; Chang, C.K.; Chou, P. Patients with Primary Open-Angle Glaucoma May Develop Ischemic Heart Disease More Often than Those without Glaucoma: An 11-Year Population-Based Cohort Study. </w:t>
      </w:r>
      <w:r w:rsidRPr="00F16ACA">
        <w:rPr>
          <w:i/>
        </w:rPr>
        <w:t xml:space="preserve">PLoS One </w:t>
      </w:r>
      <w:r w:rsidRPr="00F16ACA">
        <w:rPr>
          <w:b/>
        </w:rPr>
        <w:t>2016</w:t>
      </w:r>
      <w:r w:rsidRPr="00F16ACA">
        <w:t xml:space="preserve">, </w:t>
      </w:r>
      <w:r w:rsidRPr="00F16ACA">
        <w:rPr>
          <w:i/>
        </w:rPr>
        <w:t>11</w:t>
      </w:r>
      <w:r w:rsidRPr="00F16ACA">
        <w:t>, e0163210.</w:t>
      </w:r>
    </w:p>
    <w:p w14:paraId="658AD9AD" w14:textId="60A16B2D" w:rsidR="00F16ACA" w:rsidRPr="00F16ACA" w:rsidRDefault="00F16ACA" w:rsidP="00F16ACA">
      <w:pPr>
        <w:pStyle w:val="EndNoteBibliography"/>
        <w:ind w:left="720" w:hanging="720"/>
      </w:pPr>
      <w:r w:rsidRPr="00F16ACA">
        <w:t>10.</w:t>
      </w:r>
      <w:r w:rsidRPr="00F16ACA">
        <w:tab/>
        <w:t xml:space="preserve">Marshall, H.; Mullany, S.; Han, X.; Berry, E.C.; Hassall, M.M.; Qassim, A.; Nguyen, T.; Hollitt, G.L.; Knight, L.S.W.; Ridge, B., et al. Genetic Risk of Cardiovascular Disease Is Associated with Macular Ganglion Cell–Inner Plexiform Layer Thinning in an Early Glaucoma Cohort. </w:t>
      </w:r>
      <w:r w:rsidRPr="00F16ACA">
        <w:rPr>
          <w:i/>
        </w:rPr>
        <w:t xml:space="preserve">Ophthalmology Science </w:t>
      </w:r>
      <w:r w:rsidRPr="00F16ACA">
        <w:rPr>
          <w:b/>
        </w:rPr>
        <w:t>2022</w:t>
      </w:r>
      <w:r w:rsidRPr="00F16ACA">
        <w:t xml:space="preserve">, </w:t>
      </w:r>
      <w:r w:rsidRPr="00F16ACA">
        <w:rPr>
          <w:i/>
        </w:rPr>
        <w:t>2</w:t>
      </w:r>
      <w:r w:rsidRPr="00F16ACA">
        <w:t>, 100108, doi:</w:t>
      </w:r>
      <w:hyperlink r:id="rId7" w:history="1">
        <w:r w:rsidRPr="00F16ACA">
          <w:rPr>
            <w:rStyle w:val="Hyperlink"/>
          </w:rPr>
          <w:t>https://doi.org/10.1016/j.xops.2021.100108</w:t>
        </w:r>
      </w:hyperlink>
      <w:r w:rsidRPr="00F16ACA">
        <w:t>.</w:t>
      </w:r>
    </w:p>
    <w:p w14:paraId="01026C2D" w14:textId="57217364" w:rsidR="00D7799E" w:rsidRPr="00E65235" w:rsidRDefault="009C5C17" w:rsidP="00E65235">
      <w:pPr>
        <w:pStyle w:val="Geenafstand"/>
        <w:jc w:val="both"/>
        <w:rPr>
          <w:rFonts w:ascii="Times New Roman" w:hAnsi="Times New Roman" w:cs="Times New Roman"/>
        </w:rPr>
      </w:pPr>
      <w:r>
        <w:rPr>
          <w:rFonts w:ascii="Times New Roman" w:hAnsi="Times New Roman" w:cs="Times New Roman"/>
        </w:rPr>
        <w:fldChar w:fldCharType="end"/>
      </w:r>
    </w:p>
    <w:sectPr w:rsidR="00D7799E" w:rsidRPr="00E6523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0FE38" w16cex:dateUtc="2022-05-31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35F26" w16cid:durableId="2640FE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776E"/>
    <w:multiLevelType w:val="multilevel"/>
    <w:tmpl w:val="042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F5DFE"/>
    <w:multiLevelType w:val="hybridMultilevel"/>
    <w:tmpl w:val="6CFA4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37C04"/>
    <w:multiLevelType w:val="multilevel"/>
    <w:tmpl w:val="17CA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trie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txwzwr9t9wxmetvzg52s0vtzwttxaared9&quot;&gt;My EndNote Library&lt;record-ids&gt;&lt;item&gt;85&lt;/item&gt;&lt;item&gt;86&lt;/item&gt;&lt;item&gt;87&lt;/item&gt;&lt;item&gt;88&lt;/item&gt;&lt;item&gt;89&lt;/item&gt;&lt;item&gt;90&lt;/item&gt;&lt;item&gt;91&lt;/item&gt;&lt;item&gt;92&lt;/item&gt;&lt;item&gt;93&lt;/item&gt;&lt;item&gt;94&lt;/item&gt;&lt;/record-ids&gt;&lt;/item&gt;&lt;/Libraries&gt;"/>
  </w:docVars>
  <w:rsids>
    <w:rsidRoot w:val="00E65235"/>
    <w:rsid w:val="0004295F"/>
    <w:rsid w:val="0008414A"/>
    <w:rsid w:val="001A229F"/>
    <w:rsid w:val="001D6DD7"/>
    <w:rsid w:val="002757AE"/>
    <w:rsid w:val="0030624A"/>
    <w:rsid w:val="00323B4A"/>
    <w:rsid w:val="003242E6"/>
    <w:rsid w:val="004218F4"/>
    <w:rsid w:val="004817A5"/>
    <w:rsid w:val="004B150C"/>
    <w:rsid w:val="00547FAC"/>
    <w:rsid w:val="00566991"/>
    <w:rsid w:val="00571B0C"/>
    <w:rsid w:val="005B0EEB"/>
    <w:rsid w:val="006543F2"/>
    <w:rsid w:val="0065526A"/>
    <w:rsid w:val="00672CBE"/>
    <w:rsid w:val="006F7139"/>
    <w:rsid w:val="00733B09"/>
    <w:rsid w:val="00790032"/>
    <w:rsid w:val="0087138F"/>
    <w:rsid w:val="00876ECB"/>
    <w:rsid w:val="008E39AB"/>
    <w:rsid w:val="00916727"/>
    <w:rsid w:val="009513D7"/>
    <w:rsid w:val="0096728F"/>
    <w:rsid w:val="00991335"/>
    <w:rsid w:val="009A2325"/>
    <w:rsid w:val="009C5C17"/>
    <w:rsid w:val="00A6430B"/>
    <w:rsid w:val="00AE4894"/>
    <w:rsid w:val="00B3266A"/>
    <w:rsid w:val="00B60DE7"/>
    <w:rsid w:val="00B907F8"/>
    <w:rsid w:val="00B92D38"/>
    <w:rsid w:val="00BE0610"/>
    <w:rsid w:val="00BF3674"/>
    <w:rsid w:val="00C04F04"/>
    <w:rsid w:val="00C102AF"/>
    <w:rsid w:val="00C50FE9"/>
    <w:rsid w:val="00D34CC5"/>
    <w:rsid w:val="00D7799E"/>
    <w:rsid w:val="00DA5902"/>
    <w:rsid w:val="00E2479D"/>
    <w:rsid w:val="00E55792"/>
    <w:rsid w:val="00E60380"/>
    <w:rsid w:val="00E65235"/>
    <w:rsid w:val="00F16ACA"/>
    <w:rsid w:val="00F7263A"/>
    <w:rsid w:val="00FA1A2D"/>
    <w:rsid w:val="00FA4FB0"/>
    <w:rsid w:val="00FC549B"/>
    <w:rsid w:val="00FE1F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55BD"/>
  <w15:chartTrackingRefBased/>
  <w15:docId w15:val="{07906EB8-0669-4E33-ADF5-3B5787F4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652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eenafstand">
    <w:name w:val="No Spacing"/>
    <w:link w:val="GeenafstandChar"/>
    <w:uiPriority w:val="1"/>
    <w:qFormat/>
    <w:rsid w:val="00E65235"/>
    <w:pPr>
      <w:spacing w:after="0" w:line="240" w:lineRule="auto"/>
    </w:pPr>
  </w:style>
  <w:style w:type="character" w:styleId="Verwijzingopmerking">
    <w:name w:val="annotation reference"/>
    <w:basedOn w:val="Standaardalinea-lettertype"/>
    <w:uiPriority w:val="99"/>
    <w:semiHidden/>
    <w:unhideWhenUsed/>
    <w:rsid w:val="00566991"/>
    <w:rPr>
      <w:sz w:val="16"/>
      <w:szCs w:val="16"/>
    </w:rPr>
  </w:style>
  <w:style w:type="paragraph" w:styleId="Tekstopmerking">
    <w:name w:val="annotation text"/>
    <w:basedOn w:val="Standaard"/>
    <w:link w:val="TekstopmerkingChar"/>
    <w:uiPriority w:val="99"/>
    <w:semiHidden/>
    <w:unhideWhenUsed/>
    <w:rsid w:val="0056699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66991"/>
    <w:rPr>
      <w:sz w:val="20"/>
      <w:szCs w:val="20"/>
    </w:rPr>
  </w:style>
  <w:style w:type="paragraph" w:styleId="Onderwerpvanopmerking">
    <w:name w:val="annotation subject"/>
    <w:basedOn w:val="Tekstopmerking"/>
    <w:next w:val="Tekstopmerking"/>
    <w:link w:val="OnderwerpvanopmerkingChar"/>
    <w:uiPriority w:val="99"/>
    <w:semiHidden/>
    <w:unhideWhenUsed/>
    <w:rsid w:val="00566991"/>
    <w:rPr>
      <w:b/>
      <w:bCs/>
    </w:rPr>
  </w:style>
  <w:style w:type="character" w:customStyle="1" w:styleId="OnderwerpvanopmerkingChar">
    <w:name w:val="Onderwerp van opmerking Char"/>
    <w:basedOn w:val="TekstopmerkingChar"/>
    <w:link w:val="Onderwerpvanopmerking"/>
    <w:uiPriority w:val="99"/>
    <w:semiHidden/>
    <w:rsid w:val="00566991"/>
    <w:rPr>
      <w:b/>
      <w:bCs/>
      <w:sz w:val="20"/>
      <w:szCs w:val="20"/>
    </w:rPr>
  </w:style>
  <w:style w:type="paragraph" w:styleId="Ballontekst">
    <w:name w:val="Balloon Text"/>
    <w:basedOn w:val="Standaard"/>
    <w:link w:val="BallontekstChar"/>
    <w:uiPriority w:val="99"/>
    <w:semiHidden/>
    <w:unhideWhenUsed/>
    <w:rsid w:val="00547F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47FAC"/>
    <w:rPr>
      <w:rFonts w:ascii="Segoe UI" w:hAnsi="Segoe UI" w:cs="Segoe UI"/>
      <w:sz w:val="18"/>
      <w:szCs w:val="18"/>
    </w:rPr>
  </w:style>
  <w:style w:type="paragraph" w:customStyle="1" w:styleId="EndNoteBibliographyTitle">
    <w:name w:val="EndNote Bibliography Title"/>
    <w:basedOn w:val="Standaard"/>
    <w:link w:val="EndNoteBibliographyTitleChar"/>
    <w:rsid w:val="009C5C17"/>
    <w:pPr>
      <w:spacing w:after="0"/>
      <w:jc w:val="center"/>
    </w:pPr>
    <w:rPr>
      <w:rFonts w:ascii="Calibri" w:hAnsi="Calibri" w:cs="Calibri"/>
      <w:noProof/>
    </w:rPr>
  </w:style>
  <w:style w:type="character" w:customStyle="1" w:styleId="GeenafstandChar">
    <w:name w:val="Geen afstand Char"/>
    <w:basedOn w:val="Standaardalinea-lettertype"/>
    <w:link w:val="Geenafstand"/>
    <w:uiPriority w:val="1"/>
    <w:rsid w:val="009C5C17"/>
  </w:style>
  <w:style w:type="character" w:customStyle="1" w:styleId="EndNoteBibliographyTitleChar">
    <w:name w:val="EndNote Bibliography Title Char"/>
    <w:basedOn w:val="GeenafstandChar"/>
    <w:link w:val="EndNoteBibliographyTitle"/>
    <w:rsid w:val="009C5C17"/>
    <w:rPr>
      <w:rFonts w:ascii="Calibri" w:hAnsi="Calibri" w:cs="Calibri"/>
      <w:noProof/>
    </w:rPr>
  </w:style>
  <w:style w:type="paragraph" w:customStyle="1" w:styleId="EndNoteBibliography">
    <w:name w:val="EndNote Bibliography"/>
    <w:basedOn w:val="Standaard"/>
    <w:link w:val="EndNoteBibliographyChar"/>
    <w:rsid w:val="009C5C17"/>
    <w:pPr>
      <w:spacing w:line="240" w:lineRule="auto"/>
      <w:jc w:val="both"/>
    </w:pPr>
    <w:rPr>
      <w:rFonts w:ascii="Calibri" w:hAnsi="Calibri" w:cs="Calibri"/>
      <w:noProof/>
    </w:rPr>
  </w:style>
  <w:style w:type="character" w:customStyle="1" w:styleId="EndNoteBibliographyChar">
    <w:name w:val="EndNote Bibliography Char"/>
    <w:basedOn w:val="GeenafstandChar"/>
    <w:link w:val="EndNoteBibliography"/>
    <w:rsid w:val="009C5C17"/>
    <w:rPr>
      <w:rFonts w:ascii="Calibri" w:hAnsi="Calibri" w:cs="Calibri"/>
      <w:noProof/>
    </w:rPr>
  </w:style>
  <w:style w:type="table" w:styleId="Tabelraster">
    <w:name w:val="Table Grid"/>
    <w:basedOn w:val="Standaardtabel"/>
    <w:uiPriority w:val="59"/>
    <w:rsid w:val="009A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16A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13133">
      <w:bodyDiv w:val="1"/>
      <w:marLeft w:val="0"/>
      <w:marRight w:val="0"/>
      <w:marTop w:val="0"/>
      <w:marBottom w:val="0"/>
      <w:divBdr>
        <w:top w:val="none" w:sz="0" w:space="0" w:color="auto"/>
        <w:left w:val="none" w:sz="0" w:space="0" w:color="auto"/>
        <w:bottom w:val="none" w:sz="0" w:space="0" w:color="auto"/>
        <w:right w:val="none" w:sz="0" w:space="0" w:color="auto"/>
      </w:divBdr>
    </w:div>
    <w:div w:id="695892320">
      <w:bodyDiv w:val="1"/>
      <w:marLeft w:val="0"/>
      <w:marRight w:val="0"/>
      <w:marTop w:val="0"/>
      <w:marBottom w:val="0"/>
      <w:divBdr>
        <w:top w:val="none" w:sz="0" w:space="0" w:color="auto"/>
        <w:left w:val="none" w:sz="0" w:space="0" w:color="auto"/>
        <w:bottom w:val="none" w:sz="0" w:space="0" w:color="auto"/>
        <w:right w:val="none" w:sz="0" w:space="0" w:color="auto"/>
      </w:divBdr>
    </w:div>
    <w:div w:id="13581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hyperlink" Target="https://doi.org/10.1016/j.xops.2021.100108" TargetMode="Externa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72015\AppData\Local\Temp\Templafy\WordVsto\gxbblso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Blank","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3215D544-A5A6-4514-8CDB-46EEDCDCC460}">
  <ds:schemaRefs/>
</ds:datastoreItem>
</file>

<file path=customXml/itemProps2.xml><?xml version="1.0" encoding="utf-8"?>
<ds:datastoreItem xmlns:ds="http://schemas.openxmlformats.org/officeDocument/2006/customXml" ds:itemID="{4964C7DC-7DA6-4285-8147-84D827CEBBDE}">
  <ds:schemaRefs/>
</ds:datastoreItem>
</file>

<file path=docProps/app.xml><?xml version="1.0" encoding="utf-8"?>
<Properties xmlns="http://schemas.openxmlformats.org/officeDocument/2006/extended-properties" xmlns:vt="http://schemas.openxmlformats.org/officeDocument/2006/docPropsVTypes">
  <Template>gxbblsox.dotx</Template>
  <TotalTime>211</TotalTime>
  <Pages>5</Pages>
  <Words>3513</Words>
  <Characters>20030</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Vergroesen</dc:creator>
  <cp:keywords/>
  <dc:description/>
  <cp:lastModifiedBy>Joëlle Vergroesen</cp:lastModifiedBy>
  <cp:revision>15</cp:revision>
  <dcterms:created xsi:type="dcterms:W3CDTF">2022-06-09T15:18:00Z</dcterms:created>
  <dcterms:modified xsi:type="dcterms:W3CDTF">2022-06-10T14:12:00Z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erasmusmc</vt:lpwstr>
  </property>
  <property fmtid="{D5CDD505-2E9C-101B-9397-08002B2CF9AE}" pid="3" name="TemplafyTemplateId">
    <vt:lpwstr>637841469455294394</vt:lpwstr>
  </property>
  <property fmtid="{D5CDD505-2E9C-101B-9397-08002B2CF9AE}" pid="4" name="TemplafyUserProfileId">
    <vt:lpwstr>637732530773117497</vt:lpwstr>
  </property>
  <property fmtid="{D5CDD505-2E9C-101B-9397-08002B2CF9AE}" pid="5" name="TemplafyFromBlank">
    <vt:bool>true</vt:bool>
  </property>
</Properties>
</file>