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D32A6" w14:textId="77777777" w:rsidR="001C242A" w:rsidRPr="00193CCD" w:rsidRDefault="001C242A" w:rsidP="001C242A">
      <w:pPr>
        <w:pStyle w:val="NormalWeb"/>
        <w:shd w:val="clear" w:color="auto" w:fill="FEFEFE"/>
        <w:rPr>
          <w:color w:val="0A0A0A"/>
          <w:lang w:val="en-GB"/>
        </w:rPr>
      </w:pPr>
      <w:r w:rsidRPr="00193CCD">
        <w:rPr>
          <w:color w:val="0A0A0A"/>
          <w:lang w:val="en-GB"/>
        </w:rPr>
        <w:t xml:space="preserve">Dear </w:t>
      </w:r>
      <w:proofErr w:type="gramStart"/>
      <w:r w:rsidRPr="00193CCD">
        <w:rPr>
          <w:color w:val="0A0A0A"/>
          <w:lang w:val="en-GB"/>
        </w:rPr>
        <w:t>Reviewer</w:t>
      </w:r>
      <w:proofErr w:type="gramEnd"/>
      <w:r w:rsidRPr="00193CCD">
        <w:rPr>
          <w:color w:val="0A0A0A"/>
          <w:lang w:val="en-GB"/>
        </w:rPr>
        <w:t xml:space="preserve"> 1,</w:t>
      </w:r>
    </w:p>
    <w:p w14:paraId="75574E40" w14:textId="6F29DB7F" w:rsidR="001C242A" w:rsidRDefault="001C242A" w:rsidP="001C242A">
      <w:pPr>
        <w:pStyle w:val="NormalWeb"/>
        <w:shd w:val="clear" w:color="auto" w:fill="FEFEFE"/>
        <w:jc w:val="both"/>
        <w:rPr>
          <w:color w:val="0A0A0A"/>
          <w:lang w:val="en-GB"/>
        </w:rPr>
      </w:pPr>
      <w:r w:rsidRPr="00193CCD">
        <w:rPr>
          <w:color w:val="0A0A0A"/>
          <w:lang w:val="en-GB"/>
        </w:rPr>
        <w:t xml:space="preserve">We are sending you the second version of our paper. We </w:t>
      </w:r>
      <w:r w:rsidRPr="00193CCD">
        <w:rPr>
          <w:color w:val="0A0A0A"/>
          <w:u w:val="single"/>
          <w:lang w:val="en-GB"/>
        </w:rPr>
        <w:t xml:space="preserve">have highlighted in </w:t>
      </w:r>
      <w:r>
        <w:rPr>
          <w:color w:val="0A0A0A"/>
          <w:u w:val="single"/>
          <w:lang w:val="en-GB"/>
        </w:rPr>
        <w:t>red</w:t>
      </w:r>
      <w:r w:rsidRPr="00193CCD">
        <w:rPr>
          <w:color w:val="0A0A0A"/>
          <w:u w:val="single"/>
          <w:lang w:val="en-GB"/>
        </w:rPr>
        <w:t xml:space="preserve"> the changes</w:t>
      </w:r>
      <w:r w:rsidRPr="00193CCD">
        <w:rPr>
          <w:color w:val="0A0A0A"/>
          <w:lang w:val="en-GB"/>
        </w:rPr>
        <w:t xml:space="preserve"> introduced in the new version. Now, we would firstly like to thank you for your efforts in revising our study and we hope that the arguments and changes are satisfactory.</w:t>
      </w:r>
    </w:p>
    <w:tbl>
      <w:tblPr>
        <w:tblStyle w:val="Tablaconcuadrcula"/>
        <w:tblW w:w="0" w:type="auto"/>
        <w:tblLook w:val="04A0" w:firstRow="1" w:lastRow="0" w:firstColumn="1" w:lastColumn="0" w:noHBand="0" w:noVBand="1"/>
      </w:tblPr>
      <w:tblGrid>
        <w:gridCol w:w="8494"/>
      </w:tblGrid>
      <w:tr w:rsidR="001C242A" w:rsidRPr="001C242A" w14:paraId="32FE49AC" w14:textId="77777777" w:rsidTr="003F7DB4">
        <w:tc>
          <w:tcPr>
            <w:tcW w:w="8494" w:type="dxa"/>
          </w:tcPr>
          <w:p w14:paraId="3161D866" w14:textId="77777777" w:rsidR="001C242A" w:rsidRDefault="001C242A" w:rsidP="003F7DB4">
            <w:pPr>
              <w:pStyle w:val="NormalWeb"/>
              <w:shd w:val="clear" w:color="auto" w:fill="FEFEFE"/>
              <w:jc w:val="both"/>
              <w:rPr>
                <w:color w:val="0A0A0A"/>
                <w:lang w:val="en-GB"/>
              </w:rPr>
            </w:pPr>
            <w:r w:rsidRPr="00193CCD">
              <w:rPr>
                <w:color w:val="0A0A0A"/>
                <w:lang w:val="en-GB"/>
              </w:rPr>
              <w:t>This study aims to explore whether the existence of remuneration committees tend to disclose more corporate social responsibility (CSR) information. Comments are as below.</w:t>
            </w:r>
          </w:p>
          <w:p w14:paraId="11B7914E" w14:textId="77777777" w:rsidR="001C242A" w:rsidRPr="00193CCD" w:rsidRDefault="001C242A" w:rsidP="003F7DB4">
            <w:pPr>
              <w:pStyle w:val="NormalWeb"/>
              <w:shd w:val="clear" w:color="auto" w:fill="FEFEFE"/>
              <w:jc w:val="both"/>
              <w:rPr>
                <w:color w:val="0A0A0A"/>
                <w:lang w:val="en-GB"/>
              </w:rPr>
            </w:pPr>
            <w:r w:rsidRPr="00193CCD">
              <w:rPr>
                <w:color w:val="0A0A0A"/>
                <w:lang w:val="en-GB"/>
              </w:rPr>
              <w:t>Theoretical issues: although the agency theory and practical function of remuneration committees were described in the manuscript, few efforts were made to give the main theoretical mechanism/logic. Especially since “there does not appear to be any literature focused on examining the association between the constitution of remuneration committees and the reporting of CSR information”, the authors should provide the theoretical link to propose the hypotheses.</w:t>
            </w:r>
          </w:p>
          <w:p w14:paraId="4A4E256B" w14:textId="77777777" w:rsidR="001C242A" w:rsidRDefault="001C242A" w:rsidP="003F7DB4">
            <w:pPr>
              <w:pStyle w:val="NormalWeb"/>
              <w:jc w:val="both"/>
              <w:rPr>
                <w:color w:val="0A0A0A"/>
                <w:lang w:val="en-GB"/>
              </w:rPr>
            </w:pPr>
          </w:p>
        </w:tc>
      </w:tr>
      <w:tr w:rsidR="001C242A" w:rsidRPr="001C242A" w14:paraId="7F3424FC" w14:textId="77777777" w:rsidTr="003F7DB4">
        <w:tc>
          <w:tcPr>
            <w:tcW w:w="8494" w:type="dxa"/>
          </w:tcPr>
          <w:p w14:paraId="605D101E" w14:textId="77777777" w:rsidR="001C242A" w:rsidRPr="00EE21A9" w:rsidRDefault="001C242A" w:rsidP="003F7DB4">
            <w:pPr>
              <w:pStyle w:val="NormalWeb"/>
              <w:jc w:val="both"/>
              <w:rPr>
                <w:b/>
                <w:bCs/>
                <w:color w:val="0A0A0A"/>
                <w:lang w:val="en-GB"/>
              </w:rPr>
            </w:pPr>
            <w:r w:rsidRPr="00EE21A9">
              <w:rPr>
                <w:b/>
                <w:bCs/>
                <w:color w:val="0A0A0A"/>
                <w:lang w:val="en-GB"/>
              </w:rPr>
              <w:t>Authors:</w:t>
            </w:r>
          </w:p>
          <w:p w14:paraId="6D40376C" w14:textId="77777777" w:rsidR="001C242A" w:rsidRDefault="001C242A" w:rsidP="003F7DB4">
            <w:pPr>
              <w:pStyle w:val="NormalWeb"/>
              <w:jc w:val="both"/>
              <w:rPr>
                <w:b/>
                <w:bCs/>
                <w:color w:val="0A0A0A"/>
                <w:lang w:val="en-GB"/>
              </w:rPr>
            </w:pPr>
            <w:r w:rsidRPr="00860ED8">
              <w:rPr>
                <w:b/>
                <w:bCs/>
                <w:color w:val="0A0A0A"/>
                <w:lang w:val="en-GB"/>
              </w:rPr>
              <w:t>Thank you very much for your words. In our modest opinion, the originality of the paper is</w:t>
            </w:r>
            <w:r>
              <w:rPr>
                <w:b/>
                <w:bCs/>
                <w:color w:val="0A0A0A"/>
                <w:lang w:val="en-GB"/>
              </w:rPr>
              <w:t>: (</w:t>
            </w:r>
            <w:proofErr w:type="spellStart"/>
            <w:r>
              <w:rPr>
                <w:b/>
                <w:bCs/>
                <w:color w:val="0A0A0A"/>
                <w:lang w:val="en-GB"/>
              </w:rPr>
              <w:t>i</w:t>
            </w:r>
            <w:proofErr w:type="spellEnd"/>
            <w:r>
              <w:rPr>
                <w:b/>
                <w:bCs/>
                <w:color w:val="0A0A0A"/>
                <w:lang w:val="en-GB"/>
              </w:rPr>
              <w:t xml:space="preserve">) </w:t>
            </w:r>
            <w:r w:rsidRPr="00860ED8">
              <w:rPr>
                <w:b/>
                <w:bCs/>
                <w:color w:val="0A0A0A"/>
                <w:lang w:val="en-GB"/>
              </w:rPr>
              <w:t>analys</w:t>
            </w:r>
            <w:r>
              <w:rPr>
                <w:b/>
                <w:bCs/>
                <w:color w:val="0A0A0A"/>
                <w:lang w:val="en-GB"/>
              </w:rPr>
              <w:t>e</w:t>
            </w:r>
            <w:r w:rsidRPr="00860ED8">
              <w:rPr>
                <w:b/>
                <w:bCs/>
                <w:color w:val="0A0A0A"/>
                <w:lang w:val="en-GB"/>
              </w:rPr>
              <w:t xml:space="preserve"> of the </w:t>
            </w:r>
            <w:r>
              <w:rPr>
                <w:b/>
                <w:bCs/>
                <w:color w:val="0A0A0A"/>
                <w:lang w:val="en-GB"/>
              </w:rPr>
              <w:t>association between remuneration committees and CSR disclosure; (ii) examine the</w:t>
            </w:r>
            <w:r w:rsidRPr="00860ED8">
              <w:rPr>
                <w:b/>
                <w:bCs/>
                <w:color w:val="0A0A0A"/>
                <w:lang w:val="en-GB"/>
              </w:rPr>
              <w:t xml:space="preserve"> moderating effect of independent board in the association between the remuneration committees and the disclosure of CSR information</w:t>
            </w:r>
            <w:r>
              <w:rPr>
                <w:b/>
                <w:bCs/>
                <w:color w:val="0A0A0A"/>
                <w:lang w:val="en-GB"/>
              </w:rPr>
              <w:t xml:space="preserve">. </w:t>
            </w:r>
            <w:r w:rsidRPr="00860ED8">
              <w:rPr>
                <w:b/>
                <w:bCs/>
                <w:color w:val="0A0A0A"/>
                <w:lang w:val="en-GB"/>
              </w:rPr>
              <w:t>We have not found previous research focused on the</w:t>
            </w:r>
            <w:r>
              <w:rPr>
                <w:b/>
                <w:bCs/>
                <w:color w:val="0A0A0A"/>
                <w:lang w:val="en-GB"/>
              </w:rPr>
              <w:t xml:space="preserve">se both </w:t>
            </w:r>
            <w:r w:rsidRPr="00860ED8">
              <w:rPr>
                <w:b/>
                <w:bCs/>
                <w:color w:val="0A0A0A"/>
                <w:lang w:val="en-GB"/>
              </w:rPr>
              <w:t>topic</w:t>
            </w:r>
            <w:r>
              <w:rPr>
                <w:b/>
                <w:bCs/>
                <w:color w:val="0A0A0A"/>
                <w:lang w:val="en-GB"/>
              </w:rPr>
              <w:t xml:space="preserve">s. We have improved the section to clarify the need to extend this line of research. </w:t>
            </w:r>
          </w:p>
          <w:p w14:paraId="539B12FC" w14:textId="77777777" w:rsidR="001C242A" w:rsidRPr="00F742FC" w:rsidRDefault="001C242A" w:rsidP="003F7DB4">
            <w:pPr>
              <w:pStyle w:val="NormalWeb"/>
              <w:jc w:val="both"/>
              <w:rPr>
                <w:b/>
                <w:bCs/>
                <w:color w:val="0A0A0A"/>
                <w:lang w:val="en-GB"/>
              </w:rPr>
            </w:pPr>
          </w:p>
        </w:tc>
      </w:tr>
      <w:tr w:rsidR="001C242A" w14:paraId="3FEB5441" w14:textId="77777777" w:rsidTr="003F7DB4">
        <w:tc>
          <w:tcPr>
            <w:tcW w:w="8494" w:type="dxa"/>
          </w:tcPr>
          <w:p w14:paraId="0E7BD6C7" w14:textId="77777777" w:rsidR="001C242A" w:rsidRDefault="001C242A" w:rsidP="003F7DB4">
            <w:pPr>
              <w:pStyle w:val="NormalWeb"/>
              <w:shd w:val="clear" w:color="auto" w:fill="FEFEFE"/>
              <w:jc w:val="both"/>
              <w:rPr>
                <w:color w:val="0A0A0A"/>
                <w:lang w:val="en-GB"/>
              </w:rPr>
            </w:pPr>
            <w:r w:rsidRPr="00193CCD">
              <w:rPr>
                <w:color w:val="0A0A0A"/>
                <w:lang w:val="en-GB"/>
              </w:rPr>
              <w:t xml:space="preserve">Methodological issues: the dummy of </w:t>
            </w:r>
            <w:proofErr w:type="spellStart"/>
            <w:r w:rsidRPr="00193CCD">
              <w:rPr>
                <w:color w:val="0A0A0A"/>
                <w:lang w:val="en-GB"/>
              </w:rPr>
              <w:t>CSR_index</w:t>
            </w:r>
            <w:proofErr w:type="spellEnd"/>
            <w:r w:rsidRPr="00193CCD">
              <w:rPr>
                <w:color w:val="0A0A0A"/>
                <w:lang w:val="en-GB"/>
              </w:rPr>
              <w:t xml:space="preserve"> is too simple and cannot address the complexity of CSR strategy and CSR disclosure. And so is the independent variable. Many other important control variables should be introduced to the regression, such as, financial performance, the firm size, the firm age, the industry-fixed effects, the country-fixed effects. The results may not be robust without these controls.  </w:t>
            </w:r>
          </w:p>
        </w:tc>
      </w:tr>
      <w:tr w:rsidR="001C242A" w:rsidRPr="00A225E4" w14:paraId="758911D0" w14:textId="77777777" w:rsidTr="003F7DB4">
        <w:tc>
          <w:tcPr>
            <w:tcW w:w="8494" w:type="dxa"/>
          </w:tcPr>
          <w:p w14:paraId="420C11C9" w14:textId="77777777" w:rsidR="001C242A" w:rsidRPr="007947C7" w:rsidRDefault="001C242A" w:rsidP="003F7DB4">
            <w:pPr>
              <w:pStyle w:val="NormalWeb"/>
              <w:jc w:val="both"/>
              <w:rPr>
                <w:b/>
                <w:bCs/>
                <w:color w:val="0A0A0A"/>
                <w:lang w:val="en-GB"/>
              </w:rPr>
            </w:pPr>
            <w:r w:rsidRPr="007947C7">
              <w:rPr>
                <w:b/>
                <w:bCs/>
                <w:color w:val="0A0A0A"/>
                <w:lang w:val="en-GB"/>
              </w:rPr>
              <w:t>Authors:</w:t>
            </w:r>
          </w:p>
          <w:p w14:paraId="6413337E" w14:textId="77777777" w:rsidR="001C242A" w:rsidRDefault="001C242A" w:rsidP="003F7DB4">
            <w:pPr>
              <w:pStyle w:val="NormalWeb"/>
              <w:jc w:val="both"/>
              <w:rPr>
                <w:b/>
                <w:bCs/>
                <w:color w:val="0A0A0A"/>
                <w:lang w:val="en-GB"/>
              </w:rPr>
            </w:pPr>
            <w:r w:rsidRPr="00A225E4">
              <w:rPr>
                <w:b/>
                <w:bCs/>
                <w:color w:val="0A0A0A"/>
                <w:lang w:val="en-GB"/>
              </w:rPr>
              <w:t xml:space="preserve">Thank you for your suggestion. From a theoretical point of view, we find various references that explain how CSR index is calculated as </w:t>
            </w:r>
            <w:r>
              <w:rPr>
                <w:b/>
                <w:bCs/>
                <w:color w:val="0A0A0A"/>
                <w:lang w:val="en-GB"/>
              </w:rPr>
              <w:t>t</w:t>
            </w:r>
            <w:r w:rsidRPr="00A225E4">
              <w:rPr>
                <w:b/>
                <w:bCs/>
                <w:color w:val="0A0A0A"/>
                <w:lang w:val="en-GB"/>
              </w:rPr>
              <w:t xml:space="preserve">he ratio between the aggregation of 140 items focused on environmental, </w:t>
            </w:r>
            <w:proofErr w:type="gramStart"/>
            <w:r w:rsidRPr="00A225E4">
              <w:rPr>
                <w:b/>
                <w:bCs/>
                <w:color w:val="0A0A0A"/>
                <w:lang w:val="en-GB"/>
              </w:rPr>
              <w:t>social</w:t>
            </w:r>
            <w:proofErr w:type="gramEnd"/>
            <w:r w:rsidRPr="00A225E4">
              <w:rPr>
                <w:b/>
                <w:bCs/>
                <w:color w:val="0A0A0A"/>
                <w:lang w:val="en-GB"/>
              </w:rPr>
              <w:t xml:space="preserve"> and economic issues and the total number of items </w:t>
            </w:r>
            <w:proofErr w:type="spellStart"/>
            <w:r w:rsidRPr="00A225E4">
              <w:rPr>
                <w:b/>
                <w:bCs/>
                <w:color w:val="0A0A0A"/>
                <w:lang w:val="en-GB"/>
              </w:rPr>
              <w:t>analyzed</w:t>
            </w:r>
            <w:proofErr w:type="spellEnd"/>
            <w:r w:rsidRPr="00A225E4">
              <w:rPr>
                <w:b/>
                <w:bCs/>
                <w:color w:val="0A0A0A"/>
                <w:lang w:val="en-GB"/>
              </w:rPr>
              <w:t>, which codes as 1 if the firm disclose the CSR information related each item, and 0</w:t>
            </w:r>
            <w:r>
              <w:rPr>
                <w:b/>
                <w:bCs/>
                <w:color w:val="0A0A0A"/>
                <w:lang w:val="en-GB"/>
              </w:rPr>
              <w:t>.</w:t>
            </w:r>
          </w:p>
          <w:p w14:paraId="4FAB630E" w14:textId="77777777" w:rsidR="001C242A" w:rsidRDefault="001C242A" w:rsidP="003F7DB4">
            <w:pPr>
              <w:pStyle w:val="NormalWeb"/>
              <w:numPr>
                <w:ilvl w:val="0"/>
                <w:numId w:val="1"/>
              </w:numPr>
              <w:jc w:val="both"/>
              <w:rPr>
                <w:b/>
                <w:bCs/>
                <w:color w:val="0A0A0A"/>
                <w:lang w:val="en-GB"/>
              </w:rPr>
            </w:pPr>
            <w:r w:rsidRPr="00A225E4">
              <w:rPr>
                <w:b/>
                <w:bCs/>
                <w:color w:val="0A0A0A"/>
                <w:lang w:val="en-GB"/>
              </w:rPr>
              <w:t xml:space="preserve">Gallego‐Álvarez, I., &amp; </w:t>
            </w:r>
            <w:proofErr w:type="spellStart"/>
            <w:r w:rsidRPr="00A225E4">
              <w:rPr>
                <w:b/>
                <w:bCs/>
                <w:color w:val="0A0A0A"/>
                <w:lang w:val="en-GB"/>
              </w:rPr>
              <w:t>Pucheta</w:t>
            </w:r>
            <w:proofErr w:type="spellEnd"/>
            <w:r w:rsidRPr="00A225E4">
              <w:rPr>
                <w:b/>
                <w:bCs/>
                <w:color w:val="0A0A0A"/>
                <w:lang w:val="en-GB"/>
              </w:rPr>
              <w:t>‐Martínez, M. C. Corporate social responsibility reporting and corporate governance mechanisms: An international outlook from emerging countries. Business Strategy &amp; Development 2020, 3(1), 77–97.</w:t>
            </w:r>
          </w:p>
          <w:p w14:paraId="7D03FAB5" w14:textId="77777777" w:rsidR="001C242A" w:rsidRDefault="001C242A" w:rsidP="003F7DB4">
            <w:pPr>
              <w:pStyle w:val="NormalWeb"/>
              <w:numPr>
                <w:ilvl w:val="0"/>
                <w:numId w:val="1"/>
              </w:numPr>
              <w:jc w:val="both"/>
              <w:rPr>
                <w:b/>
                <w:bCs/>
                <w:color w:val="0A0A0A"/>
                <w:lang w:val="en-GB"/>
              </w:rPr>
            </w:pPr>
            <w:proofErr w:type="spellStart"/>
            <w:r w:rsidRPr="00A225E4">
              <w:rPr>
                <w:b/>
                <w:bCs/>
                <w:color w:val="0A0A0A"/>
              </w:rPr>
              <w:t>Pucheta</w:t>
            </w:r>
            <w:proofErr w:type="spellEnd"/>
            <w:r w:rsidRPr="00A225E4">
              <w:rPr>
                <w:b/>
                <w:bCs/>
                <w:color w:val="0A0A0A"/>
              </w:rPr>
              <w:t xml:space="preserve">-Martínez, M. C., &amp; </w:t>
            </w:r>
            <w:proofErr w:type="gramStart"/>
            <w:r w:rsidRPr="00A225E4">
              <w:rPr>
                <w:b/>
                <w:bCs/>
                <w:color w:val="0A0A0A"/>
              </w:rPr>
              <w:t>Gallego</w:t>
            </w:r>
            <w:proofErr w:type="gramEnd"/>
            <w:r w:rsidRPr="00A225E4">
              <w:rPr>
                <w:b/>
                <w:bCs/>
                <w:color w:val="0A0A0A"/>
              </w:rPr>
              <w:t xml:space="preserve">-Álvarez, I. (2021). </w:t>
            </w:r>
            <w:r w:rsidRPr="00A225E4">
              <w:rPr>
                <w:b/>
                <w:bCs/>
                <w:color w:val="0A0A0A"/>
                <w:lang w:val="en-GB"/>
              </w:rPr>
              <w:t>The Role of CEO Power on CSR Reporting: The Moderating Effect of Linking CEO Compensation to Shareholder Return. Sustainability, 13(6), 3197.</w:t>
            </w:r>
          </w:p>
          <w:p w14:paraId="1CB5DDCE" w14:textId="77777777" w:rsidR="001C242A" w:rsidRDefault="001C242A" w:rsidP="003F7DB4">
            <w:pPr>
              <w:pStyle w:val="NormalWeb"/>
              <w:jc w:val="both"/>
              <w:rPr>
                <w:b/>
                <w:bCs/>
                <w:color w:val="0A0A0A"/>
                <w:lang w:val="en-GB"/>
              </w:rPr>
            </w:pPr>
            <w:r>
              <w:rPr>
                <w:b/>
                <w:bCs/>
                <w:color w:val="0A0A0A"/>
                <w:lang w:val="en-GB"/>
              </w:rPr>
              <w:lastRenderedPageBreak/>
              <w:t xml:space="preserve">Moreover, we include a Table 1 to justify the items used in the </w:t>
            </w:r>
            <w:r w:rsidRPr="00A225E4">
              <w:rPr>
                <w:b/>
                <w:bCs/>
                <w:color w:val="0A0A0A"/>
                <w:lang w:val="en-GB"/>
              </w:rPr>
              <w:t>Corporate social responsibility disclosure</w:t>
            </w:r>
            <w:r>
              <w:rPr>
                <w:b/>
                <w:bCs/>
                <w:color w:val="0A0A0A"/>
                <w:lang w:val="en-GB"/>
              </w:rPr>
              <w:t>.</w:t>
            </w:r>
          </w:p>
          <w:p w14:paraId="080AD89E" w14:textId="77777777" w:rsidR="001C242A" w:rsidRPr="00A225E4" w:rsidRDefault="001C242A" w:rsidP="003F7DB4">
            <w:pPr>
              <w:pStyle w:val="NormalWeb"/>
              <w:jc w:val="both"/>
              <w:rPr>
                <w:b/>
                <w:bCs/>
                <w:color w:val="0A0A0A"/>
                <w:lang w:val="en-GB"/>
              </w:rPr>
            </w:pPr>
            <w:r w:rsidRPr="00A225E4">
              <w:rPr>
                <w:b/>
                <w:bCs/>
                <w:color w:val="0A0A0A"/>
                <w:lang w:val="en-GB"/>
              </w:rPr>
              <w:t>Additionally, we have also in</w:t>
            </w:r>
            <w:r>
              <w:rPr>
                <w:b/>
                <w:bCs/>
                <w:color w:val="0A0A0A"/>
                <w:lang w:val="en-GB"/>
              </w:rPr>
              <w:t>troduc</w:t>
            </w:r>
            <w:r w:rsidRPr="00A225E4">
              <w:rPr>
                <w:b/>
                <w:bCs/>
                <w:color w:val="0A0A0A"/>
                <w:lang w:val="en-GB"/>
              </w:rPr>
              <w:t xml:space="preserve">ed </w:t>
            </w:r>
            <w:r>
              <w:rPr>
                <w:b/>
                <w:bCs/>
                <w:color w:val="0A0A0A"/>
                <w:lang w:val="en-GB"/>
              </w:rPr>
              <w:t xml:space="preserve">in the control variable paragraph more information </w:t>
            </w:r>
            <w:r w:rsidRPr="00A225E4">
              <w:rPr>
                <w:b/>
                <w:bCs/>
                <w:lang w:val="en-US"/>
              </w:rPr>
              <w:t>to provide justifications on why those control variables are considered in this study</w:t>
            </w:r>
            <w:r w:rsidRPr="00A225E4">
              <w:rPr>
                <w:b/>
                <w:bCs/>
                <w:color w:val="0A0A0A"/>
                <w:lang w:val="en-GB"/>
              </w:rPr>
              <w:t xml:space="preserve">. </w:t>
            </w:r>
            <w:r>
              <w:rPr>
                <w:b/>
                <w:bCs/>
                <w:color w:val="0A0A0A"/>
                <w:lang w:val="en-GB"/>
              </w:rPr>
              <w:t xml:space="preserve">We had the firm size variable labelled as </w:t>
            </w:r>
            <w:r w:rsidRPr="00A225E4">
              <w:rPr>
                <w:b/>
                <w:bCs/>
                <w:color w:val="0A0A0A"/>
                <w:lang w:val="en-GB"/>
              </w:rPr>
              <w:t>LTA</w:t>
            </w:r>
            <w:r>
              <w:rPr>
                <w:b/>
                <w:bCs/>
                <w:color w:val="0A0A0A"/>
                <w:lang w:val="en-GB"/>
              </w:rPr>
              <w:t xml:space="preserve"> which is calculated as logarithm of total assets. In this sense, we have used the control variables in line with previous research to avoid biased results. We have introduced the following references:</w:t>
            </w:r>
          </w:p>
          <w:p w14:paraId="2324E264" w14:textId="77777777" w:rsidR="001C242A" w:rsidRPr="00A225E4" w:rsidRDefault="001C242A" w:rsidP="001C242A">
            <w:pPr>
              <w:pStyle w:val="Prrafodelista"/>
              <w:numPr>
                <w:ilvl w:val="0"/>
                <w:numId w:val="2"/>
              </w:numPr>
              <w:spacing w:after="0" w:line="240" w:lineRule="auto"/>
              <w:jc w:val="both"/>
              <w:rPr>
                <w:rFonts w:ascii="Times New Roman" w:eastAsia="Times New Roman" w:hAnsi="Times New Roman" w:cs="Times New Roman"/>
                <w:b/>
                <w:bCs/>
                <w:lang w:val="en-US" w:eastAsia="es-ES_tradnl"/>
              </w:rPr>
            </w:pPr>
            <w:r w:rsidRPr="00A225E4">
              <w:rPr>
                <w:rFonts w:ascii="Times New Roman" w:eastAsia="Times New Roman" w:hAnsi="Times New Roman" w:cs="Times New Roman"/>
                <w:b/>
                <w:bCs/>
                <w:lang w:val="en-US" w:eastAsia="es-ES_tradnl"/>
              </w:rPr>
              <w:t xml:space="preserve">Ali, W., </w:t>
            </w:r>
            <w:proofErr w:type="spellStart"/>
            <w:r w:rsidRPr="00A225E4">
              <w:rPr>
                <w:rFonts w:ascii="Times New Roman" w:eastAsia="Times New Roman" w:hAnsi="Times New Roman" w:cs="Times New Roman"/>
                <w:b/>
                <w:bCs/>
                <w:lang w:val="en-US" w:eastAsia="es-ES_tradnl"/>
              </w:rPr>
              <w:t>Frynas</w:t>
            </w:r>
            <w:proofErr w:type="spellEnd"/>
            <w:r w:rsidRPr="00A225E4">
              <w:rPr>
                <w:rFonts w:ascii="Times New Roman" w:eastAsia="Times New Roman" w:hAnsi="Times New Roman" w:cs="Times New Roman"/>
                <w:b/>
                <w:bCs/>
                <w:lang w:val="en-US" w:eastAsia="es-ES_tradnl"/>
              </w:rPr>
              <w:t>, J., &amp; Mahmood, Z. (2017). Determinants of corporate social</w:t>
            </w:r>
            <w:r>
              <w:rPr>
                <w:rFonts w:ascii="Times New Roman" w:eastAsia="Times New Roman" w:hAnsi="Times New Roman" w:cs="Times New Roman"/>
                <w:b/>
                <w:bCs/>
                <w:lang w:val="en-US" w:eastAsia="es-ES_tradnl"/>
              </w:rPr>
              <w:t xml:space="preserve"> </w:t>
            </w:r>
            <w:r w:rsidRPr="00A225E4">
              <w:rPr>
                <w:rFonts w:ascii="Times New Roman" w:eastAsia="Times New Roman" w:hAnsi="Times New Roman" w:cs="Times New Roman"/>
                <w:b/>
                <w:bCs/>
                <w:lang w:val="en-US" w:eastAsia="es-ES_tradnl"/>
              </w:rPr>
              <w:t>responsibility (CSR) disclosure in developed and developing countries:</w:t>
            </w:r>
            <w:r>
              <w:rPr>
                <w:rFonts w:ascii="Times New Roman" w:eastAsia="Times New Roman" w:hAnsi="Times New Roman" w:cs="Times New Roman"/>
                <w:b/>
                <w:bCs/>
                <w:lang w:val="en-US" w:eastAsia="es-ES_tradnl"/>
              </w:rPr>
              <w:t xml:space="preserve"> </w:t>
            </w:r>
            <w:r w:rsidRPr="00A225E4">
              <w:rPr>
                <w:rFonts w:ascii="Times New Roman" w:eastAsia="Times New Roman" w:hAnsi="Times New Roman" w:cs="Times New Roman"/>
                <w:b/>
                <w:bCs/>
                <w:lang w:val="en-US" w:eastAsia="es-ES_tradnl"/>
              </w:rPr>
              <w:t>A literature review.</w:t>
            </w:r>
            <w:r>
              <w:rPr>
                <w:rFonts w:ascii="Times New Roman" w:eastAsia="Times New Roman" w:hAnsi="Times New Roman" w:cs="Times New Roman"/>
                <w:b/>
                <w:bCs/>
                <w:lang w:val="en-US" w:eastAsia="es-ES_tradnl"/>
              </w:rPr>
              <w:t xml:space="preserve"> </w:t>
            </w:r>
            <w:r w:rsidRPr="00A225E4">
              <w:rPr>
                <w:rFonts w:ascii="Times New Roman" w:eastAsia="Times New Roman" w:hAnsi="Times New Roman" w:cs="Times New Roman"/>
                <w:b/>
                <w:bCs/>
                <w:i/>
                <w:iCs/>
                <w:lang w:val="en-US" w:eastAsia="es-ES_tradnl"/>
              </w:rPr>
              <w:t>Corporate Social Responsibility and Environmental Management,</w:t>
            </w:r>
            <w:r w:rsidRPr="00A225E4">
              <w:rPr>
                <w:rFonts w:ascii="Times New Roman" w:eastAsia="Times New Roman" w:hAnsi="Times New Roman" w:cs="Times New Roman"/>
                <w:b/>
                <w:bCs/>
                <w:lang w:val="en-US" w:eastAsia="es-ES_tradnl"/>
              </w:rPr>
              <w:t>24, 273–294</w:t>
            </w:r>
          </w:p>
          <w:p w14:paraId="590DEA9F" w14:textId="77777777" w:rsidR="001C242A" w:rsidRPr="00A225E4" w:rsidRDefault="001C242A" w:rsidP="003F7DB4">
            <w:pPr>
              <w:jc w:val="both"/>
              <w:rPr>
                <w:rFonts w:ascii="Times New Roman" w:eastAsia="Times New Roman" w:hAnsi="Times New Roman" w:cs="Times New Roman"/>
                <w:b/>
                <w:bCs/>
                <w:lang w:val="en-US" w:eastAsia="es-ES_tradnl"/>
              </w:rPr>
            </w:pPr>
          </w:p>
          <w:p w14:paraId="05EEBCDE" w14:textId="77777777" w:rsidR="001C242A" w:rsidRPr="00A225E4" w:rsidRDefault="001C242A" w:rsidP="001C242A">
            <w:pPr>
              <w:pStyle w:val="Prrafodelista"/>
              <w:numPr>
                <w:ilvl w:val="0"/>
                <w:numId w:val="2"/>
              </w:numPr>
              <w:spacing w:after="0" w:line="240" w:lineRule="auto"/>
              <w:jc w:val="both"/>
              <w:rPr>
                <w:rFonts w:ascii="Times New Roman" w:eastAsia="Times New Roman" w:hAnsi="Times New Roman" w:cs="Times New Roman"/>
                <w:b/>
                <w:bCs/>
                <w:lang w:val="en-US" w:eastAsia="es-ES_tradnl"/>
              </w:rPr>
            </w:pPr>
            <w:r w:rsidRPr="00A225E4">
              <w:rPr>
                <w:rFonts w:ascii="Times New Roman" w:eastAsia="Times New Roman" w:hAnsi="Times New Roman" w:cs="Times New Roman"/>
                <w:b/>
                <w:bCs/>
                <w:lang w:val="en-US" w:eastAsia="es-ES_tradnl"/>
              </w:rPr>
              <w:t>Barako, D., &amp; Brown, A. (2008). Corporate social reporting and board rep-</w:t>
            </w:r>
            <w:proofErr w:type="spellStart"/>
            <w:r w:rsidRPr="00A225E4">
              <w:rPr>
                <w:rFonts w:ascii="Times New Roman" w:eastAsia="Times New Roman" w:hAnsi="Times New Roman" w:cs="Times New Roman"/>
                <w:b/>
                <w:bCs/>
                <w:lang w:val="en-US" w:eastAsia="es-ES_tradnl"/>
              </w:rPr>
              <w:t>resentation</w:t>
            </w:r>
            <w:proofErr w:type="spellEnd"/>
            <w:r w:rsidRPr="00A225E4">
              <w:rPr>
                <w:rFonts w:ascii="Times New Roman" w:eastAsia="Times New Roman" w:hAnsi="Times New Roman" w:cs="Times New Roman"/>
                <w:b/>
                <w:bCs/>
                <w:lang w:val="en-US" w:eastAsia="es-ES_tradnl"/>
              </w:rPr>
              <w:t>: Evidence from the Kenyan banking sector.</w:t>
            </w:r>
            <w:r>
              <w:rPr>
                <w:rFonts w:ascii="Times New Roman" w:eastAsia="Times New Roman" w:hAnsi="Times New Roman" w:cs="Times New Roman"/>
                <w:b/>
                <w:bCs/>
                <w:lang w:val="en-US" w:eastAsia="es-ES_tradnl"/>
              </w:rPr>
              <w:t xml:space="preserve"> </w:t>
            </w:r>
            <w:r w:rsidRPr="00A225E4">
              <w:rPr>
                <w:rFonts w:ascii="Times New Roman" w:eastAsia="Times New Roman" w:hAnsi="Times New Roman" w:cs="Times New Roman"/>
                <w:b/>
                <w:bCs/>
                <w:i/>
                <w:iCs/>
                <w:lang w:val="en-US" w:eastAsia="es-ES_tradnl"/>
              </w:rPr>
              <w:t>Journal of</w:t>
            </w:r>
            <w:r>
              <w:rPr>
                <w:rFonts w:ascii="Times New Roman" w:eastAsia="Times New Roman" w:hAnsi="Times New Roman" w:cs="Times New Roman"/>
                <w:b/>
                <w:bCs/>
                <w:i/>
                <w:iCs/>
                <w:lang w:val="en-US" w:eastAsia="es-ES_tradnl"/>
              </w:rPr>
              <w:t xml:space="preserve"> </w:t>
            </w:r>
            <w:r w:rsidRPr="00A225E4">
              <w:rPr>
                <w:rFonts w:ascii="Times New Roman" w:eastAsia="Times New Roman" w:hAnsi="Times New Roman" w:cs="Times New Roman"/>
                <w:b/>
                <w:bCs/>
                <w:i/>
                <w:iCs/>
                <w:lang w:val="en-US" w:eastAsia="es-ES_tradnl"/>
              </w:rPr>
              <w:t>Management and Governance</w:t>
            </w:r>
            <w:r w:rsidRPr="00A225E4">
              <w:rPr>
                <w:rFonts w:ascii="Times New Roman" w:eastAsia="Times New Roman" w:hAnsi="Times New Roman" w:cs="Times New Roman"/>
                <w:b/>
                <w:bCs/>
                <w:lang w:val="en-US" w:eastAsia="es-ES_tradnl"/>
              </w:rPr>
              <w:t>,12, 309–324</w:t>
            </w:r>
          </w:p>
          <w:p w14:paraId="32D041BA" w14:textId="77777777" w:rsidR="001C242A" w:rsidRPr="00A225E4" w:rsidRDefault="001C242A" w:rsidP="003F7DB4">
            <w:pPr>
              <w:jc w:val="both"/>
              <w:rPr>
                <w:rFonts w:ascii="Times New Roman" w:eastAsia="Times New Roman" w:hAnsi="Times New Roman" w:cs="Times New Roman"/>
                <w:b/>
                <w:bCs/>
                <w:lang w:val="en-US" w:eastAsia="es-ES_tradnl"/>
              </w:rPr>
            </w:pPr>
          </w:p>
          <w:p w14:paraId="7A76556F" w14:textId="77777777" w:rsidR="001C242A" w:rsidRPr="00A225E4" w:rsidRDefault="001C242A" w:rsidP="001C242A">
            <w:pPr>
              <w:pStyle w:val="Prrafodelista"/>
              <w:numPr>
                <w:ilvl w:val="0"/>
                <w:numId w:val="2"/>
              </w:numPr>
              <w:spacing w:after="0" w:line="240" w:lineRule="auto"/>
              <w:jc w:val="both"/>
              <w:rPr>
                <w:rFonts w:ascii="Times New Roman" w:eastAsia="Times New Roman" w:hAnsi="Times New Roman" w:cs="Times New Roman"/>
                <w:b/>
                <w:bCs/>
                <w:lang w:val="en-US" w:eastAsia="es-ES_tradnl"/>
              </w:rPr>
            </w:pPr>
            <w:r w:rsidRPr="00A225E4">
              <w:rPr>
                <w:rFonts w:ascii="Times New Roman" w:eastAsia="Times New Roman" w:hAnsi="Times New Roman" w:cs="Times New Roman"/>
                <w:b/>
                <w:bCs/>
                <w:lang w:val="en-US" w:eastAsia="es-ES_tradnl"/>
              </w:rPr>
              <w:t xml:space="preserve">Brammer, S., Millington, A., &amp; </w:t>
            </w:r>
            <w:proofErr w:type="spellStart"/>
            <w:r w:rsidRPr="00A225E4">
              <w:rPr>
                <w:rFonts w:ascii="Times New Roman" w:eastAsia="Times New Roman" w:hAnsi="Times New Roman" w:cs="Times New Roman"/>
                <w:b/>
                <w:bCs/>
                <w:lang w:val="en-US" w:eastAsia="es-ES_tradnl"/>
              </w:rPr>
              <w:t>Pavelin</w:t>
            </w:r>
            <w:proofErr w:type="spellEnd"/>
            <w:r w:rsidRPr="00A225E4">
              <w:rPr>
                <w:rFonts w:ascii="Times New Roman" w:eastAsia="Times New Roman" w:hAnsi="Times New Roman" w:cs="Times New Roman"/>
                <w:b/>
                <w:bCs/>
                <w:lang w:val="en-US" w:eastAsia="es-ES_tradnl"/>
              </w:rPr>
              <w:t>, S. (2007). Gender and ethnic diversity among UK corporate boards.</w:t>
            </w:r>
            <w:r>
              <w:rPr>
                <w:rFonts w:ascii="Times New Roman" w:eastAsia="Times New Roman" w:hAnsi="Times New Roman" w:cs="Times New Roman"/>
                <w:b/>
                <w:bCs/>
                <w:lang w:val="en-US" w:eastAsia="es-ES_tradnl"/>
              </w:rPr>
              <w:t xml:space="preserve"> </w:t>
            </w:r>
            <w:r w:rsidRPr="00A225E4">
              <w:rPr>
                <w:rFonts w:ascii="Times New Roman" w:eastAsia="Times New Roman" w:hAnsi="Times New Roman" w:cs="Times New Roman"/>
                <w:b/>
                <w:bCs/>
                <w:i/>
                <w:iCs/>
                <w:lang w:val="en-US" w:eastAsia="es-ES_tradnl"/>
              </w:rPr>
              <w:t>Corporate Governance:  An</w:t>
            </w:r>
            <w:r>
              <w:rPr>
                <w:rFonts w:ascii="Times New Roman" w:eastAsia="Times New Roman" w:hAnsi="Times New Roman" w:cs="Times New Roman"/>
                <w:b/>
                <w:bCs/>
                <w:i/>
                <w:iCs/>
                <w:lang w:val="en-US" w:eastAsia="es-ES_tradnl"/>
              </w:rPr>
              <w:t xml:space="preserve"> </w:t>
            </w:r>
            <w:r w:rsidRPr="00A225E4">
              <w:rPr>
                <w:rFonts w:ascii="Times New Roman" w:eastAsia="Times New Roman" w:hAnsi="Times New Roman" w:cs="Times New Roman"/>
                <w:b/>
                <w:bCs/>
                <w:i/>
                <w:iCs/>
                <w:lang w:val="en-US" w:eastAsia="es-ES_tradnl"/>
              </w:rPr>
              <w:t>International Review</w:t>
            </w:r>
            <w:r w:rsidRPr="00A225E4">
              <w:rPr>
                <w:rFonts w:ascii="Times New Roman" w:eastAsia="Times New Roman" w:hAnsi="Times New Roman" w:cs="Times New Roman"/>
                <w:b/>
                <w:bCs/>
                <w:lang w:val="en-US" w:eastAsia="es-ES_tradnl"/>
              </w:rPr>
              <w:t>,15(2), 393–403</w:t>
            </w:r>
          </w:p>
          <w:p w14:paraId="28B86D80" w14:textId="77777777" w:rsidR="001C242A" w:rsidRPr="00A225E4" w:rsidRDefault="001C242A" w:rsidP="003F7DB4">
            <w:pPr>
              <w:pStyle w:val="MDPI31text"/>
              <w:ind w:left="0" w:firstLine="0"/>
              <w:rPr>
                <w:rFonts w:ascii="Times New Roman" w:hAnsi="Times New Roman"/>
                <w:b/>
                <w:bCs/>
                <w:sz w:val="22"/>
              </w:rPr>
            </w:pPr>
          </w:p>
          <w:p w14:paraId="464D89D0" w14:textId="77777777" w:rsidR="001C242A" w:rsidRPr="00A225E4" w:rsidRDefault="001C242A" w:rsidP="001C242A">
            <w:pPr>
              <w:pStyle w:val="Prrafodelista"/>
              <w:numPr>
                <w:ilvl w:val="0"/>
                <w:numId w:val="2"/>
              </w:numPr>
              <w:spacing w:after="0" w:line="240" w:lineRule="auto"/>
              <w:jc w:val="both"/>
              <w:rPr>
                <w:rFonts w:ascii="Times New Roman" w:eastAsia="Times New Roman" w:hAnsi="Times New Roman" w:cs="Times New Roman"/>
                <w:b/>
                <w:bCs/>
                <w:lang w:val="en-US" w:eastAsia="es-ES_tradnl"/>
              </w:rPr>
            </w:pPr>
            <w:r w:rsidRPr="00A225E4">
              <w:rPr>
                <w:rFonts w:ascii="Times New Roman" w:eastAsia="Times New Roman" w:hAnsi="Times New Roman" w:cs="Times New Roman"/>
                <w:b/>
                <w:bCs/>
                <w:lang w:val="en-US" w:eastAsia="es-ES_tradnl"/>
              </w:rPr>
              <w:t>Chau, G., &amp; Gray, S. (2010). Family ownership, board independence and</w:t>
            </w:r>
            <w:r>
              <w:rPr>
                <w:rFonts w:ascii="Times New Roman" w:eastAsia="Times New Roman" w:hAnsi="Times New Roman" w:cs="Times New Roman"/>
                <w:b/>
                <w:bCs/>
                <w:lang w:val="en-US" w:eastAsia="es-ES_tradnl"/>
              </w:rPr>
              <w:t xml:space="preserve"> </w:t>
            </w:r>
            <w:r w:rsidRPr="00A225E4">
              <w:rPr>
                <w:rFonts w:ascii="Times New Roman" w:eastAsia="Times New Roman" w:hAnsi="Times New Roman" w:cs="Times New Roman"/>
                <w:b/>
                <w:bCs/>
                <w:lang w:val="en-US" w:eastAsia="es-ES_tradnl"/>
              </w:rPr>
              <w:t>voluntary disclosure: Evidence from Hong Kong.</w:t>
            </w:r>
            <w:r>
              <w:rPr>
                <w:rFonts w:ascii="Times New Roman" w:eastAsia="Times New Roman" w:hAnsi="Times New Roman" w:cs="Times New Roman"/>
                <w:b/>
                <w:bCs/>
                <w:lang w:val="en-US" w:eastAsia="es-ES_tradnl"/>
              </w:rPr>
              <w:t xml:space="preserve"> </w:t>
            </w:r>
            <w:r w:rsidRPr="00A225E4">
              <w:rPr>
                <w:rFonts w:ascii="Times New Roman" w:eastAsia="Times New Roman" w:hAnsi="Times New Roman" w:cs="Times New Roman"/>
                <w:b/>
                <w:bCs/>
                <w:i/>
                <w:iCs/>
                <w:lang w:val="en-US" w:eastAsia="es-ES_tradnl"/>
              </w:rPr>
              <w:t>Journal of International</w:t>
            </w:r>
            <w:r>
              <w:rPr>
                <w:rFonts w:ascii="Times New Roman" w:eastAsia="Times New Roman" w:hAnsi="Times New Roman" w:cs="Times New Roman"/>
                <w:b/>
                <w:bCs/>
                <w:i/>
                <w:iCs/>
                <w:lang w:val="en-US" w:eastAsia="es-ES_tradnl"/>
              </w:rPr>
              <w:t xml:space="preserve"> </w:t>
            </w:r>
            <w:r w:rsidRPr="00A225E4">
              <w:rPr>
                <w:rFonts w:ascii="Times New Roman" w:eastAsia="Times New Roman" w:hAnsi="Times New Roman" w:cs="Times New Roman"/>
                <w:b/>
                <w:bCs/>
                <w:i/>
                <w:iCs/>
                <w:lang w:val="en-US" w:eastAsia="es-ES_tradnl"/>
              </w:rPr>
              <w:t>Accounting, Auditing and Taxation</w:t>
            </w:r>
            <w:r w:rsidRPr="00A225E4">
              <w:rPr>
                <w:rFonts w:ascii="Times New Roman" w:eastAsia="Times New Roman" w:hAnsi="Times New Roman" w:cs="Times New Roman"/>
                <w:b/>
                <w:bCs/>
                <w:lang w:val="en-US" w:eastAsia="es-ES_tradnl"/>
              </w:rPr>
              <w:t>,19(2), 93–109</w:t>
            </w:r>
          </w:p>
          <w:p w14:paraId="27ACC0E3" w14:textId="77777777" w:rsidR="001C242A" w:rsidRPr="00A225E4" w:rsidRDefault="001C242A" w:rsidP="003F7DB4">
            <w:pPr>
              <w:jc w:val="both"/>
              <w:rPr>
                <w:rFonts w:ascii="Times New Roman" w:eastAsia="Times New Roman" w:hAnsi="Times New Roman" w:cs="Times New Roman"/>
                <w:b/>
                <w:bCs/>
                <w:lang w:val="en-US" w:eastAsia="es-ES_tradnl"/>
              </w:rPr>
            </w:pPr>
          </w:p>
          <w:p w14:paraId="29709384" w14:textId="77777777" w:rsidR="001C242A" w:rsidRPr="00A225E4" w:rsidRDefault="001C242A" w:rsidP="001C242A">
            <w:pPr>
              <w:pStyle w:val="Prrafodelista"/>
              <w:numPr>
                <w:ilvl w:val="0"/>
                <w:numId w:val="2"/>
              </w:numPr>
              <w:spacing w:after="0" w:line="240" w:lineRule="auto"/>
              <w:jc w:val="both"/>
              <w:rPr>
                <w:rFonts w:ascii="Times New Roman" w:eastAsia="Times New Roman" w:hAnsi="Times New Roman" w:cs="Times New Roman"/>
                <w:b/>
                <w:bCs/>
                <w:lang w:val="en-US" w:eastAsia="es-ES_tradnl"/>
              </w:rPr>
            </w:pPr>
            <w:r w:rsidRPr="00A225E4">
              <w:rPr>
                <w:rFonts w:ascii="Times New Roman" w:eastAsia="Times New Roman" w:hAnsi="Times New Roman" w:cs="Times New Roman"/>
                <w:b/>
                <w:bCs/>
                <w:lang w:val="en-US" w:eastAsia="es-ES_tradnl"/>
              </w:rPr>
              <w:t>Donnelly, R., &amp; Mulcahy, M. (2008). Board structure, ownership, and voluntary disclosure in Ireland.</w:t>
            </w:r>
            <w:r>
              <w:rPr>
                <w:rFonts w:ascii="Times New Roman" w:eastAsia="Times New Roman" w:hAnsi="Times New Roman" w:cs="Times New Roman"/>
                <w:b/>
                <w:bCs/>
                <w:lang w:val="en-US" w:eastAsia="es-ES_tradnl"/>
              </w:rPr>
              <w:t xml:space="preserve"> </w:t>
            </w:r>
            <w:r w:rsidRPr="00A225E4">
              <w:rPr>
                <w:rFonts w:ascii="Times New Roman" w:eastAsia="Times New Roman" w:hAnsi="Times New Roman" w:cs="Times New Roman"/>
                <w:b/>
                <w:bCs/>
                <w:i/>
                <w:iCs/>
                <w:lang w:val="en-US" w:eastAsia="es-ES_tradnl"/>
              </w:rPr>
              <w:t>Corporate Governance: An International Review</w:t>
            </w:r>
            <w:r w:rsidRPr="00A225E4">
              <w:rPr>
                <w:rFonts w:ascii="Times New Roman" w:eastAsia="Times New Roman" w:hAnsi="Times New Roman" w:cs="Times New Roman"/>
                <w:b/>
                <w:bCs/>
                <w:lang w:val="en-US" w:eastAsia="es-ES_tradnl"/>
              </w:rPr>
              <w:t>,16(5), 416–429</w:t>
            </w:r>
          </w:p>
          <w:p w14:paraId="5ED7FAA1" w14:textId="77777777" w:rsidR="001C242A" w:rsidRPr="00A225E4" w:rsidRDefault="001C242A" w:rsidP="003F7DB4">
            <w:pPr>
              <w:jc w:val="both"/>
              <w:rPr>
                <w:rFonts w:ascii="Times New Roman" w:eastAsia="Times New Roman" w:hAnsi="Times New Roman" w:cs="Times New Roman"/>
                <w:b/>
                <w:bCs/>
                <w:lang w:val="en-US" w:eastAsia="es-ES_tradnl"/>
              </w:rPr>
            </w:pPr>
          </w:p>
          <w:p w14:paraId="1EB6DDDD" w14:textId="77777777" w:rsidR="001C242A" w:rsidRPr="00A225E4" w:rsidRDefault="001C242A" w:rsidP="001C242A">
            <w:pPr>
              <w:pStyle w:val="Prrafodelista"/>
              <w:numPr>
                <w:ilvl w:val="0"/>
                <w:numId w:val="2"/>
              </w:numPr>
              <w:spacing w:after="0" w:line="240" w:lineRule="auto"/>
              <w:jc w:val="both"/>
              <w:rPr>
                <w:rFonts w:ascii="Times New Roman" w:eastAsia="Times New Roman" w:hAnsi="Times New Roman" w:cs="Times New Roman"/>
                <w:b/>
                <w:bCs/>
                <w:lang w:val="en-US" w:eastAsia="es-ES_tradnl"/>
              </w:rPr>
            </w:pPr>
            <w:proofErr w:type="spellStart"/>
            <w:r w:rsidRPr="00A225E4">
              <w:rPr>
                <w:rFonts w:ascii="Times New Roman" w:eastAsia="Times New Roman" w:hAnsi="Times New Roman" w:cs="Times New Roman"/>
                <w:b/>
                <w:bCs/>
                <w:lang w:val="en-US" w:eastAsia="es-ES_tradnl"/>
              </w:rPr>
              <w:t>Jizi</w:t>
            </w:r>
            <w:proofErr w:type="spellEnd"/>
            <w:r w:rsidRPr="00A225E4">
              <w:rPr>
                <w:rFonts w:ascii="Times New Roman" w:eastAsia="Times New Roman" w:hAnsi="Times New Roman" w:cs="Times New Roman"/>
                <w:b/>
                <w:bCs/>
                <w:lang w:val="en-US" w:eastAsia="es-ES_tradnl"/>
              </w:rPr>
              <w:t xml:space="preserve">, M., Salama, A., Dixon, R., &amp; </w:t>
            </w:r>
            <w:proofErr w:type="spellStart"/>
            <w:r w:rsidRPr="00A225E4">
              <w:rPr>
                <w:rFonts w:ascii="Times New Roman" w:eastAsia="Times New Roman" w:hAnsi="Times New Roman" w:cs="Times New Roman"/>
                <w:b/>
                <w:bCs/>
                <w:lang w:val="en-US" w:eastAsia="es-ES_tradnl"/>
              </w:rPr>
              <w:t>Stratling</w:t>
            </w:r>
            <w:proofErr w:type="spellEnd"/>
            <w:r w:rsidRPr="00A225E4">
              <w:rPr>
                <w:rFonts w:ascii="Times New Roman" w:eastAsia="Times New Roman" w:hAnsi="Times New Roman" w:cs="Times New Roman"/>
                <w:b/>
                <w:bCs/>
                <w:lang w:val="en-US" w:eastAsia="es-ES_tradnl"/>
              </w:rPr>
              <w:t>, R. (2014). Corporate governance</w:t>
            </w:r>
            <w:r>
              <w:rPr>
                <w:rFonts w:ascii="Times New Roman" w:eastAsia="Times New Roman" w:hAnsi="Times New Roman" w:cs="Times New Roman"/>
                <w:b/>
                <w:bCs/>
                <w:lang w:val="en-US" w:eastAsia="es-ES_tradnl"/>
              </w:rPr>
              <w:t xml:space="preserve"> </w:t>
            </w:r>
            <w:r w:rsidRPr="00A225E4">
              <w:rPr>
                <w:rFonts w:ascii="Times New Roman" w:eastAsia="Times New Roman" w:hAnsi="Times New Roman" w:cs="Times New Roman"/>
                <w:b/>
                <w:bCs/>
                <w:lang w:val="en-US" w:eastAsia="es-ES_tradnl"/>
              </w:rPr>
              <w:t>and corporate social responsibility disclosure: Evidence from the US</w:t>
            </w:r>
            <w:r>
              <w:rPr>
                <w:rFonts w:ascii="Times New Roman" w:eastAsia="Times New Roman" w:hAnsi="Times New Roman" w:cs="Times New Roman"/>
                <w:b/>
                <w:bCs/>
                <w:lang w:val="en-US" w:eastAsia="es-ES_tradnl"/>
              </w:rPr>
              <w:t xml:space="preserve"> </w:t>
            </w:r>
            <w:r w:rsidRPr="00A225E4">
              <w:rPr>
                <w:rFonts w:ascii="Times New Roman" w:eastAsia="Times New Roman" w:hAnsi="Times New Roman" w:cs="Times New Roman"/>
                <w:b/>
                <w:bCs/>
                <w:lang w:val="en-US" w:eastAsia="es-ES_tradnl"/>
              </w:rPr>
              <w:t>banking sector.</w:t>
            </w:r>
            <w:r>
              <w:rPr>
                <w:rFonts w:ascii="Times New Roman" w:eastAsia="Times New Roman" w:hAnsi="Times New Roman" w:cs="Times New Roman"/>
                <w:b/>
                <w:bCs/>
                <w:lang w:val="en-US" w:eastAsia="es-ES_tradnl"/>
              </w:rPr>
              <w:t xml:space="preserve"> </w:t>
            </w:r>
            <w:r w:rsidRPr="00A225E4">
              <w:rPr>
                <w:rFonts w:ascii="Times New Roman" w:eastAsia="Times New Roman" w:hAnsi="Times New Roman" w:cs="Times New Roman"/>
                <w:b/>
                <w:bCs/>
                <w:i/>
                <w:iCs/>
                <w:lang w:val="en-US" w:eastAsia="es-ES_tradnl"/>
              </w:rPr>
              <w:t>Journal of Business Ethics</w:t>
            </w:r>
            <w:r w:rsidRPr="00A225E4">
              <w:rPr>
                <w:rFonts w:ascii="Times New Roman" w:eastAsia="Times New Roman" w:hAnsi="Times New Roman" w:cs="Times New Roman"/>
                <w:b/>
                <w:bCs/>
                <w:lang w:val="en-US" w:eastAsia="es-ES_tradnl"/>
              </w:rPr>
              <w:t>,125(4), 601–615</w:t>
            </w:r>
          </w:p>
          <w:p w14:paraId="686A25EC" w14:textId="77777777" w:rsidR="001C242A" w:rsidRPr="00BE7541" w:rsidRDefault="001C242A" w:rsidP="003F7DB4">
            <w:pPr>
              <w:jc w:val="both"/>
              <w:rPr>
                <w:rFonts w:ascii="Times New Roman" w:eastAsia="Times New Roman" w:hAnsi="Times New Roman" w:cs="Times New Roman"/>
                <w:b/>
                <w:bCs/>
                <w:lang w:val="en-US" w:eastAsia="es-ES_tradnl"/>
              </w:rPr>
            </w:pPr>
          </w:p>
          <w:p w14:paraId="4B3DC93E" w14:textId="77777777" w:rsidR="001C242A" w:rsidRPr="00A225E4" w:rsidRDefault="001C242A" w:rsidP="001C242A">
            <w:pPr>
              <w:pStyle w:val="Prrafodelista"/>
              <w:numPr>
                <w:ilvl w:val="0"/>
                <w:numId w:val="2"/>
              </w:numPr>
              <w:spacing w:after="0" w:line="240" w:lineRule="auto"/>
              <w:jc w:val="both"/>
              <w:rPr>
                <w:rFonts w:ascii="Times New Roman" w:eastAsia="Times New Roman" w:hAnsi="Times New Roman" w:cs="Times New Roman"/>
                <w:b/>
                <w:bCs/>
                <w:lang w:val="en-US" w:eastAsia="es-ES_tradnl"/>
              </w:rPr>
            </w:pPr>
            <w:proofErr w:type="spellStart"/>
            <w:r w:rsidRPr="00A225E4">
              <w:rPr>
                <w:rFonts w:ascii="Times New Roman" w:eastAsia="Times New Roman" w:hAnsi="Times New Roman" w:cs="Times New Roman"/>
                <w:b/>
                <w:bCs/>
                <w:lang w:val="en-US" w:eastAsia="es-ES_tradnl"/>
              </w:rPr>
              <w:t>Haniffa</w:t>
            </w:r>
            <w:proofErr w:type="spellEnd"/>
            <w:r w:rsidRPr="00A225E4">
              <w:rPr>
                <w:rFonts w:ascii="Times New Roman" w:eastAsia="Times New Roman" w:hAnsi="Times New Roman" w:cs="Times New Roman"/>
                <w:b/>
                <w:bCs/>
                <w:lang w:val="en-US" w:eastAsia="es-ES_tradnl"/>
              </w:rPr>
              <w:t>, R., &amp; Cooke, T. (2005). The impact of culture and governance on</w:t>
            </w:r>
            <w:r>
              <w:rPr>
                <w:rFonts w:ascii="Times New Roman" w:eastAsia="Times New Roman" w:hAnsi="Times New Roman" w:cs="Times New Roman"/>
                <w:b/>
                <w:bCs/>
                <w:lang w:val="en-US" w:eastAsia="es-ES_tradnl"/>
              </w:rPr>
              <w:t xml:space="preserve"> </w:t>
            </w:r>
            <w:r w:rsidRPr="00A225E4">
              <w:rPr>
                <w:rFonts w:ascii="Times New Roman" w:eastAsia="Times New Roman" w:hAnsi="Times New Roman" w:cs="Times New Roman"/>
                <w:b/>
                <w:bCs/>
                <w:lang w:val="en-US" w:eastAsia="es-ES_tradnl"/>
              </w:rPr>
              <w:t>corporate social reporting.</w:t>
            </w:r>
            <w:r>
              <w:rPr>
                <w:rFonts w:ascii="Times New Roman" w:eastAsia="Times New Roman" w:hAnsi="Times New Roman" w:cs="Times New Roman"/>
                <w:b/>
                <w:bCs/>
                <w:lang w:val="en-US" w:eastAsia="es-ES_tradnl"/>
              </w:rPr>
              <w:t xml:space="preserve"> </w:t>
            </w:r>
            <w:r w:rsidRPr="00A225E4">
              <w:rPr>
                <w:rFonts w:ascii="Times New Roman" w:eastAsia="Times New Roman" w:hAnsi="Times New Roman" w:cs="Times New Roman"/>
                <w:b/>
                <w:bCs/>
                <w:i/>
                <w:iCs/>
                <w:lang w:val="en-US" w:eastAsia="es-ES_tradnl"/>
              </w:rPr>
              <w:t>Journal of Accounting and Public Policy</w:t>
            </w:r>
            <w:r w:rsidRPr="00A225E4">
              <w:rPr>
                <w:rFonts w:ascii="Times New Roman" w:eastAsia="Times New Roman" w:hAnsi="Times New Roman" w:cs="Times New Roman"/>
                <w:b/>
                <w:bCs/>
                <w:lang w:val="en-US" w:eastAsia="es-ES_tradnl"/>
              </w:rPr>
              <w:t>,2</w:t>
            </w:r>
            <w:r>
              <w:rPr>
                <w:rFonts w:ascii="Times New Roman" w:eastAsia="Times New Roman" w:hAnsi="Times New Roman" w:cs="Times New Roman"/>
                <w:b/>
                <w:bCs/>
                <w:lang w:val="en-US" w:eastAsia="es-ES_tradnl"/>
              </w:rPr>
              <w:t xml:space="preserve"> </w:t>
            </w:r>
            <w:r w:rsidRPr="00A225E4">
              <w:rPr>
                <w:rFonts w:ascii="Times New Roman" w:eastAsia="Times New Roman" w:hAnsi="Times New Roman" w:cs="Times New Roman"/>
                <w:b/>
                <w:bCs/>
                <w:lang w:val="en-US" w:eastAsia="es-ES_tradnl"/>
              </w:rPr>
              <w:t>4(5), 391–430</w:t>
            </w:r>
          </w:p>
          <w:p w14:paraId="1C5E28B1" w14:textId="77777777" w:rsidR="001C242A" w:rsidRPr="00A225E4" w:rsidRDefault="001C242A" w:rsidP="003F7DB4">
            <w:pPr>
              <w:jc w:val="both"/>
              <w:rPr>
                <w:rFonts w:ascii="Times New Roman" w:eastAsia="Times New Roman" w:hAnsi="Times New Roman" w:cs="Times New Roman"/>
                <w:b/>
                <w:bCs/>
                <w:lang w:val="en-US" w:eastAsia="es-ES_tradnl"/>
              </w:rPr>
            </w:pPr>
          </w:p>
          <w:p w14:paraId="634BC79E" w14:textId="77777777" w:rsidR="001C242A" w:rsidRPr="00A225E4" w:rsidRDefault="001C242A" w:rsidP="001C242A">
            <w:pPr>
              <w:pStyle w:val="Prrafodelista"/>
              <w:numPr>
                <w:ilvl w:val="0"/>
                <w:numId w:val="2"/>
              </w:numPr>
              <w:spacing w:after="0" w:line="240" w:lineRule="auto"/>
              <w:jc w:val="both"/>
              <w:rPr>
                <w:rFonts w:ascii="Times New Roman" w:eastAsia="Times New Roman" w:hAnsi="Times New Roman" w:cs="Times New Roman"/>
                <w:b/>
                <w:bCs/>
                <w:lang w:val="en-US" w:eastAsia="es-ES_tradnl"/>
              </w:rPr>
            </w:pPr>
            <w:proofErr w:type="spellStart"/>
            <w:r w:rsidRPr="00A225E4">
              <w:rPr>
                <w:rFonts w:ascii="Times New Roman" w:eastAsia="Times New Roman" w:hAnsi="Times New Roman" w:cs="Times New Roman"/>
                <w:b/>
                <w:bCs/>
                <w:lang w:eastAsia="es-ES_tradnl"/>
              </w:rPr>
              <w:t>Liao</w:t>
            </w:r>
            <w:proofErr w:type="spellEnd"/>
            <w:r w:rsidRPr="00A225E4">
              <w:rPr>
                <w:rFonts w:ascii="Times New Roman" w:eastAsia="Times New Roman" w:hAnsi="Times New Roman" w:cs="Times New Roman"/>
                <w:b/>
                <w:bCs/>
                <w:lang w:eastAsia="es-ES_tradnl"/>
              </w:rPr>
              <w:t xml:space="preserve">, L., </w:t>
            </w:r>
            <w:proofErr w:type="spellStart"/>
            <w:r w:rsidRPr="00A225E4">
              <w:rPr>
                <w:rFonts w:ascii="Times New Roman" w:eastAsia="Times New Roman" w:hAnsi="Times New Roman" w:cs="Times New Roman"/>
                <w:b/>
                <w:bCs/>
                <w:lang w:eastAsia="es-ES_tradnl"/>
              </w:rPr>
              <w:t>Luo</w:t>
            </w:r>
            <w:proofErr w:type="spellEnd"/>
            <w:r w:rsidRPr="00A225E4">
              <w:rPr>
                <w:rFonts w:ascii="Times New Roman" w:eastAsia="Times New Roman" w:hAnsi="Times New Roman" w:cs="Times New Roman"/>
                <w:b/>
                <w:bCs/>
                <w:lang w:eastAsia="es-ES_tradnl"/>
              </w:rPr>
              <w:t xml:space="preserve">, L., &amp; </w:t>
            </w:r>
            <w:proofErr w:type="spellStart"/>
            <w:r w:rsidRPr="00A225E4">
              <w:rPr>
                <w:rFonts w:ascii="Times New Roman" w:eastAsia="Times New Roman" w:hAnsi="Times New Roman" w:cs="Times New Roman"/>
                <w:b/>
                <w:bCs/>
                <w:lang w:eastAsia="es-ES_tradnl"/>
              </w:rPr>
              <w:t>Tang</w:t>
            </w:r>
            <w:proofErr w:type="spellEnd"/>
            <w:r w:rsidRPr="00A225E4">
              <w:rPr>
                <w:rFonts w:ascii="Times New Roman" w:eastAsia="Times New Roman" w:hAnsi="Times New Roman" w:cs="Times New Roman"/>
                <w:b/>
                <w:bCs/>
                <w:lang w:eastAsia="es-ES_tradnl"/>
              </w:rPr>
              <w:t xml:space="preserve">, Q. (2015). </w:t>
            </w:r>
            <w:r w:rsidRPr="00A225E4">
              <w:rPr>
                <w:rFonts w:ascii="Times New Roman" w:eastAsia="Times New Roman" w:hAnsi="Times New Roman" w:cs="Times New Roman"/>
                <w:b/>
                <w:bCs/>
                <w:lang w:val="en-US" w:eastAsia="es-ES_tradnl"/>
              </w:rPr>
              <w:t>Gender diversity, board independence,</w:t>
            </w:r>
            <w:r>
              <w:rPr>
                <w:rFonts w:ascii="Times New Roman" w:eastAsia="Times New Roman" w:hAnsi="Times New Roman" w:cs="Times New Roman"/>
                <w:b/>
                <w:bCs/>
                <w:lang w:val="en-US" w:eastAsia="es-ES_tradnl"/>
              </w:rPr>
              <w:t xml:space="preserve"> </w:t>
            </w:r>
            <w:r w:rsidRPr="00A225E4">
              <w:rPr>
                <w:rFonts w:ascii="Times New Roman" w:eastAsia="Times New Roman" w:hAnsi="Times New Roman" w:cs="Times New Roman"/>
                <w:b/>
                <w:bCs/>
                <w:lang w:val="en-US" w:eastAsia="es-ES_tradnl"/>
              </w:rPr>
              <w:t>environmental committee, and greenhouse gas disclosure.</w:t>
            </w:r>
            <w:r>
              <w:rPr>
                <w:rFonts w:ascii="Times New Roman" w:eastAsia="Times New Roman" w:hAnsi="Times New Roman" w:cs="Times New Roman"/>
                <w:b/>
                <w:bCs/>
                <w:lang w:val="en-US" w:eastAsia="es-ES_tradnl"/>
              </w:rPr>
              <w:t xml:space="preserve"> </w:t>
            </w:r>
            <w:r w:rsidRPr="00A225E4">
              <w:rPr>
                <w:rFonts w:ascii="Times New Roman" w:eastAsia="Times New Roman" w:hAnsi="Times New Roman" w:cs="Times New Roman"/>
                <w:b/>
                <w:bCs/>
                <w:i/>
                <w:iCs/>
                <w:lang w:val="en-US" w:eastAsia="es-ES_tradnl"/>
              </w:rPr>
              <w:t>The British Accounting   Review</w:t>
            </w:r>
            <w:r w:rsidRPr="00A225E4">
              <w:rPr>
                <w:rFonts w:ascii="Times New Roman" w:eastAsia="Times New Roman" w:hAnsi="Times New Roman" w:cs="Times New Roman"/>
                <w:b/>
                <w:bCs/>
                <w:lang w:val="en-US" w:eastAsia="es-ES_tradnl"/>
              </w:rPr>
              <w:t>,</w:t>
            </w:r>
            <w:r>
              <w:rPr>
                <w:rFonts w:ascii="Times New Roman" w:eastAsia="Times New Roman" w:hAnsi="Times New Roman" w:cs="Times New Roman"/>
                <w:b/>
                <w:bCs/>
                <w:lang w:val="en-US" w:eastAsia="es-ES_tradnl"/>
              </w:rPr>
              <w:t xml:space="preserve"> </w:t>
            </w:r>
            <w:r w:rsidRPr="00A225E4">
              <w:rPr>
                <w:rFonts w:ascii="Times New Roman" w:eastAsia="Times New Roman" w:hAnsi="Times New Roman" w:cs="Times New Roman"/>
                <w:b/>
                <w:bCs/>
                <w:lang w:val="en-US" w:eastAsia="es-ES_tradnl"/>
              </w:rPr>
              <w:t>47, 409–424</w:t>
            </w:r>
          </w:p>
          <w:p w14:paraId="6D35F6E0" w14:textId="77777777" w:rsidR="001C242A" w:rsidRPr="00A225E4" w:rsidRDefault="001C242A" w:rsidP="003F7DB4">
            <w:pPr>
              <w:jc w:val="both"/>
              <w:rPr>
                <w:rFonts w:ascii="Times New Roman" w:eastAsia="Times New Roman" w:hAnsi="Times New Roman" w:cs="Times New Roman"/>
                <w:b/>
                <w:bCs/>
                <w:lang w:val="en-US" w:eastAsia="es-ES_tradnl"/>
              </w:rPr>
            </w:pPr>
          </w:p>
          <w:p w14:paraId="4A4CE097" w14:textId="77777777" w:rsidR="001C242A" w:rsidRPr="00A225E4" w:rsidRDefault="001C242A" w:rsidP="001C242A">
            <w:pPr>
              <w:pStyle w:val="Prrafodelista"/>
              <w:numPr>
                <w:ilvl w:val="0"/>
                <w:numId w:val="2"/>
              </w:numPr>
              <w:spacing w:after="0" w:line="240" w:lineRule="auto"/>
              <w:jc w:val="both"/>
              <w:rPr>
                <w:rFonts w:ascii="Times New Roman" w:eastAsia="Times New Roman" w:hAnsi="Times New Roman" w:cs="Times New Roman"/>
                <w:b/>
                <w:bCs/>
                <w:lang w:val="en-US" w:eastAsia="es-ES_tradnl"/>
              </w:rPr>
            </w:pPr>
            <w:proofErr w:type="spellStart"/>
            <w:r w:rsidRPr="00A225E4">
              <w:rPr>
                <w:rFonts w:ascii="Times New Roman" w:eastAsia="Times New Roman" w:hAnsi="Times New Roman" w:cs="Times New Roman"/>
                <w:b/>
                <w:bCs/>
                <w:lang w:val="en-US" w:eastAsia="es-ES_tradnl"/>
              </w:rPr>
              <w:t>Reverte</w:t>
            </w:r>
            <w:proofErr w:type="spellEnd"/>
            <w:r w:rsidRPr="00A225E4">
              <w:rPr>
                <w:rFonts w:ascii="Times New Roman" w:eastAsia="Times New Roman" w:hAnsi="Times New Roman" w:cs="Times New Roman"/>
                <w:b/>
                <w:bCs/>
                <w:lang w:val="en-US" w:eastAsia="es-ES_tradnl"/>
              </w:rPr>
              <w:t>, C. (2009). Determinants of corporate social responsibility disclosure ratings by Spanish listed firms.</w:t>
            </w:r>
            <w:r>
              <w:rPr>
                <w:rFonts w:ascii="Times New Roman" w:eastAsia="Times New Roman" w:hAnsi="Times New Roman" w:cs="Times New Roman"/>
                <w:b/>
                <w:bCs/>
                <w:lang w:val="en-US" w:eastAsia="es-ES_tradnl"/>
              </w:rPr>
              <w:t xml:space="preserve"> </w:t>
            </w:r>
            <w:r w:rsidRPr="00A225E4">
              <w:rPr>
                <w:rFonts w:ascii="Times New Roman" w:eastAsia="Times New Roman" w:hAnsi="Times New Roman" w:cs="Times New Roman"/>
                <w:b/>
                <w:bCs/>
                <w:i/>
                <w:iCs/>
                <w:lang w:val="en-US" w:eastAsia="es-ES_tradnl"/>
              </w:rPr>
              <w:t>Journal of Business Ethics</w:t>
            </w:r>
            <w:r w:rsidRPr="00A225E4">
              <w:rPr>
                <w:rFonts w:ascii="Times New Roman" w:eastAsia="Times New Roman" w:hAnsi="Times New Roman" w:cs="Times New Roman"/>
                <w:b/>
                <w:bCs/>
                <w:lang w:val="en-US" w:eastAsia="es-ES_tradnl"/>
              </w:rPr>
              <w:t>,8</w:t>
            </w:r>
            <w:r>
              <w:rPr>
                <w:rFonts w:ascii="Times New Roman" w:eastAsia="Times New Roman" w:hAnsi="Times New Roman" w:cs="Times New Roman"/>
                <w:b/>
                <w:bCs/>
                <w:lang w:val="en-US" w:eastAsia="es-ES_tradnl"/>
              </w:rPr>
              <w:t xml:space="preserve"> </w:t>
            </w:r>
            <w:r w:rsidRPr="00A225E4">
              <w:rPr>
                <w:rFonts w:ascii="Times New Roman" w:eastAsia="Times New Roman" w:hAnsi="Times New Roman" w:cs="Times New Roman"/>
                <w:b/>
                <w:bCs/>
                <w:lang w:val="en-US" w:eastAsia="es-ES_tradnl"/>
              </w:rPr>
              <w:t>8,351–366</w:t>
            </w:r>
          </w:p>
          <w:p w14:paraId="0250EC62" w14:textId="77777777" w:rsidR="001C242A" w:rsidRPr="00A225E4" w:rsidRDefault="001C242A" w:rsidP="003F7DB4">
            <w:pPr>
              <w:pStyle w:val="Default"/>
              <w:spacing w:line="360" w:lineRule="auto"/>
              <w:rPr>
                <w:color w:val="0A0A0A"/>
                <w:lang w:val="en-US"/>
              </w:rPr>
            </w:pPr>
          </w:p>
        </w:tc>
      </w:tr>
      <w:tr w:rsidR="001C242A" w:rsidRPr="001C242A" w14:paraId="2FAC97EF" w14:textId="77777777" w:rsidTr="003F7DB4">
        <w:tc>
          <w:tcPr>
            <w:tcW w:w="8494" w:type="dxa"/>
          </w:tcPr>
          <w:p w14:paraId="267D4AD5" w14:textId="77777777" w:rsidR="001C242A" w:rsidRDefault="001C242A" w:rsidP="003F7DB4">
            <w:pPr>
              <w:pStyle w:val="NormalWeb"/>
              <w:shd w:val="clear" w:color="auto" w:fill="FEFEFE"/>
              <w:jc w:val="both"/>
              <w:rPr>
                <w:color w:val="0A0A0A"/>
                <w:lang w:val="en-GB"/>
              </w:rPr>
            </w:pPr>
            <w:r w:rsidRPr="00193CCD">
              <w:rPr>
                <w:color w:val="0A0A0A"/>
                <w:lang w:val="en-GB"/>
              </w:rPr>
              <w:lastRenderedPageBreak/>
              <w:t>Other issues: the figure 1 can be re-designed to conform the academic norms.</w:t>
            </w:r>
          </w:p>
        </w:tc>
      </w:tr>
      <w:tr w:rsidR="001C242A" w:rsidRPr="001C242A" w14:paraId="79885654" w14:textId="77777777" w:rsidTr="003F7DB4">
        <w:trPr>
          <w:trHeight w:val="70"/>
        </w:trPr>
        <w:tc>
          <w:tcPr>
            <w:tcW w:w="8494" w:type="dxa"/>
          </w:tcPr>
          <w:p w14:paraId="0B4D7B67" w14:textId="77777777" w:rsidR="001C242A" w:rsidRPr="000C5AF9" w:rsidRDefault="001C242A" w:rsidP="003F7DB4">
            <w:pPr>
              <w:pStyle w:val="NormalWeb"/>
              <w:jc w:val="both"/>
              <w:rPr>
                <w:b/>
                <w:bCs/>
                <w:color w:val="0A0A0A"/>
                <w:lang w:val="en-GB"/>
              </w:rPr>
            </w:pPr>
            <w:r w:rsidRPr="000C5AF9">
              <w:rPr>
                <w:b/>
                <w:bCs/>
                <w:color w:val="0A0A0A"/>
                <w:lang w:val="en-GB"/>
              </w:rPr>
              <w:lastRenderedPageBreak/>
              <w:t>Authors:</w:t>
            </w:r>
          </w:p>
          <w:p w14:paraId="3683CE26" w14:textId="77777777" w:rsidR="001C242A" w:rsidRDefault="001C242A" w:rsidP="003F7DB4">
            <w:pPr>
              <w:pStyle w:val="NormalWeb"/>
              <w:jc w:val="both"/>
              <w:rPr>
                <w:color w:val="0A0A0A"/>
                <w:lang w:val="en-GB"/>
              </w:rPr>
            </w:pPr>
            <w:r w:rsidRPr="000C5AF9">
              <w:rPr>
                <w:b/>
                <w:bCs/>
                <w:color w:val="0A0A0A"/>
                <w:lang w:val="en-GB"/>
              </w:rPr>
              <w:t>Thanks for your suggestion. I have improved the figure in line with academic norms.</w:t>
            </w:r>
          </w:p>
        </w:tc>
      </w:tr>
    </w:tbl>
    <w:p w14:paraId="7E64BC23" w14:textId="77777777" w:rsidR="001C242A" w:rsidRDefault="001C242A" w:rsidP="001C242A">
      <w:pPr>
        <w:rPr>
          <w:rFonts w:ascii="Times New Roman" w:hAnsi="Times New Roman" w:cs="Times New Roman"/>
          <w:sz w:val="24"/>
          <w:szCs w:val="24"/>
          <w:lang w:val="en-US"/>
        </w:rPr>
      </w:pPr>
    </w:p>
    <w:p w14:paraId="79929302" w14:textId="77777777" w:rsidR="001C242A" w:rsidRDefault="001C242A" w:rsidP="001C242A">
      <w:pPr>
        <w:rPr>
          <w:rFonts w:ascii="Times New Roman" w:hAnsi="Times New Roman" w:cs="Times New Roman"/>
          <w:sz w:val="24"/>
          <w:szCs w:val="24"/>
          <w:lang w:val="en-GB"/>
        </w:rPr>
      </w:pPr>
      <w:r>
        <w:rPr>
          <w:rFonts w:ascii="Times New Roman" w:hAnsi="Times New Roman" w:cs="Times New Roman"/>
          <w:sz w:val="24"/>
          <w:szCs w:val="24"/>
          <w:lang w:val="en-GB"/>
        </w:rPr>
        <w:t>Having addressed all your proposals for change and improvement, we await your decision in the best interests of Sustainability.</w:t>
      </w:r>
    </w:p>
    <w:p w14:paraId="071E9D28" w14:textId="77777777" w:rsidR="001C242A" w:rsidRDefault="001C242A" w:rsidP="001C242A">
      <w:pPr>
        <w:rPr>
          <w:rFonts w:ascii="Times New Roman" w:hAnsi="Times New Roman" w:cs="Times New Roman"/>
          <w:sz w:val="24"/>
          <w:szCs w:val="24"/>
          <w:lang w:val="en-GB"/>
        </w:rPr>
      </w:pPr>
      <w:r>
        <w:rPr>
          <w:rFonts w:ascii="Times New Roman" w:hAnsi="Times New Roman" w:cs="Times New Roman"/>
          <w:sz w:val="24"/>
          <w:szCs w:val="24"/>
          <w:lang w:val="en-GB"/>
        </w:rPr>
        <w:t>Best regards,</w:t>
      </w:r>
    </w:p>
    <w:p w14:paraId="3C7FAA86" w14:textId="77777777" w:rsidR="001C242A" w:rsidRPr="00193CCD" w:rsidRDefault="001C242A" w:rsidP="001C242A">
      <w:pPr>
        <w:ind w:firstLine="708"/>
        <w:rPr>
          <w:rFonts w:ascii="Times New Roman" w:hAnsi="Times New Roman" w:cs="Times New Roman"/>
          <w:sz w:val="24"/>
          <w:szCs w:val="24"/>
          <w:lang w:val="en-GB"/>
        </w:rPr>
      </w:pPr>
      <w:r>
        <w:rPr>
          <w:rFonts w:ascii="Times New Roman" w:hAnsi="Times New Roman" w:cs="Times New Roman"/>
          <w:sz w:val="24"/>
          <w:szCs w:val="24"/>
          <w:lang w:val="en-GB"/>
        </w:rPr>
        <w:t>The authors</w:t>
      </w:r>
    </w:p>
    <w:p w14:paraId="11015ED7" w14:textId="77777777" w:rsidR="001C242A" w:rsidRDefault="001C242A"/>
    <w:sectPr w:rsidR="001C242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altName w:val="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75349A"/>
    <w:multiLevelType w:val="hybridMultilevel"/>
    <w:tmpl w:val="8266F850"/>
    <w:lvl w:ilvl="0" w:tplc="50BA5D70">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4EE27E72"/>
    <w:multiLevelType w:val="hybridMultilevel"/>
    <w:tmpl w:val="56BA78B0"/>
    <w:lvl w:ilvl="0" w:tplc="50BA5D70">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42A"/>
    <w:rsid w:val="001C242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23B29419"/>
  <w15:chartTrackingRefBased/>
  <w15:docId w15:val="{49743D92-6214-5F48-AC2A-4005C8121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242A"/>
    <w:pPr>
      <w:spacing w:after="160" w:line="259" w:lineRule="auto"/>
    </w:pPr>
    <w:rPr>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1C242A"/>
    <w:pPr>
      <w:spacing w:before="100" w:beforeAutospacing="1" w:after="100" w:afterAutospacing="1" w:line="240" w:lineRule="auto"/>
    </w:pPr>
    <w:rPr>
      <w:rFonts w:ascii="Times New Roman" w:eastAsia="Times New Roman" w:hAnsi="Times New Roman" w:cs="Times New Roman"/>
      <w:sz w:val="24"/>
      <w:szCs w:val="24"/>
      <w:lang w:eastAsia="es-ES"/>
    </w:rPr>
  </w:style>
  <w:style w:type="table" w:styleId="Tablaconcuadrcula">
    <w:name w:val="Table Grid"/>
    <w:basedOn w:val="Tablanormal"/>
    <w:uiPriority w:val="39"/>
    <w:rsid w:val="001C242A"/>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1C242A"/>
    <w:pPr>
      <w:autoSpaceDE w:val="0"/>
      <w:autoSpaceDN w:val="0"/>
      <w:adjustRightInd w:val="0"/>
      <w:jc w:val="both"/>
    </w:pPr>
    <w:rPr>
      <w:rFonts w:ascii="Times New Roman" w:hAnsi="Times New Roman" w:cs="Times New Roman"/>
      <w:color w:val="000000"/>
    </w:rPr>
  </w:style>
  <w:style w:type="paragraph" w:customStyle="1" w:styleId="MDPI31text">
    <w:name w:val="MDPI_3.1_text"/>
    <w:qFormat/>
    <w:rsid w:val="001C242A"/>
    <w:pPr>
      <w:adjustRightInd w:val="0"/>
      <w:snapToGrid w:val="0"/>
      <w:spacing w:line="228" w:lineRule="auto"/>
      <w:ind w:left="2608" w:firstLine="425"/>
      <w:jc w:val="both"/>
    </w:pPr>
    <w:rPr>
      <w:rFonts w:ascii="Palatino Linotype" w:eastAsia="Times New Roman" w:hAnsi="Palatino Linotype" w:cs="Times New Roman"/>
      <w:snapToGrid w:val="0"/>
      <w:color w:val="000000"/>
      <w:sz w:val="20"/>
      <w:szCs w:val="22"/>
      <w:lang w:val="en-US" w:eastAsia="de-DE" w:bidi="en-US"/>
    </w:rPr>
  </w:style>
  <w:style w:type="paragraph" w:styleId="Prrafodelista">
    <w:name w:val="List Paragraph"/>
    <w:basedOn w:val="Normal"/>
    <w:uiPriority w:val="34"/>
    <w:qFormat/>
    <w:rsid w:val="001C24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735</Words>
  <Characters>4374</Characters>
  <Application>Microsoft Office Word</Application>
  <DocSecurity>0</DocSecurity>
  <Lines>55</Lines>
  <Paragraphs>33</Paragraphs>
  <ScaleCrop>false</ScaleCrop>
  <Company/>
  <LinksUpToDate>false</LinksUpToDate>
  <CharactersWithSpaces>5076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Inmaculada Bel Oms</dc:creator>
  <cp:keywords/>
  <dc:description/>
  <cp:lastModifiedBy>Inmaculada Bel Oms</cp:lastModifiedBy>
  <cp:revision>1</cp:revision>
  <dcterms:created xsi:type="dcterms:W3CDTF">2021-12-23T22:23:00Z</dcterms:created>
  <dcterms:modified xsi:type="dcterms:W3CDTF">2021-12-23T22:24:00Z</dcterms:modified>
</cp:coreProperties>
</file>