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76A5" w14:textId="77777777" w:rsidR="00675255" w:rsidRPr="008361C9" w:rsidRDefault="00675255" w:rsidP="00675255">
      <w:pPr>
        <w:rPr>
          <w:rFonts w:ascii="Times New Roman" w:hAnsi="Times New Roman" w:cs="Times New Roman"/>
          <w:b/>
          <w:sz w:val="24"/>
          <w:szCs w:val="24"/>
          <w:lang w:val="en-GB"/>
        </w:rPr>
      </w:pPr>
      <w:r w:rsidRPr="008361C9">
        <w:rPr>
          <w:rFonts w:ascii="Times New Roman" w:hAnsi="Times New Roman" w:cs="Times New Roman"/>
          <w:b/>
          <w:sz w:val="24"/>
          <w:szCs w:val="24"/>
          <w:lang w:val="en-GB"/>
        </w:rPr>
        <w:t>Reviewer 2</w:t>
      </w:r>
    </w:p>
    <w:p w14:paraId="32456DBC" w14:textId="77777777" w:rsidR="00675255" w:rsidRPr="00AE15B5" w:rsidRDefault="00675255" w:rsidP="00675255">
      <w:pPr>
        <w:jc w:val="both"/>
        <w:rPr>
          <w:rFonts w:ascii="Times New Roman" w:hAnsi="Times New Roman" w:cs="Times New Roman"/>
          <w:bCs/>
          <w:sz w:val="24"/>
          <w:szCs w:val="24"/>
          <w:lang w:val="en-US"/>
        </w:rPr>
      </w:pPr>
      <w:r w:rsidRPr="00AE15B5">
        <w:rPr>
          <w:rFonts w:ascii="Times New Roman" w:eastAsia="Calibri" w:hAnsi="Times New Roman" w:cs="Times New Roman"/>
          <w:bCs/>
          <w:sz w:val="24"/>
          <w:szCs w:val="24"/>
          <w:lang w:val="en-US"/>
        </w:rPr>
        <w:t>Thank you for your kind comments. W</w:t>
      </w:r>
      <w:r w:rsidRPr="00AE15B5">
        <w:rPr>
          <w:rFonts w:ascii="Times New Roman" w:hAnsi="Times New Roman" w:cs="Times New Roman"/>
          <w:bCs/>
          <w:sz w:val="24"/>
          <w:szCs w:val="24"/>
          <w:lang w:val="en-US"/>
        </w:rPr>
        <w:t xml:space="preserve">e appreciate your feedback and the time and care you spent with regards to reading our manuscript. We have tried to address all of your comments and take action on as many as we could. </w:t>
      </w:r>
      <w:r w:rsidRPr="00AE15B5">
        <w:rPr>
          <w:rFonts w:ascii="Times New Roman" w:eastAsia="Calibri" w:hAnsi="Times New Roman" w:cs="Times New Roman"/>
          <w:bCs/>
          <w:sz w:val="24"/>
          <w:szCs w:val="24"/>
          <w:lang w:val="en-US"/>
        </w:rPr>
        <w:t xml:space="preserve">We are hopeful you find our responses/edits to your concerns (expressed below) sufficient. Please, notice that our responses are provided in bold after your comments/suggestions. </w:t>
      </w:r>
    </w:p>
    <w:p w14:paraId="2C8F9E50" w14:textId="77777777" w:rsidR="00675255" w:rsidRPr="008361C9" w:rsidRDefault="00675255" w:rsidP="00675255">
      <w:pPr>
        <w:rPr>
          <w:rFonts w:ascii="Times New Roman" w:hAnsi="Times New Roman" w:cs="Times New Roman"/>
          <w:color w:val="0A0A0A"/>
          <w:sz w:val="24"/>
          <w:szCs w:val="24"/>
          <w:shd w:val="clear" w:color="auto" w:fill="FEFEFE"/>
          <w:lang w:val="en-US"/>
        </w:rPr>
      </w:pPr>
    </w:p>
    <w:tbl>
      <w:tblPr>
        <w:tblStyle w:val="Tablaconcuadrcula"/>
        <w:tblW w:w="0" w:type="auto"/>
        <w:tblLook w:val="04A0" w:firstRow="1" w:lastRow="0" w:firstColumn="1" w:lastColumn="0" w:noHBand="0" w:noVBand="1"/>
      </w:tblPr>
      <w:tblGrid>
        <w:gridCol w:w="8494"/>
      </w:tblGrid>
      <w:tr w:rsidR="00675255" w:rsidRPr="00A225E4" w14:paraId="12E03D0E" w14:textId="77777777" w:rsidTr="003F7DB4">
        <w:tc>
          <w:tcPr>
            <w:tcW w:w="8494" w:type="dxa"/>
          </w:tcPr>
          <w:p w14:paraId="1CB934D0" w14:textId="77777777" w:rsidR="00675255" w:rsidRPr="00193CCD" w:rsidRDefault="00675255" w:rsidP="003F7DB4">
            <w:pPr>
              <w:jc w:val="both"/>
              <w:rPr>
                <w:rFonts w:ascii="Times New Roman" w:hAnsi="Times New Roman" w:cs="Times New Roman"/>
                <w:color w:val="0A0A0A"/>
                <w:sz w:val="24"/>
                <w:szCs w:val="24"/>
                <w:shd w:val="clear" w:color="auto" w:fill="FEFEFE"/>
                <w:lang w:val="en-GB"/>
              </w:rPr>
            </w:pPr>
            <w:r w:rsidRPr="00193CCD">
              <w:rPr>
                <w:rFonts w:ascii="Times New Roman" w:hAnsi="Times New Roman" w:cs="Times New Roman"/>
                <w:color w:val="0A0A0A"/>
                <w:sz w:val="24"/>
                <w:szCs w:val="24"/>
                <w:shd w:val="clear" w:color="auto" w:fill="FEFEFE"/>
                <w:lang w:val="en-GB"/>
              </w:rPr>
              <w:t>The article is methodologically OK and well written. However, in general, we see many articles like this in the area of social and environmental reporting. Also, the application of agency theory is so common that reading it over and again in the new studies also makes the readers bored these days. Now it is important that the new researchers try to take the research on this area to a new and interesting level. However, I accept this article only for the moderating variable the authors have tested. </w:t>
            </w:r>
          </w:p>
          <w:p w14:paraId="082BC990" w14:textId="77777777" w:rsidR="00675255" w:rsidRDefault="00675255" w:rsidP="003F7DB4">
            <w:pPr>
              <w:rPr>
                <w:rFonts w:ascii="Times New Roman" w:hAnsi="Times New Roman" w:cs="Times New Roman"/>
                <w:color w:val="0A0A0A"/>
                <w:sz w:val="24"/>
                <w:szCs w:val="24"/>
                <w:shd w:val="clear" w:color="auto" w:fill="FEFEFE"/>
                <w:lang w:val="en-GB"/>
              </w:rPr>
            </w:pPr>
          </w:p>
        </w:tc>
      </w:tr>
      <w:tr w:rsidR="00675255" w:rsidRPr="00675255" w14:paraId="697D9C42" w14:textId="77777777" w:rsidTr="003F7DB4">
        <w:tc>
          <w:tcPr>
            <w:tcW w:w="8494" w:type="dxa"/>
          </w:tcPr>
          <w:p w14:paraId="3F930E37" w14:textId="77777777" w:rsidR="00675255" w:rsidRPr="00E521C8" w:rsidRDefault="00675255" w:rsidP="003F7DB4">
            <w:pPr>
              <w:rPr>
                <w:rFonts w:ascii="Times New Roman" w:hAnsi="Times New Roman" w:cs="Times New Roman"/>
                <w:b/>
                <w:bCs/>
                <w:color w:val="0A0A0A"/>
                <w:sz w:val="24"/>
                <w:szCs w:val="24"/>
                <w:shd w:val="clear" w:color="auto" w:fill="FEFEFE"/>
                <w:lang w:val="en-GB"/>
              </w:rPr>
            </w:pPr>
            <w:r w:rsidRPr="00E521C8">
              <w:rPr>
                <w:rFonts w:ascii="Times New Roman" w:hAnsi="Times New Roman" w:cs="Times New Roman"/>
                <w:b/>
                <w:bCs/>
                <w:color w:val="0A0A0A"/>
                <w:sz w:val="24"/>
                <w:szCs w:val="24"/>
                <w:shd w:val="clear" w:color="auto" w:fill="FEFEFE"/>
                <w:lang w:val="en-GB"/>
              </w:rPr>
              <w:t>Authors:</w:t>
            </w:r>
          </w:p>
          <w:p w14:paraId="07951C71" w14:textId="77777777" w:rsidR="00675255" w:rsidRPr="00E521C8" w:rsidRDefault="00675255" w:rsidP="003F7DB4">
            <w:pPr>
              <w:rPr>
                <w:rFonts w:ascii="Times New Roman" w:hAnsi="Times New Roman" w:cs="Times New Roman"/>
                <w:b/>
                <w:bCs/>
                <w:color w:val="0A0A0A"/>
                <w:sz w:val="24"/>
                <w:szCs w:val="24"/>
                <w:shd w:val="clear" w:color="auto" w:fill="FEFEFE"/>
                <w:lang w:val="en-GB"/>
              </w:rPr>
            </w:pPr>
          </w:p>
          <w:p w14:paraId="7E70C0F6" w14:textId="77777777" w:rsidR="00675255" w:rsidRDefault="00675255" w:rsidP="003F7DB4">
            <w:pPr>
              <w:jc w:val="both"/>
              <w:rPr>
                <w:rFonts w:ascii="Times New Roman" w:hAnsi="Times New Roman" w:cs="Times New Roman"/>
                <w:b/>
                <w:bCs/>
                <w:color w:val="0A0A0A"/>
                <w:sz w:val="24"/>
                <w:szCs w:val="24"/>
                <w:shd w:val="clear" w:color="auto" w:fill="FEFEFE"/>
                <w:lang w:val="en-GB"/>
              </w:rPr>
            </w:pPr>
            <w:r w:rsidRPr="00E521C8">
              <w:rPr>
                <w:rFonts w:ascii="Times New Roman" w:hAnsi="Times New Roman" w:cs="Times New Roman"/>
                <w:b/>
                <w:bCs/>
                <w:color w:val="0A0A0A"/>
                <w:sz w:val="24"/>
                <w:szCs w:val="24"/>
                <w:shd w:val="clear" w:color="auto" w:fill="FEFEFE"/>
                <w:lang w:val="en-GB"/>
              </w:rPr>
              <w:t xml:space="preserve">Thank you very much for your words. In our modest opinion, the originality of the paper is the analysis of the moderating role played by the proportion of independent directors on boards of directors with the relationship between the constitution of remuneration committees and CSR disclosure. </w:t>
            </w:r>
          </w:p>
          <w:p w14:paraId="46A79A1F" w14:textId="77777777" w:rsidR="00675255" w:rsidRDefault="00675255" w:rsidP="003F7DB4">
            <w:pPr>
              <w:jc w:val="both"/>
              <w:rPr>
                <w:rFonts w:ascii="Times New Roman" w:hAnsi="Times New Roman" w:cs="Times New Roman"/>
                <w:b/>
                <w:bCs/>
                <w:color w:val="0A0A0A"/>
                <w:sz w:val="24"/>
                <w:szCs w:val="24"/>
                <w:shd w:val="clear" w:color="auto" w:fill="FEFEFE"/>
                <w:lang w:val="en-GB"/>
              </w:rPr>
            </w:pPr>
          </w:p>
          <w:p w14:paraId="26D081BD" w14:textId="77777777" w:rsidR="00675255" w:rsidRPr="00CB56EA" w:rsidRDefault="00675255" w:rsidP="003F7DB4">
            <w:pPr>
              <w:tabs>
                <w:tab w:val="left" w:pos="2396"/>
              </w:tabs>
              <w:spacing w:before="60" w:after="60" w:line="264" w:lineRule="auto"/>
              <w:jc w:val="both"/>
              <w:rPr>
                <w:rFonts w:ascii="Times New Roman" w:hAnsi="Times New Roman" w:cs="Times New Roman"/>
                <w:color w:val="0000FF"/>
                <w:sz w:val="24"/>
                <w:szCs w:val="24"/>
                <w:lang w:val="en-US"/>
              </w:rPr>
            </w:pPr>
            <w:r>
              <w:rPr>
                <w:rFonts w:ascii="Times New Roman" w:hAnsi="Times New Roman" w:cs="Times New Roman"/>
                <w:b/>
                <w:bCs/>
                <w:color w:val="0A0A0A"/>
                <w:sz w:val="24"/>
                <w:szCs w:val="24"/>
                <w:shd w:val="clear" w:color="auto" w:fill="FEFEFE"/>
                <w:lang w:val="en-GB"/>
              </w:rPr>
              <w:t>-</w:t>
            </w:r>
            <w:r w:rsidRPr="00E521C8">
              <w:rPr>
                <w:rFonts w:ascii="Times New Roman" w:hAnsi="Times New Roman" w:cs="Times New Roman"/>
                <w:b/>
                <w:bCs/>
                <w:color w:val="0A0A0A"/>
                <w:sz w:val="24"/>
                <w:szCs w:val="24"/>
                <w:shd w:val="clear" w:color="auto" w:fill="FEFEFE"/>
                <w:lang w:val="en-GB"/>
              </w:rPr>
              <w:t>We have not found previous research focused on this topic using independent directors as moderator variable. We have improved the introduction by adding a paragraph that better motivates the work.</w:t>
            </w:r>
            <w:r>
              <w:rPr>
                <w:rFonts w:ascii="Times New Roman" w:hAnsi="Times New Roman" w:cs="Times New Roman"/>
                <w:b/>
                <w:bCs/>
                <w:color w:val="0A0A0A"/>
                <w:sz w:val="24"/>
                <w:szCs w:val="24"/>
                <w:shd w:val="clear" w:color="auto" w:fill="FEFEFE"/>
                <w:lang w:val="en-GB"/>
              </w:rPr>
              <w:t xml:space="preserve"> </w:t>
            </w:r>
            <w:r w:rsidRPr="00E521C8">
              <w:rPr>
                <w:rFonts w:ascii="Times New Roman" w:hAnsi="Times New Roman" w:cs="Times New Roman"/>
                <w:b/>
                <w:bCs/>
                <w:sz w:val="24"/>
                <w:szCs w:val="24"/>
                <w:lang w:val="en-US"/>
              </w:rPr>
              <w:t xml:space="preserve">Furthermore, we have included these other references to improve the </w:t>
            </w:r>
            <w:r>
              <w:rPr>
                <w:rFonts w:ascii="Times New Roman" w:hAnsi="Times New Roman" w:cs="Times New Roman"/>
                <w:b/>
                <w:bCs/>
                <w:sz w:val="24"/>
                <w:szCs w:val="24"/>
                <w:lang w:val="en-US"/>
              </w:rPr>
              <w:t>introduction</w:t>
            </w:r>
            <w:r w:rsidRPr="00E521C8">
              <w:rPr>
                <w:rFonts w:ascii="Times New Roman" w:hAnsi="Times New Roman" w:cs="Times New Roman"/>
                <w:b/>
                <w:bCs/>
                <w:sz w:val="24"/>
                <w:szCs w:val="24"/>
                <w:lang w:val="en-US"/>
              </w:rPr>
              <w:t xml:space="preserve"> of the work:</w:t>
            </w:r>
          </w:p>
          <w:p w14:paraId="280DE769" w14:textId="77777777" w:rsidR="00675255" w:rsidRPr="00B43AED" w:rsidRDefault="00675255" w:rsidP="00675255">
            <w:pPr>
              <w:pStyle w:val="Prrafodelista"/>
              <w:numPr>
                <w:ilvl w:val="0"/>
                <w:numId w:val="1"/>
              </w:numPr>
              <w:spacing w:after="0" w:line="240" w:lineRule="auto"/>
              <w:jc w:val="both"/>
              <w:rPr>
                <w:rFonts w:ascii="Times New Roman" w:eastAsia="Times New Roman" w:hAnsi="Times New Roman" w:cs="Times New Roman"/>
                <w:b/>
                <w:bCs/>
                <w:sz w:val="24"/>
                <w:szCs w:val="24"/>
                <w:lang w:eastAsia="es-ES_tradnl"/>
              </w:rPr>
            </w:pPr>
            <w:r w:rsidRPr="00B43AED">
              <w:rPr>
                <w:rFonts w:ascii="Times New Roman" w:eastAsia="Times New Roman" w:hAnsi="Times New Roman" w:cs="Times New Roman"/>
                <w:b/>
                <w:bCs/>
                <w:sz w:val="24"/>
                <w:szCs w:val="24"/>
                <w:shd w:val="clear" w:color="auto" w:fill="FFFFFF"/>
                <w:lang w:val="en-US" w:eastAsia="es-ES_tradnl"/>
              </w:rPr>
              <w:t xml:space="preserve">Code, U. G. G. (2006). Unified Good Governance Code of Listed Companies. </w:t>
            </w:r>
            <w:r w:rsidRPr="00B43AED">
              <w:rPr>
                <w:rFonts w:ascii="Times New Roman" w:hAnsi="Times New Roman" w:cs="Times New Roman"/>
                <w:b/>
                <w:bCs/>
                <w:sz w:val="24"/>
                <w:szCs w:val="24"/>
              </w:rPr>
              <w:t>Comisión Nacional del Mercado de Valores. Spain.</w:t>
            </w:r>
          </w:p>
          <w:p w14:paraId="38736004" w14:textId="77777777" w:rsidR="00675255" w:rsidRPr="00B43AED" w:rsidRDefault="00675255" w:rsidP="00675255">
            <w:pPr>
              <w:pStyle w:val="Prrafodelista"/>
              <w:numPr>
                <w:ilvl w:val="0"/>
                <w:numId w:val="1"/>
              </w:numPr>
              <w:spacing w:after="0" w:line="240" w:lineRule="auto"/>
              <w:jc w:val="both"/>
              <w:rPr>
                <w:rFonts w:ascii="Times New Roman" w:hAnsi="Times New Roman" w:cs="Times New Roman"/>
                <w:b/>
                <w:bCs/>
                <w:sz w:val="24"/>
                <w:szCs w:val="24"/>
                <w:lang w:val="en-GB"/>
              </w:rPr>
            </w:pPr>
            <w:r w:rsidRPr="00B43AED">
              <w:rPr>
                <w:rFonts w:ascii="Times New Roman" w:hAnsi="Times New Roman" w:cs="Times New Roman"/>
                <w:b/>
                <w:bCs/>
                <w:sz w:val="24"/>
                <w:szCs w:val="24"/>
              </w:rPr>
              <w:t xml:space="preserve">Conyon, M. J., &amp; Peck, S. I. (1998). </w:t>
            </w:r>
            <w:r w:rsidRPr="00B43AED">
              <w:rPr>
                <w:rFonts w:ascii="Times New Roman" w:hAnsi="Times New Roman" w:cs="Times New Roman"/>
                <w:b/>
                <w:bCs/>
                <w:sz w:val="24"/>
                <w:szCs w:val="24"/>
                <w:lang w:val="en-GB"/>
              </w:rPr>
              <w:t xml:space="preserve">Board control, remuneration committees, and top management compensation. </w:t>
            </w:r>
            <w:r w:rsidRPr="00B43AED">
              <w:rPr>
                <w:rFonts w:ascii="Times New Roman" w:hAnsi="Times New Roman" w:cs="Times New Roman"/>
                <w:b/>
                <w:bCs/>
                <w:i/>
                <w:iCs/>
                <w:sz w:val="24"/>
                <w:szCs w:val="24"/>
                <w:lang w:val="en-GB"/>
              </w:rPr>
              <w:t>Academy of management journal</w:t>
            </w:r>
            <w:r w:rsidRPr="00B43AED">
              <w:rPr>
                <w:rFonts w:ascii="Times New Roman" w:hAnsi="Times New Roman" w:cs="Times New Roman"/>
                <w:b/>
                <w:bCs/>
                <w:sz w:val="24"/>
                <w:szCs w:val="24"/>
                <w:lang w:val="en-GB"/>
              </w:rPr>
              <w:t>, 41(2), 146-157.</w:t>
            </w:r>
          </w:p>
          <w:p w14:paraId="3D374E1F" w14:textId="77777777" w:rsidR="00675255" w:rsidRPr="00B43AED" w:rsidRDefault="00675255" w:rsidP="00675255">
            <w:pPr>
              <w:pStyle w:val="MDPI21heading1"/>
              <w:numPr>
                <w:ilvl w:val="0"/>
                <w:numId w:val="1"/>
              </w:numPr>
              <w:spacing w:before="0" w:after="0" w:line="240" w:lineRule="auto"/>
              <w:jc w:val="both"/>
              <w:rPr>
                <w:rFonts w:ascii="Times New Roman" w:hAnsi="Times New Roman"/>
                <w:bCs/>
                <w:color w:val="auto"/>
                <w:sz w:val="24"/>
                <w:szCs w:val="24"/>
              </w:rPr>
            </w:pPr>
            <w:r w:rsidRPr="00B43AED">
              <w:rPr>
                <w:rFonts w:ascii="Times New Roman" w:hAnsi="Times New Roman"/>
                <w:bCs/>
                <w:color w:val="auto"/>
                <w:sz w:val="24"/>
                <w:szCs w:val="24"/>
              </w:rPr>
              <w:t xml:space="preserve">Good Governance Code of Listed Companies (2020). </w:t>
            </w:r>
            <w:r w:rsidRPr="00B43AED">
              <w:rPr>
                <w:rFonts w:ascii="Times New Roman" w:hAnsi="Times New Roman"/>
                <w:bCs/>
                <w:color w:val="auto"/>
                <w:sz w:val="24"/>
                <w:szCs w:val="24"/>
                <w:lang w:val="es-ES"/>
              </w:rPr>
              <w:t xml:space="preserve">Comisión Nacional del Mercado de Valores. </w:t>
            </w:r>
            <w:r w:rsidRPr="00B43AED">
              <w:rPr>
                <w:rFonts w:ascii="Times New Roman" w:hAnsi="Times New Roman"/>
                <w:bCs/>
                <w:color w:val="auto"/>
                <w:sz w:val="24"/>
                <w:szCs w:val="24"/>
              </w:rPr>
              <w:t>Spain.</w:t>
            </w:r>
          </w:p>
          <w:p w14:paraId="0DBCDED8" w14:textId="77777777" w:rsidR="00675255" w:rsidRPr="00B43AED" w:rsidRDefault="00675255" w:rsidP="00675255">
            <w:pPr>
              <w:pStyle w:val="Prrafodelista"/>
              <w:numPr>
                <w:ilvl w:val="0"/>
                <w:numId w:val="1"/>
              </w:numPr>
              <w:spacing w:after="0" w:line="240" w:lineRule="auto"/>
              <w:jc w:val="both"/>
              <w:rPr>
                <w:rFonts w:ascii="Times New Roman" w:hAnsi="Times New Roman" w:cs="Times New Roman"/>
                <w:b/>
                <w:bCs/>
                <w:sz w:val="24"/>
                <w:szCs w:val="24"/>
                <w:lang w:val="en-GB"/>
              </w:rPr>
            </w:pPr>
            <w:r w:rsidRPr="00B43AED">
              <w:rPr>
                <w:rFonts w:ascii="Times New Roman" w:hAnsi="Times New Roman" w:cs="Times New Roman"/>
                <w:b/>
                <w:bCs/>
                <w:sz w:val="24"/>
                <w:szCs w:val="24"/>
                <w:lang w:val="en-US"/>
              </w:rPr>
              <w:t xml:space="preserve">Fama, E.F., &amp; Jensen, M.C. (1983). </w:t>
            </w:r>
            <w:r w:rsidRPr="00B43AED">
              <w:rPr>
                <w:rFonts w:ascii="Times New Roman" w:hAnsi="Times New Roman" w:cs="Times New Roman"/>
                <w:b/>
                <w:bCs/>
                <w:sz w:val="24"/>
                <w:szCs w:val="24"/>
                <w:lang w:val="en-GB"/>
              </w:rPr>
              <w:t xml:space="preserve">Separation of ownership and control. </w:t>
            </w:r>
            <w:r w:rsidRPr="00B43AED">
              <w:rPr>
                <w:rFonts w:ascii="Times New Roman" w:hAnsi="Times New Roman" w:cs="Times New Roman"/>
                <w:b/>
                <w:bCs/>
                <w:i/>
                <w:iCs/>
                <w:sz w:val="24"/>
                <w:szCs w:val="24"/>
                <w:lang w:val="en-GB"/>
              </w:rPr>
              <w:t>Journal of Law and Economics</w:t>
            </w:r>
            <w:r w:rsidRPr="00B43AED">
              <w:rPr>
                <w:rFonts w:ascii="Times New Roman" w:hAnsi="Times New Roman" w:cs="Times New Roman"/>
                <w:b/>
                <w:bCs/>
                <w:sz w:val="24"/>
                <w:szCs w:val="24"/>
                <w:lang w:val="en-GB"/>
              </w:rPr>
              <w:t>, 24, 301–325.</w:t>
            </w:r>
          </w:p>
          <w:p w14:paraId="21BDC74F" w14:textId="77777777" w:rsidR="00675255" w:rsidRPr="00B43AED" w:rsidRDefault="00675255" w:rsidP="00675255">
            <w:pPr>
              <w:pStyle w:val="Prrafodelista"/>
              <w:numPr>
                <w:ilvl w:val="0"/>
                <w:numId w:val="1"/>
              </w:numPr>
              <w:spacing w:after="0" w:line="240" w:lineRule="auto"/>
              <w:jc w:val="both"/>
              <w:rPr>
                <w:rFonts w:ascii="Times New Roman" w:hAnsi="Times New Roman" w:cs="Times New Roman"/>
                <w:b/>
                <w:bCs/>
                <w:sz w:val="24"/>
                <w:szCs w:val="24"/>
                <w:lang w:val="en-GB"/>
              </w:rPr>
            </w:pPr>
            <w:r w:rsidRPr="00B43AED">
              <w:rPr>
                <w:rFonts w:ascii="Times New Roman" w:hAnsi="Times New Roman" w:cs="Times New Roman"/>
                <w:b/>
                <w:bCs/>
                <w:sz w:val="24"/>
                <w:szCs w:val="24"/>
                <w:lang w:val="en-GB"/>
              </w:rPr>
              <w:t xml:space="preserve">Harrison, J. R. (1987). The strategic use of corporate board committees. </w:t>
            </w:r>
            <w:r w:rsidRPr="00B43AED">
              <w:rPr>
                <w:rFonts w:ascii="Times New Roman" w:hAnsi="Times New Roman" w:cs="Times New Roman"/>
                <w:b/>
                <w:bCs/>
                <w:i/>
                <w:iCs/>
                <w:sz w:val="24"/>
                <w:szCs w:val="24"/>
                <w:lang w:val="en-GB"/>
              </w:rPr>
              <w:t>California Management Review</w:t>
            </w:r>
            <w:r w:rsidRPr="00B43AED">
              <w:rPr>
                <w:rFonts w:ascii="Times New Roman" w:hAnsi="Times New Roman" w:cs="Times New Roman"/>
                <w:b/>
                <w:bCs/>
                <w:sz w:val="24"/>
                <w:szCs w:val="24"/>
                <w:lang w:val="en-GB"/>
              </w:rPr>
              <w:t>, 30(1), 109-125.</w:t>
            </w:r>
          </w:p>
          <w:p w14:paraId="0893D614" w14:textId="77777777" w:rsidR="00675255" w:rsidRPr="00B43AED" w:rsidRDefault="00675255" w:rsidP="003F7DB4">
            <w:pPr>
              <w:jc w:val="both"/>
              <w:rPr>
                <w:rFonts w:ascii="Times New Roman" w:eastAsia="Times New Roman" w:hAnsi="Times New Roman" w:cs="Times New Roman"/>
                <w:b/>
                <w:bCs/>
                <w:sz w:val="24"/>
                <w:szCs w:val="24"/>
                <w:shd w:val="clear" w:color="auto" w:fill="FFFFFF"/>
                <w:lang w:val="en-US" w:eastAsia="es-ES_tradnl"/>
              </w:rPr>
            </w:pPr>
          </w:p>
          <w:p w14:paraId="2A886F78" w14:textId="77777777" w:rsidR="00675255" w:rsidRPr="00B43AED" w:rsidRDefault="00675255" w:rsidP="00675255">
            <w:pPr>
              <w:pStyle w:val="Prrafodelista"/>
              <w:numPr>
                <w:ilvl w:val="0"/>
                <w:numId w:val="1"/>
              </w:numPr>
              <w:spacing w:after="0" w:line="240" w:lineRule="auto"/>
              <w:jc w:val="both"/>
              <w:rPr>
                <w:rFonts w:ascii="Times New Roman" w:eastAsia="Times New Roman" w:hAnsi="Times New Roman" w:cs="Times New Roman"/>
                <w:b/>
                <w:bCs/>
                <w:sz w:val="24"/>
                <w:szCs w:val="24"/>
                <w:lang w:val="en-US" w:eastAsia="es-ES_tradnl"/>
              </w:rPr>
            </w:pPr>
            <w:r w:rsidRPr="00B43AED">
              <w:rPr>
                <w:rFonts w:ascii="Times New Roman" w:eastAsia="Times New Roman" w:hAnsi="Times New Roman" w:cs="Times New Roman"/>
                <w:b/>
                <w:bCs/>
                <w:sz w:val="24"/>
                <w:szCs w:val="24"/>
                <w:shd w:val="clear" w:color="auto" w:fill="FFFFFF"/>
                <w:lang w:val="en-US" w:eastAsia="es-ES_tradnl"/>
              </w:rPr>
              <w:t>Khan, A., Muttakin, M. B., &amp; Siddiqui, J. (2013). Corporate governance and corporate social responsibility disclosures: Evidence from an emerging economy. </w:t>
            </w:r>
            <w:r w:rsidRPr="00B43AED">
              <w:rPr>
                <w:rFonts w:ascii="Times New Roman" w:eastAsia="Times New Roman" w:hAnsi="Times New Roman" w:cs="Times New Roman"/>
                <w:b/>
                <w:bCs/>
                <w:i/>
                <w:iCs/>
                <w:sz w:val="24"/>
                <w:szCs w:val="24"/>
                <w:lang w:val="en-US" w:eastAsia="es-ES_tradnl"/>
              </w:rPr>
              <w:t>Journal of business ethics</w:t>
            </w:r>
            <w:r w:rsidRPr="00B43AED">
              <w:rPr>
                <w:rFonts w:ascii="Times New Roman" w:eastAsia="Times New Roman" w:hAnsi="Times New Roman" w:cs="Times New Roman"/>
                <w:b/>
                <w:bCs/>
                <w:sz w:val="24"/>
                <w:szCs w:val="24"/>
                <w:shd w:val="clear" w:color="auto" w:fill="FFFFFF"/>
                <w:lang w:val="en-US" w:eastAsia="es-ES_tradnl"/>
              </w:rPr>
              <w:t>, </w:t>
            </w:r>
            <w:r w:rsidRPr="00B43AED">
              <w:rPr>
                <w:rFonts w:ascii="Times New Roman" w:eastAsia="Times New Roman" w:hAnsi="Times New Roman" w:cs="Times New Roman"/>
                <w:b/>
                <w:bCs/>
                <w:i/>
                <w:iCs/>
                <w:sz w:val="24"/>
                <w:szCs w:val="24"/>
                <w:lang w:val="en-US" w:eastAsia="es-ES_tradnl"/>
              </w:rPr>
              <w:t>114</w:t>
            </w:r>
            <w:r w:rsidRPr="00B43AED">
              <w:rPr>
                <w:rFonts w:ascii="Times New Roman" w:eastAsia="Times New Roman" w:hAnsi="Times New Roman" w:cs="Times New Roman"/>
                <w:b/>
                <w:bCs/>
                <w:sz w:val="24"/>
                <w:szCs w:val="24"/>
                <w:shd w:val="clear" w:color="auto" w:fill="FFFFFF"/>
                <w:lang w:val="en-US" w:eastAsia="es-ES_tradnl"/>
              </w:rPr>
              <w:t>(2), 207-223.</w:t>
            </w:r>
          </w:p>
          <w:p w14:paraId="4F291CE5" w14:textId="77777777" w:rsidR="00675255" w:rsidRPr="00B43AED" w:rsidRDefault="00675255" w:rsidP="00675255">
            <w:pPr>
              <w:pStyle w:val="Prrafodelista"/>
              <w:numPr>
                <w:ilvl w:val="0"/>
                <w:numId w:val="1"/>
              </w:numPr>
              <w:spacing w:after="0" w:line="240" w:lineRule="auto"/>
              <w:jc w:val="both"/>
              <w:rPr>
                <w:rFonts w:ascii="Times New Roman" w:hAnsi="Times New Roman" w:cs="Times New Roman"/>
                <w:b/>
                <w:bCs/>
                <w:sz w:val="24"/>
                <w:szCs w:val="24"/>
                <w:lang w:val="en-GB"/>
              </w:rPr>
            </w:pPr>
            <w:r w:rsidRPr="00B43AED">
              <w:rPr>
                <w:rFonts w:ascii="Times New Roman" w:hAnsi="Times New Roman" w:cs="Times New Roman"/>
                <w:b/>
                <w:bCs/>
                <w:sz w:val="24"/>
                <w:szCs w:val="24"/>
                <w:lang w:val="en-GB"/>
              </w:rPr>
              <w:lastRenderedPageBreak/>
              <w:t xml:space="preserve">Tao, N. B., &amp; Hutchinson, M. (2013). Corporate governance and risk management: The role of risk management and compensation committees. </w:t>
            </w:r>
            <w:r w:rsidRPr="00B43AED">
              <w:rPr>
                <w:rFonts w:ascii="Times New Roman" w:hAnsi="Times New Roman" w:cs="Times New Roman"/>
                <w:b/>
                <w:bCs/>
                <w:i/>
                <w:iCs/>
                <w:sz w:val="24"/>
                <w:szCs w:val="24"/>
                <w:lang w:val="en-GB"/>
              </w:rPr>
              <w:t>Journal of Contemporary Accounting and Economics</w:t>
            </w:r>
            <w:r w:rsidRPr="00B43AED">
              <w:rPr>
                <w:rFonts w:ascii="Times New Roman" w:hAnsi="Times New Roman" w:cs="Times New Roman"/>
                <w:b/>
                <w:bCs/>
                <w:sz w:val="24"/>
                <w:szCs w:val="24"/>
                <w:lang w:val="en-GB"/>
              </w:rPr>
              <w:t>, 9(1), 83-99.</w:t>
            </w:r>
          </w:p>
          <w:p w14:paraId="77464FE9" w14:textId="77777777" w:rsidR="00675255" w:rsidRPr="00B43AED" w:rsidRDefault="00675255" w:rsidP="00675255">
            <w:pPr>
              <w:pStyle w:val="Prrafodelista"/>
              <w:numPr>
                <w:ilvl w:val="0"/>
                <w:numId w:val="1"/>
              </w:numPr>
              <w:spacing w:after="0" w:line="240" w:lineRule="auto"/>
              <w:jc w:val="both"/>
              <w:rPr>
                <w:rFonts w:ascii="Times New Roman" w:hAnsi="Times New Roman" w:cs="Times New Roman"/>
                <w:b/>
                <w:bCs/>
                <w:sz w:val="24"/>
                <w:szCs w:val="24"/>
                <w:lang w:val="en-US"/>
              </w:rPr>
            </w:pPr>
            <w:r w:rsidRPr="00B43AED">
              <w:rPr>
                <w:rFonts w:ascii="Times New Roman" w:eastAsia="Times New Roman" w:hAnsi="Times New Roman" w:cs="Times New Roman"/>
                <w:b/>
                <w:bCs/>
                <w:sz w:val="24"/>
                <w:szCs w:val="24"/>
                <w:lang w:val="en-US" w:eastAsia="es-ES_tradnl"/>
              </w:rPr>
              <w:t xml:space="preserve">Williamson, O. E. (1983). Credible commitments: Using hostages to support exchange. </w:t>
            </w:r>
            <w:r w:rsidRPr="00B43AED">
              <w:rPr>
                <w:rFonts w:ascii="Times New Roman" w:eastAsia="Times New Roman" w:hAnsi="Times New Roman" w:cs="Times New Roman"/>
                <w:b/>
                <w:bCs/>
                <w:i/>
                <w:iCs/>
                <w:sz w:val="24"/>
                <w:szCs w:val="24"/>
                <w:lang w:val="en-US" w:eastAsia="es-ES_tradnl"/>
              </w:rPr>
              <w:t>The American Economic Review, 73</w:t>
            </w:r>
            <w:r w:rsidRPr="00B43AED">
              <w:rPr>
                <w:rFonts w:ascii="Times New Roman" w:eastAsia="Times New Roman" w:hAnsi="Times New Roman" w:cs="Times New Roman"/>
                <w:b/>
                <w:bCs/>
                <w:sz w:val="24"/>
                <w:szCs w:val="24"/>
                <w:lang w:val="en-US" w:eastAsia="es-ES_tradnl"/>
              </w:rPr>
              <w:t>(4), 519–540.</w:t>
            </w:r>
          </w:p>
          <w:p w14:paraId="5F748BDD" w14:textId="77777777" w:rsidR="00675255" w:rsidRPr="00B43AED" w:rsidRDefault="00675255" w:rsidP="00675255">
            <w:pPr>
              <w:pStyle w:val="Prrafodelista"/>
              <w:numPr>
                <w:ilvl w:val="0"/>
                <w:numId w:val="1"/>
              </w:numPr>
              <w:spacing w:after="0" w:line="240" w:lineRule="auto"/>
              <w:jc w:val="both"/>
              <w:rPr>
                <w:rFonts w:ascii="Times New Roman" w:eastAsia="Times New Roman" w:hAnsi="Times New Roman" w:cs="Times New Roman"/>
                <w:b/>
                <w:bCs/>
                <w:sz w:val="24"/>
                <w:szCs w:val="24"/>
                <w:lang w:eastAsia="es-ES_tradnl"/>
              </w:rPr>
            </w:pPr>
            <w:r w:rsidRPr="00675255">
              <w:rPr>
                <w:rFonts w:ascii="Times New Roman" w:eastAsia="Times New Roman" w:hAnsi="Times New Roman" w:cs="Times New Roman"/>
                <w:b/>
                <w:bCs/>
                <w:sz w:val="24"/>
                <w:szCs w:val="24"/>
                <w:shd w:val="clear" w:color="auto" w:fill="FFFFFF"/>
                <w:lang w:eastAsia="es-ES_tradnl"/>
              </w:rPr>
              <w:t xml:space="preserve">Zaid, M. A., Abuhijleh, S. T., &amp; Pucheta‐Martínez, M. C. (2020). </w:t>
            </w:r>
            <w:r w:rsidRPr="00B43AED">
              <w:rPr>
                <w:rFonts w:ascii="Times New Roman" w:eastAsia="Times New Roman" w:hAnsi="Times New Roman" w:cs="Times New Roman"/>
                <w:b/>
                <w:bCs/>
                <w:sz w:val="24"/>
                <w:szCs w:val="24"/>
                <w:shd w:val="clear" w:color="auto" w:fill="FFFFFF"/>
                <w:lang w:val="en-US" w:eastAsia="es-ES_tradnl"/>
              </w:rPr>
              <w:t>Ownership structure, stakeholder engagement, and corporate social responsibility policies: The moderating effect of board independence. </w:t>
            </w:r>
            <w:r w:rsidRPr="00B43AED">
              <w:rPr>
                <w:rFonts w:ascii="Times New Roman" w:eastAsia="Times New Roman" w:hAnsi="Times New Roman" w:cs="Times New Roman"/>
                <w:b/>
                <w:bCs/>
                <w:i/>
                <w:iCs/>
                <w:sz w:val="24"/>
                <w:szCs w:val="24"/>
                <w:lang w:eastAsia="es-ES_tradnl"/>
              </w:rPr>
              <w:t>Corporate Social Responsibility and Environmental Management</w:t>
            </w:r>
            <w:r w:rsidRPr="00B43AED">
              <w:rPr>
                <w:rFonts w:ascii="Times New Roman" w:eastAsia="Times New Roman" w:hAnsi="Times New Roman" w:cs="Times New Roman"/>
                <w:b/>
                <w:bCs/>
                <w:sz w:val="24"/>
                <w:szCs w:val="24"/>
                <w:shd w:val="clear" w:color="auto" w:fill="FFFFFF"/>
                <w:lang w:eastAsia="es-ES_tradnl"/>
              </w:rPr>
              <w:t>, </w:t>
            </w:r>
            <w:r w:rsidRPr="00B43AED">
              <w:rPr>
                <w:rFonts w:ascii="Times New Roman" w:eastAsia="Times New Roman" w:hAnsi="Times New Roman" w:cs="Times New Roman"/>
                <w:b/>
                <w:bCs/>
                <w:i/>
                <w:iCs/>
                <w:sz w:val="24"/>
                <w:szCs w:val="24"/>
                <w:lang w:eastAsia="es-ES_tradnl"/>
              </w:rPr>
              <w:t>27</w:t>
            </w:r>
            <w:r w:rsidRPr="00B43AED">
              <w:rPr>
                <w:rFonts w:ascii="Times New Roman" w:eastAsia="Times New Roman" w:hAnsi="Times New Roman" w:cs="Times New Roman"/>
                <w:b/>
                <w:bCs/>
                <w:sz w:val="24"/>
                <w:szCs w:val="24"/>
                <w:shd w:val="clear" w:color="auto" w:fill="FFFFFF"/>
                <w:lang w:eastAsia="es-ES_tradnl"/>
              </w:rPr>
              <w:t>(3), 1344-1360.</w:t>
            </w:r>
          </w:p>
          <w:p w14:paraId="15267E9F" w14:textId="77777777" w:rsidR="00675255" w:rsidRDefault="00675255" w:rsidP="003F7DB4">
            <w:pPr>
              <w:jc w:val="both"/>
              <w:rPr>
                <w:rFonts w:ascii="Times New Roman" w:hAnsi="Times New Roman" w:cs="Times New Roman"/>
                <w:b/>
                <w:bCs/>
                <w:color w:val="0A0A0A"/>
                <w:sz w:val="24"/>
                <w:szCs w:val="24"/>
                <w:shd w:val="clear" w:color="auto" w:fill="FEFEFE"/>
                <w:lang w:val="en-GB"/>
              </w:rPr>
            </w:pPr>
          </w:p>
          <w:p w14:paraId="00D44B5E" w14:textId="77777777" w:rsidR="00675255" w:rsidRDefault="00675255" w:rsidP="003F7DB4">
            <w:pPr>
              <w:jc w:val="both"/>
              <w:rPr>
                <w:rFonts w:ascii="Times New Roman" w:hAnsi="Times New Roman" w:cs="Times New Roman"/>
                <w:b/>
                <w:bCs/>
                <w:color w:val="0A0A0A"/>
                <w:sz w:val="24"/>
                <w:szCs w:val="24"/>
                <w:shd w:val="clear" w:color="auto" w:fill="FEFEFE"/>
                <w:lang w:val="en-GB"/>
              </w:rPr>
            </w:pPr>
          </w:p>
          <w:p w14:paraId="6B5C1210" w14:textId="77777777" w:rsidR="00675255" w:rsidRDefault="00675255" w:rsidP="003F7DB4">
            <w:pPr>
              <w:jc w:val="both"/>
              <w:rPr>
                <w:rFonts w:ascii="Times New Roman" w:hAnsi="Times New Roman" w:cs="Times New Roman"/>
                <w:b/>
                <w:bCs/>
                <w:color w:val="0A0A0A"/>
                <w:sz w:val="24"/>
                <w:szCs w:val="24"/>
                <w:shd w:val="clear" w:color="auto" w:fill="FEFEFE"/>
                <w:lang w:val="en-GB"/>
              </w:rPr>
            </w:pPr>
            <w:r>
              <w:rPr>
                <w:rFonts w:ascii="Times New Roman" w:hAnsi="Times New Roman" w:cs="Times New Roman"/>
                <w:b/>
                <w:bCs/>
                <w:color w:val="0A0A0A"/>
                <w:sz w:val="24"/>
                <w:szCs w:val="24"/>
                <w:shd w:val="clear" w:color="auto" w:fill="FEFEFE"/>
                <w:lang w:val="en-GB"/>
              </w:rPr>
              <w:t>-W</w:t>
            </w:r>
            <w:r w:rsidRPr="00E521C8">
              <w:rPr>
                <w:rFonts w:ascii="Times New Roman" w:hAnsi="Times New Roman" w:cs="Times New Roman"/>
                <w:b/>
                <w:bCs/>
                <w:color w:val="0A0A0A"/>
                <w:sz w:val="24"/>
                <w:szCs w:val="24"/>
                <w:shd w:val="clear" w:color="auto" w:fill="FEFEFE"/>
                <w:lang w:val="en-GB"/>
              </w:rPr>
              <w:t>e have justified the need to extend the literature focused on the compensation committees and the dis</w:t>
            </w:r>
            <w:r>
              <w:rPr>
                <w:rFonts w:ascii="Times New Roman" w:hAnsi="Times New Roman" w:cs="Times New Roman"/>
                <w:b/>
                <w:bCs/>
                <w:color w:val="0A0A0A"/>
                <w:sz w:val="24"/>
                <w:szCs w:val="24"/>
                <w:shd w:val="clear" w:color="auto" w:fill="FEFEFE"/>
                <w:lang w:val="en-GB"/>
              </w:rPr>
              <w:t xml:space="preserve">closure </w:t>
            </w:r>
            <w:r w:rsidRPr="00E521C8">
              <w:rPr>
                <w:rFonts w:ascii="Times New Roman" w:hAnsi="Times New Roman" w:cs="Times New Roman"/>
                <w:b/>
                <w:bCs/>
                <w:color w:val="0A0A0A"/>
                <w:sz w:val="24"/>
                <w:szCs w:val="24"/>
                <w:shd w:val="clear" w:color="auto" w:fill="FEFEFE"/>
                <w:lang w:val="en-GB"/>
              </w:rPr>
              <w:t>of CSR information due to the scarce existence of previous literature in recent years.</w:t>
            </w:r>
          </w:p>
          <w:p w14:paraId="462DE381" w14:textId="77777777" w:rsidR="00675255" w:rsidRDefault="00675255" w:rsidP="003F7DB4">
            <w:pPr>
              <w:rPr>
                <w:rFonts w:ascii="Times New Roman" w:hAnsi="Times New Roman" w:cs="Times New Roman"/>
                <w:color w:val="0A0A0A"/>
                <w:sz w:val="24"/>
                <w:szCs w:val="24"/>
                <w:shd w:val="clear" w:color="auto" w:fill="FEFEFE"/>
                <w:lang w:val="en-GB"/>
              </w:rPr>
            </w:pPr>
          </w:p>
        </w:tc>
      </w:tr>
    </w:tbl>
    <w:p w14:paraId="12E08C5C" w14:textId="77777777" w:rsidR="00675255" w:rsidRPr="00193CCD" w:rsidRDefault="00675255" w:rsidP="00675255">
      <w:pPr>
        <w:rPr>
          <w:rFonts w:ascii="Times New Roman" w:hAnsi="Times New Roman" w:cs="Times New Roman"/>
          <w:color w:val="0A0A0A"/>
          <w:sz w:val="24"/>
          <w:szCs w:val="24"/>
          <w:shd w:val="clear" w:color="auto" w:fill="FEFEFE"/>
          <w:lang w:val="en-GB"/>
        </w:rPr>
      </w:pPr>
    </w:p>
    <w:p w14:paraId="4B756CFA" w14:textId="77777777" w:rsidR="00675255" w:rsidRDefault="00675255" w:rsidP="00675255">
      <w:pPr>
        <w:rPr>
          <w:rFonts w:ascii="Times New Roman" w:hAnsi="Times New Roman" w:cs="Times New Roman"/>
          <w:sz w:val="24"/>
          <w:szCs w:val="24"/>
          <w:lang w:val="en-GB"/>
        </w:rPr>
      </w:pPr>
      <w:r>
        <w:rPr>
          <w:rFonts w:ascii="Times New Roman" w:hAnsi="Times New Roman" w:cs="Times New Roman"/>
          <w:sz w:val="24"/>
          <w:szCs w:val="24"/>
          <w:lang w:val="en-GB"/>
        </w:rPr>
        <w:t>Having addressed all your proposals for change and improvement, we await your decision in the best interests of Sustainability.</w:t>
      </w:r>
    </w:p>
    <w:p w14:paraId="72E29E90" w14:textId="77777777" w:rsidR="00675255" w:rsidRDefault="00675255" w:rsidP="00675255">
      <w:pPr>
        <w:rPr>
          <w:rFonts w:ascii="Times New Roman" w:hAnsi="Times New Roman" w:cs="Times New Roman"/>
          <w:sz w:val="24"/>
          <w:szCs w:val="24"/>
          <w:lang w:val="en-GB"/>
        </w:rPr>
      </w:pPr>
      <w:r>
        <w:rPr>
          <w:rFonts w:ascii="Times New Roman" w:hAnsi="Times New Roman" w:cs="Times New Roman"/>
          <w:sz w:val="24"/>
          <w:szCs w:val="24"/>
          <w:lang w:val="en-GB"/>
        </w:rPr>
        <w:t>Best regards,</w:t>
      </w:r>
    </w:p>
    <w:p w14:paraId="7AEA0227" w14:textId="77777777" w:rsidR="00675255" w:rsidRPr="00193CCD" w:rsidRDefault="00675255" w:rsidP="00675255">
      <w:pPr>
        <w:ind w:firstLine="708"/>
        <w:rPr>
          <w:rFonts w:ascii="Times New Roman" w:hAnsi="Times New Roman" w:cs="Times New Roman"/>
          <w:sz w:val="24"/>
          <w:szCs w:val="24"/>
          <w:lang w:val="en-GB"/>
        </w:rPr>
      </w:pPr>
      <w:r>
        <w:rPr>
          <w:rFonts w:ascii="Times New Roman" w:hAnsi="Times New Roman" w:cs="Times New Roman"/>
          <w:sz w:val="24"/>
          <w:szCs w:val="24"/>
          <w:lang w:val="en-GB"/>
        </w:rPr>
        <w:t>The authors</w:t>
      </w:r>
    </w:p>
    <w:p w14:paraId="53D46571" w14:textId="77777777" w:rsidR="00675255" w:rsidRDefault="00675255"/>
    <w:sectPr w:rsidR="00675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B1803"/>
    <w:multiLevelType w:val="hybridMultilevel"/>
    <w:tmpl w:val="E500E040"/>
    <w:lvl w:ilvl="0" w:tplc="50BA5D7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55"/>
    <w:rsid w:val="00675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F6BEA50"/>
  <w15:chartTrackingRefBased/>
  <w15:docId w15:val="{57DE570C-B9F1-D245-97E6-B06DE369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255"/>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525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75255"/>
    <w:pPr>
      <w:ind w:left="720"/>
      <w:contextualSpacing/>
    </w:pPr>
  </w:style>
  <w:style w:type="paragraph" w:customStyle="1" w:styleId="MDPI21heading1">
    <w:name w:val="MDPI_2.1_heading1"/>
    <w:qFormat/>
    <w:rsid w:val="0067525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2822</Characters>
  <Application>Microsoft Office Word</Application>
  <DocSecurity>0</DocSecurity>
  <Lines>35</Lines>
  <Paragraphs>21</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 Bel Oms</dc:creator>
  <cp:keywords/>
  <dc:description/>
  <cp:lastModifiedBy>Inmaculada Bel Oms</cp:lastModifiedBy>
  <cp:revision>1</cp:revision>
  <dcterms:created xsi:type="dcterms:W3CDTF">2021-12-23T22:25:00Z</dcterms:created>
  <dcterms:modified xsi:type="dcterms:W3CDTF">2021-12-23T22:25:00Z</dcterms:modified>
</cp:coreProperties>
</file>