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A7A7" w14:textId="77777777" w:rsidR="007B6D22" w:rsidRDefault="007B6D22" w:rsidP="007B6D22">
      <w:pPr>
        <w:rPr>
          <w:rFonts w:ascii="Times New Roman" w:hAnsi="Times New Roman" w:cs="Times New Roman"/>
          <w:sz w:val="24"/>
          <w:szCs w:val="24"/>
          <w:lang w:val="en-GB"/>
        </w:rPr>
      </w:pPr>
      <w:r>
        <w:rPr>
          <w:rFonts w:ascii="Times New Roman" w:hAnsi="Times New Roman" w:cs="Times New Roman"/>
          <w:sz w:val="24"/>
          <w:szCs w:val="24"/>
          <w:lang w:val="en-GB"/>
        </w:rPr>
        <w:t>Dear Reviewer 3,</w:t>
      </w:r>
    </w:p>
    <w:p w14:paraId="2F4455B6" w14:textId="77777777" w:rsidR="007B6D22" w:rsidRPr="00AE15B5" w:rsidRDefault="007B6D22" w:rsidP="007B6D22">
      <w:pPr>
        <w:jc w:val="both"/>
        <w:rPr>
          <w:rFonts w:ascii="Times New Roman" w:hAnsi="Times New Roman" w:cs="Times New Roman"/>
          <w:bCs/>
          <w:sz w:val="24"/>
          <w:szCs w:val="24"/>
          <w:lang w:val="en-US"/>
        </w:rPr>
      </w:pPr>
      <w:r w:rsidRPr="00AE15B5">
        <w:rPr>
          <w:rFonts w:ascii="Times New Roman" w:eastAsia="Calibri" w:hAnsi="Times New Roman" w:cs="Times New Roman"/>
          <w:bCs/>
          <w:sz w:val="24"/>
          <w:szCs w:val="24"/>
          <w:lang w:val="en-US"/>
        </w:rPr>
        <w:t>Thank you for your kind comments. W</w:t>
      </w:r>
      <w:r w:rsidRPr="00AE15B5">
        <w:rPr>
          <w:rFonts w:ascii="Times New Roman" w:hAnsi="Times New Roman" w:cs="Times New Roman"/>
          <w:bCs/>
          <w:sz w:val="24"/>
          <w:szCs w:val="24"/>
          <w:lang w:val="en-US"/>
        </w:rPr>
        <w:t xml:space="preserve">e appreciate your feedback and the time and care you spent with regards to reading our manuscript. We have tried to address all of your comments and take action on as many as we could. </w:t>
      </w:r>
      <w:r w:rsidRPr="00AE15B5">
        <w:rPr>
          <w:rFonts w:ascii="Times New Roman" w:eastAsia="Calibri" w:hAnsi="Times New Roman" w:cs="Times New Roman"/>
          <w:bCs/>
          <w:sz w:val="24"/>
          <w:szCs w:val="24"/>
          <w:lang w:val="en-US"/>
        </w:rPr>
        <w:t xml:space="preserve">We are hopeful you find our responses/edits to your concerns (expressed below) sufficient. Please, notice that our responses are provided in bold after your comments/suggestions. </w:t>
      </w:r>
    </w:p>
    <w:p w14:paraId="6B98E8C1" w14:textId="77777777" w:rsidR="007B6D22" w:rsidRPr="00193CCD" w:rsidRDefault="007B6D22" w:rsidP="007B6D22">
      <w:pPr>
        <w:rPr>
          <w:rFonts w:ascii="Times New Roman" w:hAnsi="Times New Roman" w:cs="Times New Roman"/>
          <w:sz w:val="24"/>
          <w:szCs w:val="24"/>
          <w:lang w:val="en-GB"/>
        </w:rPr>
      </w:pPr>
    </w:p>
    <w:tbl>
      <w:tblPr>
        <w:tblStyle w:val="Tablaconcuadrcula"/>
        <w:tblW w:w="0" w:type="auto"/>
        <w:tblLook w:val="04A0" w:firstRow="1" w:lastRow="0" w:firstColumn="1" w:lastColumn="0" w:noHBand="0" w:noVBand="1"/>
      </w:tblPr>
      <w:tblGrid>
        <w:gridCol w:w="8494"/>
      </w:tblGrid>
      <w:tr w:rsidR="007B6D22" w:rsidRPr="007B6D22" w14:paraId="2A17576D" w14:textId="77777777" w:rsidTr="003F7DB4">
        <w:tc>
          <w:tcPr>
            <w:tcW w:w="8494" w:type="dxa"/>
          </w:tcPr>
          <w:p w14:paraId="64261272"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t>The paper studies the relationship between remuneration committees and CSR as well as the moderating role of independent directors. While the paper seems interesting I have several concerns that I would like to share with the authors:</w:t>
            </w:r>
          </w:p>
          <w:p w14:paraId="239E93A1"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t>The introduction lacks of motivation. The reader needs to understand why your research question is important.</w:t>
            </w:r>
          </w:p>
          <w:p w14:paraId="159256C4" w14:textId="77777777" w:rsidR="007B6D22" w:rsidRDefault="007B6D22" w:rsidP="003F7DB4">
            <w:pPr>
              <w:jc w:val="both"/>
              <w:rPr>
                <w:rFonts w:ascii="Times New Roman" w:hAnsi="Times New Roman" w:cs="Times New Roman"/>
                <w:sz w:val="24"/>
                <w:szCs w:val="24"/>
                <w:lang w:val="en-GB"/>
              </w:rPr>
            </w:pPr>
          </w:p>
        </w:tc>
      </w:tr>
      <w:tr w:rsidR="007B6D22" w:rsidRPr="007B6D22" w14:paraId="0D2C9E2F" w14:textId="77777777" w:rsidTr="003F7DB4">
        <w:tc>
          <w:tcPr>
            <w:tcW w:w="8494" w:type="dxa"/>
          </w:tcPr>
          <w:p w14:paraId="5C81A93E" w14:textId="77777777" w:rsidR="007B6D22" w:rsidRPr="007947C7" w:rsidRDefault="007B6D22" w:rsidP="003F7DB4">
            <w:pPr>
              <w:pStyle w:val="NormalWeb"/>
              <w:jc w:val="both"/>
              <w:rPr>
                <w:b/>
                <w:bCs/>
                <w:color w:val="0A0A0A"/>
                <w:lang w:val="en-GB"/>
              </w:rPr>
            </w:pPr>
            <w:r w:rsidRPr="007947C7">
              <w:rPr>
                <w:b/>
                <w:bCs/>
                <w:color w:val="0A0A0A"/>
                <w:lang w:val="en-GB"/>
              </w:rPr>
              <w:t>Authors:</w:t>
            </w:r>
          </w:p>
          <w:p w14:paraId="754695A6" w14:textId="77777777" w:rsidR="007B6D22" w:rsidRPr="0095466B" w:rsidRDefault="007B6D22" w:rsidP="003F7DB4">
            <w:pPr>
              <w:pStyle w:val="NormalWeb"/>
              <w:jc w:val="both"/>
              <w:rPr>
                <w:b/>
                <w:bCs/>
                <w:color w:val="0A0A0A"/>
                <w:lang w:val="en-GB"/>
              </w:rPr>
            </w:pPr>
            <w:r w:rsidRPr="007947C7">
              <w:rPr>
                <w:b/>
                <w:bCs/>
                <w:color w:val="0A0A0A"/>
                <w:lang w:val="en-GB"/>
              </w:rPr>
              <w:t>Thank you very much for this suggestion since, indeed, the introduction was presented with scant motivation. We have corrected this issue and we have included a new paragraph based on remuneration committee and which explains the importance of including this committee for companies</w:t>
            </w:r>
            <w:r w:rsidRPr="0095466B">
              <w:rPr>
                <w:b/>
                <w:bCs/>
                <w:color w:val="0A0A0A"/>
                <w:lang w:val="en-GB"/>
              </w:rPr>
              <w:t>. Furthermore, we have included these other references to improve the introduction of the work:</w:t>
            </w:r>
          </w:p>
          <w:p w14:paraId="2FE7F140" w14:textId="77777777" w:rsidR="007B6D22" w:rsidRPr="0095466B" w:rsidRDefault="007B6D22" w:rsidP="003F7DB4">
            <w:pPr>
              <w:pStyle w:val="NormalWeb"/>
              <w:numPr>
                <w:ilvl w:val="0"/>
                <w:numId w:val="2"/>
              </w:numPr>
              <w:spacing w:before="0" w:beforeAutospacing="0" w:after="0" w:afterAutospacing="0"/>
              <w:jc w:val="both"/>
              <w:rPr>
                <w:b/>
                <w:bCs/>
                <w:color w:val="0A0A0A"/>
              </w:rPr>
            </w:pPr>
            <w:r w:rsidRPr="0095466B">
              <w:rPr>
                <w:b/>
                <w:bCs/>
                <w:color w:val="0A0A0A"/>
                <w:lang w:val="en-GB"/>
              </w:rPr>
              <w:t xml:space="preserve">Code, U. G. G. (2006). Unified Good Governance Code of Listed Companies. </w:t>
            </w:r>
            <w:r w:rsidRPr="0095466B">
              <w:rPr>
                <w:b/>
                <w:bCs/>
                <w:color w:val="0A0A0A"/>
              </w:rPr>
              <w:t>Comisión Nacional del Mercado de Valores. Spain.</w:t>
            </w:r>
          </w:p>
          <w:p w14:paraId="701EE61C"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US"/>
              </w:rPr>
              <w:t xml:space="preserve">Conyon, M. J., &amp; Peck, S. I. (1998). </w:t>
            </w:r>
            <w:r w:rsidRPr="0095466B">
              <w:rPr>
                <w:b/>
                <w:bCs/>
                <w:color w:val="0A0A0A"/>
                <w:lang w:val="en-GB"/>
              </w:rPr>
              <w:t>Board control, remuneration committees, and top management compensation. Academy of management journal, 41(2), 146-157.</w:t>
            </w:r>
          </w:p>
          <w:p w14:paraId="6C6EB369"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GB"/>
              </w:rPr>
              <w:t xml:space="preserve">Good Governance Code of Listed Companies (2020). </w:t>
            </w:r>
            <w:r w:rsidRPr="0095466B">
              <w:rPr>
                <w:b/>
                <w:bCs/>
                <w:color w:val="0A0A0A"/>
              </w:rPr>
              <w:t xml:space="preserve">Comisión Nacional del Mercado de Valores. </w:t>
            </w:r>
            <w:r w:rsidRPr="0095466B">
              <w:rPr>
                <w:b/>
                <w:bCs/>
                <w:color w:val="0A0A0A"/>
                <w:lang w:val="en-GB"/>
              </w:rPr>
              <w:t>Spain.</w:t>
            </w:r>
          </w:p>
          <w:p w14:paraId="6DE5AB11"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rPr>
              <w:t xml:space="preserve">Fama, E.F., &amp; Jensen, M.C. (1983). </w:t>
            </w:r>
            <w:r w:rsidRPr="0095466B">
              <w:rPr>
                <w:b/>
                <w:bCs/>
                <w:color w:val="0A0A0A"/>
                <w:lang w:val="en-GB"/>
              </w:rPr>
              <w:t>Separation of ownership and control. Journal of Law and Economics, 24, 301–325.</w:t>
            </w:r>
          </w:p>
          <w:p w14:paraId="1EE0A8FC"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GB"/>
              </w:rPr>
              <w:t>Harrison, J. R. (1987). The strategic use of corporate board committees. California Management Review, 30(1), 109-125.</w:t>
            </w:r>
          </w:p>
          <w:p w14:paraId="2BBF7E20"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GB"/>
              </w:rPr>
              <w:t>Khan, A., Muttakin, M. B., &amp; Siddiqui, J. (2013). Corporate governance and corporate social responsibility disclosures: Evidence from an emerging economy. Journal of business ethics, 114(2), 207-223.</w:t>
            </w:r>
          </w:p>
          <w:p w14:paraId="6C565C67"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GB"/>
              </w:rPr>
              <w:t>Tao, N. B., &amp; Hutchinson, M. (2013). Corporate governance and risk management: The role of risk management and compensation committees. Journal of Contemporary Accounting and Economics, 9(1), 83-99.</w:t>
            </w:r>
          </w:p>
          <w:p w14:paraId="4823BFE6"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lang w:val="en-GB"/>
              </w:rPr>
              <w:t>Williamson, O. E. (1983). Credible commitments: Using hostages to support exchange. The American Economic Review, 73(4), 519–540.</w:t>
            </w:r>
          </w:p>
          <w:p w14:paraId="1E85A45D" w14:textId="77777777" w:rsidR="007B6D22" w:rsidRPr="0095466B" w:rsidRDefault="007B6D22" w:rsidP="003F7DB4">
            <w:pPr>
              <w:pStyle w:val="NormalWeb"/>
              <w:numPr>
                <w:ilvl w:val="0"/>
                <w:numId w:val="2"/>
              </w:numPr>
              <w:spacing w:before="0" w:beforeAutospacing="0" w:after="0" w:afterAutospacing="0"/>
              <w:jc w:val="both"/>
              <w:rPr>
                <w:b/>
                <w:bCs/>
                <w:color w:val="0A0A0A"/>
                <w:lang w:val="en-GB"/>
              </w:rPr>
            </w:pPr>
            <w:r w:rsidRPr="0095466B">
              <w:rPr>
                <w:b/>
                <w:bCs/>
                <w:color w:val="0A0A0A"/>
              </w:rPr>
              <w:t xml:space="preserve">Zaid, M. A., Abuhijleh, S. T., &amp; Pucheta‐Martínez, M. C. (2020). </w:t>
            </w:r>
            <w:r w:rsidRPr="0095466B">
              <w:rPr>
                <w:b/>
                <w:bCs/>
                <w:color w:val="0A0A0A"/>
                <w:lang w:val="en-GB"/>
              </w:rPr>
              <w:t>Ownership structure, stakeholder engagement, and corporate social responsibility policies: The moderating effect of board independence. Corporate Social Responsibility and Environmental Management, 27(3), 1344-1360.</w:t>
            </w:r>
          </w:p>
          <w:p w14:paraId="07FF340B" w14:textId="77777777" w:rsidR="007B6D22" w:rsidRPr="007947C7" w:rsidRDefault="007B6D22" w:rsidP="003F7DB4">
            <w:pPr>
              <w:pStyle w:val="NormalWeb"/>
              <w:jc w:val="both"/>
              <w:rPr>
                <w:b/>
                <w:bCs/>
                <w:color w:val="0A0A0A"/>
                <w:lang w:val="en-GB"/>
              </w:rPr>
            </w:pPr>
            <w:r w:rsidRPr="0095466B">
              <w:rPr>
                <w:b/>
                <w:bCs/>
                <w:color w:val="0A0A0A"/>
                <w:lang w:val="en-GB"/>
              </w:rPr>
              <w:lastRenderedPageBreak/>
              <w:t xml:space="preserve">-We have justified the need to extend the literature focused on the compensation committees and the </w:t>
            </w:r>
            <w:r>
              <w:rPr>
                <w:b/>
                <w:bCs/>
                <w:color w:val="0A0A0A"/>
                <w:lang w:val="en-GB"/>
              </w:rPr>
              <w:t>disclsoure</w:t>
            </w:r>
            <w:r w:rsidRPr="0095466B">
              <w:rPr>
                <w:b/>
                <w:bCs/>
                <w:color w:val="0A0A0A"/>
                <w:lang w:val="en-GB"/>
              </w:rPr>
              <w:t xml:space="preserve"> of CSR information due to the scarce existence of previous literature in recent years.</w:t>
            </w:r>
          </w:p>
          <w:p w14:paraId="647C3C92" w14:textId="77777777" w:rsidR="007B6D22" w:rsidRDefault="007B6D22" w:rsidP="003F7DB4">
            <w:pPr>
              <w:jc w:val="both"/>
              <w:rPr>
                <w:rFonts w:ascii="Times New Roman" w:hAnsi="Times New Roman" w:cs="Times New Roman"/>
                <w:sz w:val="24"/>
                <w:szCs w:val="24"/>
                <w:lang w:val="en-GB"/>
              </w:rPr>
            </w:pPr>
          </w:p>
        </w:tc>
      </w:tr>
      <w:tr w:rsidR="007B6D22" w:rsidRPr="007B6D22" w14:paraId="1A94150F" w14:textId="77777777" w:rsidTr="003F7DB4">
        <w:tc>
          <w:tcPr>
            <w:tcW w:w="8494" w:type="dxa"/>
          </w:tcPr>
          <w:p w14:paraId="03BD2F32"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lastRenderedPageBreak/>
              <w:t>The theoretical background is weak. I am not convinced on your explanation on why committees would affect CSR.</w:t>
            </w:r>
          </w:p>
          <w:p w14:paraId="0BC83489" w14:textId="77777777" w:rsidR="007B6D22" w:rsidRDefault="007B6D22" w:rsidP="003F7DB4">
            <w:pPr>
              <w:jc w:val="both"/>
              <w:rPr>
                <w:rFonts w:ascii="Times New Roman" w:hAnsi="Times New Roman" w:cs="Times New Roman"/>
                <w:sz w:val="24"/>
                <w:szCs w:val="24"/>
                <w:lang w:val="en-GB"/>
              </w:rPr>
            </w:pPr>
          </w:p>
        </w:tc>
      </w:tr>
      <w:tr w:rsidR="007B6D22" w:rsidRPr="00F742FC" w14:paraId="4025643F" w14:textId="77777777" w:rsidTr="003F7DB4">
        <w:tc>
          <w:tcPr>
            <w:tcW w:w="8494" w:type="dxa"/>
          </w:tcPr>
          <w:p w14:paraId="3DF89726" w14:textId="77777777" w:rsidR="007B6D22" w:rsidRDefault="007B6D22" w:rsidP="003F7DB4">
            <w:pPr>
              <w:pStyle w:val="NormalWeb"/>
              <w:jc w:val="both"/>
              <w:rPr>
                <w:color w:val="0A0A0A"/>
                <w:lang w:val="en-GB"/>
              </w:rPr>
            </w:pPr>
            <w:r>
              <w:rPr>
                <w:color w:val="0A0A0A"/>
                <w:lang w:val="en-GB"/>
              </w:rPr>
              <w:t>Authors:</w:t>
            </w:r>
          </w:p>
          <w:p w14:paraId="04CB5736" w14:textId="77777777" w:rsidR="007B6D22" w:rsidRDefault="007B6D22" w:rsidP="003F7DB4">
            <w:pPr>
              <w:jc w:val="both"/>
              <w:rPr>
                <w:rFonts w:ascii="Times New Roman" w:hAnsi="Times New Roman" w:cs="Times New Roman"/>
                <w:b/>
                <w:bCs/>
                <w:sz w:val="24"/>
                <w:szCs w:val="24"/>
                <w:lang w:val="en-GB"/>
              </w:rPr>
            </w:pPr>
            <w:r w:rsidRPr="00F742FC">
              <w:rPr>
                <w:rFonts w:ascii="Times New Roman" w:hAnsi="Times New Roman" w:cs="Times New Roman"/>
                <w:b/>
                <w:bCs/>
                <w:sz w:val="24"/>
                <w:szCs w:val="24"/>
                <w:lang w:val="en-GB"/>
              </w:rPr>
              <w:t>We have improved the theoretical background.</w:t>
            </w:r>
          </w:p>
          <w:p w14:paraId="07DD7442" w14:textId="77777777" w:rsidR="007B6D22" w:rsidRDefault="007B6D22" w:rsidP="003F7DB4">
            <w:pPr>
              <w:jc w:val="both"/>
              <w:rPr>
                <w:rFonts w:ascii="Times New Roman" w:hAnsi="Times New Roman" w:cs="Times New Roman"/>
                <w:b/>
                <w:bCs/>
                <w:sz w:val="24"/>
                <w:szCs w:val="24"/>
                <w:lang w:val="en-GB"/>
              </w:rPr>
            </w:pPr>
          </w:p>
          <w:p w14:paraId="55C1BFF2" w14:textId="77777777" w:rsidR="007B6D22" w:rsidRDefault="007B6D22" w:rsidP="003F7DB4">
            <w:pPr>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In our modest opinion, the originality of the paper is: (i) analyse of the association between remuneration committees and CSR disclosure; (ii) examine the moderating effect of independent board in the association between the remuneration committees and the disclosure of CSR information. We have not found previous research focused on these both topics. We have improved the section to clarify the need to extend this line of research</w:t>
            </w:r>
            <w:r>
              <w:rPr>
                <w:rFonts w:ascii="Times New Roman" w:hAnsi="Times New Roman" w:cs="Times New Roman"/>
                <w:b/>
                <w:bCs/>
                <w:sz w:val="24"/>
                <w:szCs w:val="24"/>
                <w:lang w:val="en-GB"/>
              </w:rPr>
              <w:t xml:space="preserve"> and have included the following references:</w:t>
            </w:r>
          </w:p>
          <w:p w14:paraId="04ED9B0F" w14:textId="77777777" w:rsidR="007B6D22" w:rsidRPr="00C04635" w:rsidRDefault="007B6D22" w:rsidP="003F7DB4">
            <w:pPr>
              <w:jc w:val="both"/>
              <w:rPr>
                <w:rFonts w:ascii="Times New Roman" w:hAnsi="Times New Roman" w:cs="Times New Roman"/>
                <w:b/>
                <w:bCs/>
                <w:sz w:val="24"/>
                <w:szCs w:val="24"/>
                <w:lang w:val="en-GB"/>
              </w:rPr>
            </w:pPr>
          </w:p>
          <w:p w14:paraId="2A623065" w14:textId="77777777" w:rsidR="007B6D22" w:rsidRPr="00C04635" w:rsidRDefault="007B6D22" w:rsidP="007B6D22">
            <w:pPr>
              <w:pStyle w:val="Prrafodelista"/>
              <w:numPr>
                <w:ilvl w:val="0"/>
                <w:numId w:val="3"/>
              </w:numPr>
              <w:spacing w:after="0" w:line="240" w:lineRule="auto"/>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 xml:space="preserve">Abeysekera, I. (2012). Role of remuneration committee in narrative human capital disclosure. </w:t>
            </w:r>
            <w:r w:rsidRPr="00C04635">
              <w:rPr>
                <w:rFonts w:ascii="Times New Roman" w:hAnsi="Times New Roman" w:cs="Times New Roman"/>
                <w:b/>
                <w:bCs/>
                <w:i/>
                <w:iCs/>
                <w:sz w:val="24"/>
                <w:szCs w:val="24"/>
                <w:lang w:val="en-GB"/>
              </w:rPr>
              <w:t>Accounting &amp; Finance</w:t>
            </w:r>
            <w:r w:rsidRPr="00C04635">
              <w:rPr>
                <w:rFonts w:ascii="Times New Roman" w:hAnsi="Times New Roman" w:cs="Times New Roman"/>
                <w:b/>
                <w:bCs/>
                <w:sz w:val="24"/>
                <w:szCs w:val="24"/>
                <w:lang w:val="en-GB"/>
              </w:rPr>
              <w:t>, 52, 1-23.</w:t>
            </w:r>
          </w:p>
          <w:p w14:paraId="13E75109" w14:textId="77777777" w:rsidR="007B6D22" w:rsidRPr="00C04635" w:rsidRDefault="007B6D22" w:rsidP="007B6D22">
            <w:pPr>
              <w:pStyle w:val="Prrafodelista"/>
              <w:numPr>
                <w:ilvl w:val="0"/>
                <w:numId w:val="3"/>
              </w:numPr>
              <w:spacing w:after="0" w:line="240" w:lineRule="auto"/>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 xml:space="preserve">Alotaibi, K. O., &amp; Hussainey, K. (2016). Determinants of CSR disclosure quantity and quality: Evidence from non-financial listed firms in Saudi Arabia. </w:t>
            </w:r>
            <w:r w:rsidRPr="00C04635">
              <w:rPr>
                <w:rFonts w:ascii="Times New Roman" w:hAnsi="Times New Roman" w:cs="Times New Roman"/>
                <w:b/>
                <w:bCs/>
                <w:i/>
                <w:iCs/>
                <w:sz w:val="24"/>
                <w:szCs w:val="24"/>
                <w:lang w:val="en-GB"/>
              </w:rPr>
              <w:t>International Journal of Disclosure and Governance</w:t>
            </w:r>
            <w:r w:rsidRPr="00C04635">
              <w:rPr>
                <w:rFonts w:ascii="Times New Roman" w:hAnsi="Times New Roman" w:cs="Times New Roman"/>
                <w:b/>
                <w:bCs/>
                <w:sz w:val="24"/>
                <w:szCs w:val="24"/>
                <w:lang w:val="en-GB"/>
              </w:rPr>
              <w:t>, 13(4), 364-393.</w:t>
            </w:r>
          </w:p>
          <w:p w14:paraId="2C1C7E8B" w14:textId="77777777" w:rsidR="007B6D22" w:rsidRPr="00C04635" w:rsidRDefault="007B6D22" w:rsidP="007B6D22">
            <w:pPr>
              <w:pStyle w:val="Prrafodelista"/>
              <w:numPr>
                <w:ilvl w:val="0"/>
                <w:numId w:val="3"/>
              </w:numPr>
              <w:spacing w:after="0" w:line="240" w:lineRule="auto"/>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 xml:space="preserve">Chhaochharia, V. </w:t>
            </w:r>
            <w:r>
              <w:rPr>
                <w:rFonts w:ascii="Times New Roman" w:hAnsi="Times New Roman" w:cs="Times New Roman"/>
                <w:b/>
                <w:bCs/>
                <w:sz w:val="24"/>
                <w:szCs w:val="24"/>
                <w:lang w:val="en-GB"/>
              </w:rPr>
              <w:t xml:space="preserve">&amp; </w:t>
            </w:r>
            <w:r w:rsidRPr="00C04635">
              <w:rPr>
                <w:rFonts w:ascii="Times New Roman" w:hAnsi="Times New Roman" w:cs="Times New Roman"/>
                <w:b/>
                <w:bCs/>
                <w:sz w:val="24"/>
                <w:szCs w:val="24"/>
                <w:lang w:val="en-GB"/>
              </w:rPr>
              <w:t>Grinstein, Y. (2009). CEO compensation and board structure</w:t>
            </w:r>
            <w:r>
              <w:rPr>
                <w:rFonts w:ascii="Times New Roman" w:hAnsi="Times New Roman" w:cs="Times New Roman"/>
                <w:b/>
                <w:bCs/>
                <w:sz w:val="24"/>
                <w:szCs w:val="24"/>
                <w:lang w:val="en-GB"/>
              </w:rPr>
              <w:t>.</w:t>
            </w:r>
            <w:r w:rsidRPr="00C04635">
              <w:rPr>
                <w:rFonts w:ascii="Times New Roman" w:hAnsi="Times New Roman" w:cs="Times New Roman"/>
                <w:b/>
                <w:bCs/>
                <w:sz w:val="24"/>
                <w:szCs w:val="24"/>
                <w:lang w:val="en-GB"/>
              </w:rPr>
              <w:t xml:space="preserve"> </w:t>
            </w:r>
            <w:r w:rsidRPr="00C04635">
              <w:rPr>
                <w:rFonts w:ascii="Times New Roman" w:hAnsi="Times New Roman" w:cs="Times New Roman"/>
                <w:b/>
                <w:bCs/>
                <w:i/>
                <w:iCs/>
                <w:sz w:val="24"/>
                <w:szCs w:val="24"/>
                <w:lang w:val="en-GB"/>
              </w:rPr>
              <w:t>The Journal of Finance</w:t>
            </w:r>
            <w:r w:rsidRPr="00C04635">
              <w:rPr>
                <w:rFonts w:ascii="Times New Roman" w:hAnsi="Times New Roman" w:cs="Times New Roman"/>
                <w:b/>
                <w:bCs/>
                <w:sz w:val="24"/>
                <w:szCs w:val="24"/>
                <w:lang w:val="en-GB"/>
              </w:rPr>
              <w:t>, 61,</w:t>
            </w:r>
            <w:r>
              <w:rPr>
                <w:rFonts w:ascii="Times New Roman" w:hAnsi="Times New Roman" w:cs="Times New Roman"/>
                <w:b/>
                <w:bCs/>
                <w:sz w:val="24"/>
                <w:szCs w:val="24"/>
                <w:lang w:val="en-GB"/>
              </w:rPr>
              <w:t>(</w:t>
            </w:r>
            <w:r w:rsidRPr="00C04635">
              <w:rPr>
                <w:rFonts w:ascii="Times New Roman" w:hAnsi="Times New Roman" w:cs="Times New Roman"/>
                <w:b/>
                <w:bCs/>
                <w:sz w:val="24"/>
                <w:szCs w:val="24"/>
                <w:lang w:val="en-GB"/>
              </w:rPr>
              <w:t>1</w:t>
            </w:r>
            <w:r>
              <w:rPr>
                <w:rFonts w:ascii="Times New Roman" w:hAnsi="Times New Roman" w:cs="Times New Roman"/>
                <w:b/>
                <w:bCs/>
                <w:sz w:val="24"/>
                <w:szCs w:val="24"/>
                <w:lang w:val="en-GB"/>
              </w:rPr>
              <w:t>)</w:t>
            </w:r>
            <w:r w:rsidRPr="00C04635">
              <w:rPr>
                <w:rFonts w:ascii="Times New Roman" w:hAnsi="Times New Roman" w:cs="Times New Roman"/>
                <w:b/>
                <w:bCs/>
                <w:sz w:val="24"/>
                <w:szCs w:val="24"/>
                <w:lang w:val="en-GB"/>
              </w:rPr>
              <w:t>, 231-261.</w:t>
            </w:r>
          </w:p>
          <w:p w14:paraId="5C2F5DC8" w14:textId="77777777" w:rsidR="007B6D22" w:rsidRDefault="007B6D22" w:rsidP="007B6D22">
            <w:pPr>
              <w:pStyle w:val="Prrafodelista"/>
              <w:numPr>
                <w:ilvl w:val="0"/>
                <w:numId w:val="3"/>
              </w:numPr>
              <w:spacing w:after="0" w:line="240" w:lineRule="auto"/>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 xml:space="preserve">Kanapathippillai, S., Mihret, D., &amp; Johl, S. </w:t>
            </w:r>
            <w:r>
              <w:rPr>
                <w:rFonts w:ascii="Times New Roman" w:hAnsi="Times New Roman" w:cs="Times New Roman"/>
                <w:b/>
                <w:bCs/>
                <w:sz w:val="24"/>
                <w:szCs w:val="24"/>
                <w:lang w:val="en-GB"/>
              </w:rPr>
              <w:t xml:space="preserve">(2019). </w:t>
            </w:r>
            <w:r w:rsidRPr="00C04635">
              <w:rPr>
                <w:rFonts w:ascii="Times New Roman" w:hAnsi="Times New Roman" w:cs="Times New Roman"/>
                <w:b/>
                <w:bCs/>
                <w:sz w:val="24"/>
                <w:szCs w:val="24"/>
                <w:lang w:val="en-GB"/>
              </w:rPr>
              <w:t xml:space="preserve">Remuneration committees and attribution disclosures on remuneration decisions: Australian evidence. </w:t>
            </w:r>
            <w:r w:rsidRPr="00C04635">
              <w:rPr>
                <w:rFonts w:ascii="Times New Roman" w:hAnsi="Times New Roman" w:cs="Times New Roman"/>
                <w:b/>
                <w:bCs/>
                <w:i/>
                <w:iCs/>
                <w:sz w:val="24"/>
                <w:szCs w:val="24"/>
                <w:lang w:val="en-GB"/>
              </w:rPr>
              <w:t>Journal of business ethics</w:t>
            </w:r>
            <w:r w:rsidRPr="00C04635">
              <w:rPr>
                <w:rFonts w:ascii="Times New Roman" w:hAnsi="Times New Roman" w:cs="Times New Roman"/>
                <w:b/>
                <w:bCs/>
                <w:sz w:val="24"/>
                <w:szCs w:val="24"/>
                <w:lang w:val="en-GB"/>
              </w:rPr>
              <w:t>, 158(4), 1063–1082</w:t>
            </w:r>
          </w:p>
          <w:p w14:paraId="202D9FD8" w14:textId="77777777" w:rsidR="007B6D22" w:rsidRPr="00C04635" w:rsidRDefault="007B6D22" w:rsidP="007B6D22">
            <w:pPr>
              <w:pStyle w:val="Prrafodelista"/>
              <w:numPr>
                <w:ilvl w:val="0"/>
                <w:numId w:val="3"/>
              </w:numPr>
              <w:spacing w:after="0" w:line="240" w:lineRule="auto"/>
              <w:jc w:val="both"/>
              <w:rPr>
                <w:rFonts w:ascii="Times New Roman" w:hAnsi="Times New Roman" w:cs="Times New Roman"/>
                <w:b/>
                <w:bCs/>
                <w:sz w:val="24"/>
                <w:szCs w:val="24"/>
                <w:lang w:val="en-GB"/>
              </w:rPr>
            </w:pPr>
            <w:r w:rsidRPr="00C04635">
              <w:rPr>
                <w:rFonts w:ascii="Times New Roman" w:hAnsi="Times New Roman" w:cs="Times New Roman"/>
                <w:b/>
                <w:bCs/>
                <w:sz w:val="24"/>
                <w:szCs w:val="24"/>
                <w:lang w:val="en-GB"/>
              </w:rPr>
              <w:t>Suttipun, M. (2021). The influence of board composition on environmental, social and governance (ESG) disclosure of Thai listed companies. International Journal of Disclosure and Governance, 1-12.</w:t>
            </w:r>
          </w:p>
          <w:p w14:paraId="1159E150" w14:textId="77777777" w:rsidR="007B6D22" w:rsidRDefault="007B6D22" w:rsidP="003F7DB4">
            <w:pPr>
              <w:jc w:val="both"/>
              <w:rPr>
                <w:rFonts w:ascii="Times New Roman" w:hAnsi="Times New Roman" w:cs="Times New Roman"/>
                <w:sz w:val="24"/>
                <w:szCs w:val="24"/>
                <w:lang w:val="en-GB"/>
              </w:rPr>
            </w:pPr>
          </w:p>
        </w:tc>
      </w:tr>
      <w:tr w:rsidR="007B6D22" w:rsidRPr="00A225E4" w14:paraId="7C435639" w14:textId="77777777" w:rsidTr="003F7DB4">
        <w:tc>
          <w:tcPr>
            <w:tcW w:w="8494" w:type="dxa"/>
          </w:tcPr>
          <w:p w14:paraId="7583A8D7"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t>Your empirical model needs to be reconsidered. Indeed, I believe you have some omitted control variables which may cause an endogeneity issue and drive your findings</w:t>
            </w:r>
            <w:r>
              <w:rPr>
                <w:rFonts w:ascii="Times New Roman" w:hAnsi="Times New Roman" w:cs="Times New Roman"/>
                <w:sz w:val="24"/>
                <w:szCs w:val="24"/>
                <w:lang w:val="en-GB"/>
              </w:rPr>
              <w:t xml:space="preserve">. </w:t>
            </w:r>
          </w:p>
          <w:p w14:paraId="56F125C8" w14:textId="77777777" w:rsidR="007B6D22" w:rsidRDefault="007B6D22" w:rsidP="003F7DB4">
            <w:pPr>
              <w:jc w:val="both"/>
              <w:rPr>
                <w:rFonts w:ascii="Times New Roman" w:hAnsi="Times New Roman" w:cs="Times New Roman"/>
                <w:sz w:val="24"/>
                <w:szCs w:val="24"/>
                <w:lang w:val="en-GB"/>
              </w:rPr>
            </w:pPr>
          </w:p>
        </w:tc>
      </w:tr>
      <w:tr w:rsidR="007B6D22" w14:paraId="41ACF710" w14:textId="77777777" w:rsidTr="003F7DB4">
        <w:tc>
          <w:tcPr>
            <w:tcW w:w="8494" w:type="dxa"/>
          </w:tcPr>
          <w:p w14:paraId="3E4FD07A" w14:textId="77777777" w:rsidR="007B6D22" w:rsidRPr="007947C7" w:rsidRDefault="007B6D22" w:rsidP="003F7DB4">
            <w:pPr>
              <w:pStyle w:val="NormalWeb"/>
              <w:jc w:val="both"/>
              <w:rPr>
                <w:b/>
                <w:bCs/>
                <w:color w:val="0A0A0A"/>
                <w:lang w:val="en-GB"/>
              </w:rPr>
            </w:pPr>
            <w:r w:rsidRPr="007947C7">
              <w:rPr>
                <w:b/>
                <w:bCs/>
                <w:color w:val="0A0A0A"/>
                <w:lang w:val="en-GB"/>
              </w:rPr>
              <w:t>Authors:</w:t>
            </w:r>
          </w:p>
          <w:p w14:paraId="16FDB742" w14:textId="77777777" w:rsidR="007B6D22" w:rsidRPr="00A225E4" w:rsidRDefault="007B6D22" w:rsidP="003F7DB4">
            <w:pPr>
              <w:pStyle w:val="NormalWeb"/>
              <w:jc w:val="both"/>
              <w:rPr>
                <w:b/>
                <w:bCs/>
                <w:color w:val="0A0A0A"/>
                <w:lang w:val="en-GB"/>
              </w:rPr>
            </w:pPr>
            <w:r w:rsidRPr="00A225E4">
              <w:rPr>
                <w:b/>
                <w:bCs/>
                <w:color w:val="0A0A0A"/>
                <w:lang w:val="en-GB"/>
              </w:rPr>
              <w:lastRenderedPageBreak/>
              <w:t xml:space="preserve">Thank you for your suggestion, we have </w:t>
            </w:r>
            <w:r>
              <w:rPr>
                <w:b/>
                <w:bCs/>
                <w:color w:val="0A0A0A"/>
                <w:lang w:val="en-GB"/>
              </w:rPr>
              <w:t>included</w:t>
            </w:r>
            <w:r w:rsidRPr="00A225E4">
              <w:rPr>
                <w:b/>
                <w:bCs/>
                <w:color w:val="0A0A0A"/>
                <w:lang w:val="en-GB"/>
              </w:rPr>
              <w:t xml:space="preserve"> </w:t>
            </w:r>
            <w:r>
              <w:rPr>
                <w:b/>
                <w:bCs/>
                <w:color w:val="0A0A0A"/>
                <w:lang w:val="en-GB"/>
              </w:rPr>
              <w:t xml:space="preserve">in the control variable paragraph more information </w:t>
            </w:r>
            <w:r w:rsidRPr="00A225E4">
              <w:rPr>
                <w:b/>
                <w:bCs/>
                <w:lang w:val="en-US"/>
              </w:rPr>
              <w:t>to provide justifications on why those control variables are considered in this study</w:t>
            </w:r>
            <w:r w:rsidRPr="00A225E4">
              <w:rPr>
                <w:b/>
                <w:bCs/>
                <w:color w:val="0A0A0A"/>
                <w:lang w:val="en-GB"/>
              </w:rPr>
              <w:t xml:space="preserve">. </w:t>
            </w:r>
            <w:r>
              <w:rPr>
                <w:b/>
                <w:bCs/>
                <w:color w:val="0A0A0A"/>
                <w:lang w:val="en-GB"/>
              </w:rPr>
              <w:t>In this sense, we have used the control variables in line with previous research to avoid biased results. We have introduced the following references:</w:t>
            </w:r>
          </w:p>
          <w:p w14:paraId="1E6C17C6"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Ali, W., Frynas, J., &amp; Mahmood, Z. (2017). Determinants of corporate social</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responsibility (CSR) disclosure in developed and developing countries: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A literature review.</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Social Responsibility and Environmental Management,</w:t>
            </w:r>
            <w:r w:rsidRPr="00A225E4">
              <w:rPr>
                <w:rFonts w:ascii="Times New Roman" w:eastAsia="Times New Roman" w:hAnsi="Times New Roman" w:cs="Times New Roman"/>
                <w:b/>
                <w:bCs/>
                <w:lang w:val="en-US" w:eastAsia="es-ES_tradnl"/>
              </w:rPr>
              <w:t>24, 273–294</w:t>
            </w:r>
          </w:p>
          <w:p w14:paraId="33D8D4A2" w14:textId="77777777" w:rsidR="007B6D22" w:rsidRPr="00A225E4" w:rsidRDefault="007B6D22" w:rsidP="003F7DB4">
            <w:pPr>
              <w:jc w:val="both"/>
              <w:rPr>
                <w:rFonts w:ascii="Times New Roman" w:eastAsia="Times New Roman" w:hAnsi="Times New Roman" w:cs="Times New Roman"/>
                <w:b/>
                <w:bCs/>
                <w:lang w:val="en-US" w:eastAsia="es-ES_tradnl"/>
              </w:rPr>
            </w:pPr>
          </w:p>
          <w:p w14:paraId="20620C31"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Barako, D., &amp; Brown, A. (2008). Corporate social reporting and board rep-resentation: Evidence from the Kenyan banking sector.</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Management and Governance</w:t>
            </w:r>
            <w:r w:rsidRPr="00A225E4">
              <w:rPr>
                <w:rFonts w:ascii="Times New Roman" w:eastAsia="Times New Roman" w:hAnsi="Times New Roman" w:cs="Times New Roman"/>
                <w:b/>
                <w:bCs/>
                <w:lang w:val="en-US" w:eastAsia="es-ES_tradnl"/>
              </w:rPr>
              <w:t>,12, 309–324</w:t>
            </w:r>
          </w:p>
          <w:p w14:paraId="6C7A7643" w14:textId="77777777" w:rsidR="007B6D22" w:rsidRPr="00A225E4" w:rsidRDefault="007B6D22" w:rsidP="003F7DB4">
            <w:pPr>
              <w:jc w:val="both"/>
              <w:rPr>
                <w:rFonts w:ascii="Times New Roman" w:eastAsia="Times New Roman" w:hAnsi="Times New Roman" w:cs="Times New Roman"/>
                <w:b/>
                <w:bCs/>
                <w:lang w:val="en-US" w:eastAsia="es-ES_tradnl"/>
              </w:rPr>
            </w:pPr>
          </w:p>
          <w:p w14:paraId="3117C69A"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Brammer, S., Millington, A., &amp; Pavelin, S. (2007). Gender and ethnic diversity among UK corporate boards.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Governance:  An</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International Review</w:t>
            </w:r>
            <w:r w:rsidRPr="00A225E4">
              <w:rPr>
                <w:rFonts w:ascii="Times New Roman" w:eastAsia="Times New Roman" w:hAnsi="Times New Roman" w:cs="Times New Roman"/>
                <w:b/>
                <w:bCs/>
                <w:lang w:val="en-US" w:eastAsia="es-ES_tradnl"/>
              </w:rPr>
              <w:t>,15(2), 393–403</w:t>
            </w:r>
          </w:p>
          <w:p w14:paraId="782AC8E6" w14:textId="77777777" w:rsidR="007B6D22" w:rsidRPr="00A225E4" w:rsidRDefault="007B6D22" w:rsidP="003F7DB4">
            <w:pPr>
              <w:pStyle w:val="MDPI31text"/>
              <w:ind w:left="0" w:firstLine="0"/>
              <w:rPr>
                <w:rFonts w:ascii="Times New Roman" w:hAnsi="Times New Roman"/>
                <w:b/>
                <w:bCs/>
                <w:sz w:val="22"/>
              </w:rPr>
            </w:pPr>
          </w:p>
          <w:p w14:paraId="1C6A2049"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Chau, G., &amp; Gray, S. (2010). Family ownership, board independence and</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voluntary disclosure: Evidence from Hong Kong.</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International</w:t>
            </w:r>
            <w:r>
              <w:rPr>
                <w:rFonts w:ascii="Times New Roman" w:eastAsia="Times New Roman" w:hAnsi="Times New Roman" w:cs="Times New Roman"/>
                <w:b/>
                <w:bCs/>
                <w:i/>
                <w:iCs/>
                <w:lang w:val="en-US" w:eastAsia="es-ES_tradnl"/>
              </w:rPr>
              <w:t xml:space="preserve"> </w:t>
            </w:r>
            <w:r w:rsidRPr="00A225E4">
              <w:rPr>
                <w:rFonts w:ascii="Times New Roman" w:eastAsia="Times New Roman" w:hAnsi="Times New Roman" w:cs="Times New Roman"/>
                <w:b/>
                <w:bCs/>
                <w:i/>
                <w:iCs/>
                <w:lang w:val="en-US" w:eastAsia="es-ES_tradnl"/>
              </w:rPr>
              <w:t>Accounting, Auditing and Taxation</w:t>
            </w:r>
            <w:r w:rsidRPr="00A225E4">
              <w:rPr>
                <w:rFonts w:ascii="Times New Roman" w:eastAsia="Times New Roman" w:hAnsi="Times New Roman" w:cs="Times New Roman"/>
                <w:b/>
                <w:bCs/>
                <w:lang w:val="en-US" w:eastAsia="es-ES_tradnl"/>
              </w:rPr>
              <w:t>,19(2), 93–109</w:t>
            </w:r>
          </w:p>
          <w:p w14:paraId="2E654665" w14:textId="77777777" w:rsidR="007B6D22" w:rsidRPr="00A225E4" w:rsidRDefault="007B6D22" w:rsidP="003F7DB4">
            <w:pPr>
              <w:jc w:val="both"/>
              <w:rPr>
                <w:rFonts w:ascii="Times New Roman" w:eastAsia="Times New Roman" w:hAnsi="Times New Roman" w:cs="Times New Roman"/>
                <w:b/>
                <w:bCs/>
                <w:lang w:val="en-US" w:eastAsia="es-ES_tradnl"/>
              </w:rPr>
            </w:pPr>
          </w:p>
          <w:p w14:paraId="7E4A5B2B"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Donnelly, R., &amp; Mulcahy, M. (2008). Board structure, ownership, and voluntary disclosure in Ireland.</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Corporate Governance: An International Review</w:t>
            </w:r>
            <w:r w:rsidRPr="00A225E4">
              <w:rPr>
                <w:rFonts w:ascii="Times New Roman" w:eastAsia="Times New Roman" w:hAnsi="Times New Roman" w:cs="Times New Roman"/>
                <w:b/>
                <w:bCs/>
                <w:lang w:val="en-US" w:eastAsia="es-ES_tradnl"/>
              </w:rPr>
              <w:t>,16(5), 416–429</w:t>
            </w:r>
          </w:p>
          <w:p w14:paraId="05986F98" w14:textId="77777777" w:rsidR="007B6D22" w:rsidRPr="00A225E4" w:rsidRDefault="007B6D22" w:rsidP="003F7DB4">
            <w:pPr>
              <w:jc w:val="both"/>
              <w:rPr>
                <w:rFonts w:ascii="Times New Roman" w:eastAsia="Times New Roman" w:hAnsi="Times New Roman" w:cs="Times New Roman"/>
                <w:b/>
                <w:bCs/>
                <w:lang w:val="en-US" w:eastAsia="es-ES_tradnl"/>
              </w:rPr>
            </w:pPr>
          </w:p>
          <w:p w14:paraId="43FDCE25"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Jizi, M., Salama, A., Dixon, R., &amp; Stratling, R. (2014). Corporate governance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and corporate social responsibility disclosure: Evidence from the US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banking sector.</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Business Ethics</w:t>
            </w:r>
            <w:r w:rsidRPr="00A225E4">
              <w:rPr>
                <w:rFonts w:ascii="Times New Roman" w:eastAsia="Times New Roman" w:hAnsi="Times New Roman" w:cs="Times New Roman"/>
                <w:b/>
                <w:bCs/>
                <w:lang w:val="en-US" w:eastAsia="es-ES_tradnl"/>
              </w:rPr>
              <w:t>,125(4), 601–615</w:t>
            </w:r>
          </w:p>
          <w:p w14:paraId="7ADA368F" w14:textId="77777777" w:rsidR="007B6D22" w:rsidRPr="00BE7541" w:rsidRDefault="007B6D22" w:rsidP="003F7DB4">
            <w:pPr>
              <w:jc w:val="both"/>
              <w:rPr>
                <w:rFonts w:ascii="Times New Roman" w:eastAsia="Times New Roman" w:hAnsi="Times New Roman" w:cs="Times New Roman"/>
                <w:b/>
                <w:bCs/>
                <w:lang w:val="en-US" w:eastAsia="es-ES_tradnl"/>
              </w:rPr>
            </w:pPr>
          </w:p>
          <w:p w14:paraId="206BF2FA"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Haniffa, R., &amp; Cooke, T. (2005). The impact of culture and governance on</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corporate social reporting.</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Accounting and Public Policy</w:t>
            </w:r>
            <w:r w:rsidRPr="00A225E4">
              <w:rPr>
                <w:rFonts w:ascii="Times New Roman" w:eastAsia="Times New Roman" w:hAnsi="Times New Roman" w:cs="Times New Roman"/>
                <w:b/>
                <w:bCs/>
                <w:lang w:val="en-US" w:eastAsia="es-ES_tradnl"/>
              </w:rPr>
              <w:t>,2</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4(5), 391–430</w:t>
            </w:r>
          </w:p>
          <w:p w14:paraId="6855315E" w14:textId="77777777" w:rsidR="007B6D22" w:rsidRPr="00A225E4" w:rsidRDefault="007B6D22" w:rsidP="003F7DB4">
            <w:pPr>
              <w:jc w:val="both"/>
              <w:rPr>
                <w:rFonts w:ascii="Times New Roman" w:eastAsia="Times New Roman" w:hAnsi="Times New Roman" w:cs="Times New Roman"/>
                <w:b/>
                <w:bCs/>
                <w:lang w:val="en-US" w:eastAsia="es-ES_tradnl"/>
              </w:rPr>
            </w:pPr>
          </w:p>
          <w:p w14:paraId="2753C71B"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eastAsia="es-ES_tradnl"/>
              </w:rPr>
              <w:t xml:space="preserve">Liao, L., Luo, L., &amp; Tang, Q. (2015). </w:t>
            </w:r>
            <w:r w:rsidRPr="00A225E4">
              <w:rPr>
                <w:rFonts w:ascii="Times New Roman" w:eastAsia="Times New Roman" w:hAnsi="Times New Roman" w:cs="Times New Roman"/>
                <w:b/>
                <w:bCs/>
                <w:lang w:val="en-US" w:eastAsia="es-ES_tradnl"/>
              </w:rPr>
              <w:t>Gender diversity, board independence,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environmental committee, and greenhouse gas disclosure.</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The British Accounting   Review</w:t>
            </w:r>
            <w:r w:rsidRPr="00A225E4">
              <w:rPr>
                <w:rFonts w:ascii="Times New Roman" w:eastAsia="Times New Roman" w:hAnsi="Times New Roman" w:cs="Times New Roman"/>
                <w:b/>
                <w:bCs/>
                <w:lang w:val="en-US" w:eastAsia="es-ES_tradnl"/>
              </w:rPr>
              <w:t>,</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47, 409–424</w:t>
            </w:r>
          </w:p>
          <w:p w14:paraId="540A161F" w14:textId="77777777" w:rsidR="007B6D22" w:rsidRPr="00A225E4" w:rsidRDefault="007B6D22" w:rsidP="003F7DB4">
            <w:pPr>
              <w:jc w:val="both"/>
              <w:rPr>
                <w:rFonts w:ascii="Times New Roman" w:eastAsia="Times New Roman" w:hAnsi="Times New Roman" w:cs="Times New Roman"/>
                <w:b/>
                <w:bCs/>
                <w:lang w:val="en-US" w:eastAsia="es-ES_tradnl"/>
              </w:rPr>
            </w:pPr>
          </w:p>
          <w:p w14:paraId="21FF8FC3" w14:textId="77777777" w:rsidR="007B6D22" w:rsidRPr="00A225E4" w:rsidRDefault="007B6D22" w:rsidP="007B6D22">
            <w:pPr>
              <w:pStyle w:val="Prrafodelista"/>
              <w:numPr>
                <w:ilvl w:val="0"/>
                <w:numId w:val="1"/>
              </w:numPr>
              <w:spacing w:after="0" w:line="240" w:lineRule="auto"/>
              <w:jc w:val="both"/>
              <w:rPr>
                <w:rFonts w:ascii="Times New Roman" w:eastAsia="Times New Roman" w:hAnsi="Times New Roman" w:cs="Times New Roman"/>
                <w:b/>
                <w:bCs/>
                <w:lang w:val="en-US" w:eastAsia="es-ES_tradnl"/>
              </w:rPr>
            </w:pPr>
            <w:r w:rsidRPr="00A225E4">
              <w:rPr>
                <w:rFonts w:ascii="Times New Roman" w:eastAsia="Times New Roman" w:hAnsi="Times New Roman" w:cs="Times New Roman"/>
                <w:b/>
                <w:bCs/>
                <w:lang w:val="en-US" w:eastAsia="es-ES_tradnl"/>
              </w:rPr>
              <w:t>Reverte, C. (2009). Determinants of corporate social responsibility disclosure ratings by Spanish listed firms.</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i/>
                <w:iCs/>
                <w:lang w:val="en-US" w:eastAsia="es-ES_tradnl"/>
              </w:rPr>
              <w:t>Journal of Business Ethics</w:t>
            </w:r>
            <w:r w:rsidRPr="00A225E4">
              <w:rPr>
                <w:rFonts w:ascii="Times New Roman" w:eastAsia="Times New Roman" w:hAnsi="Times New Roman" w:cs="Times New Roman"/>
                <w:b/>
                <w:bCs/>
                <w:lang w:val="en-US" w:eastAsia="es-ES_tradnl"/>
              </w:rPr>
              <w:t>,8</w:t>
            </w:r>
            <w:r>
              <w:rPr>
                <w:rFonts w:ascii="Times New Roman" w:eastAsia="Times New Roman" w:hAnsi="Times New Roman" w:cs="Times New Roman"/>
                <w:b/>
                <w:bCs/>
                <w:lang w:val="en-US" w:eastAsia="es-ES_tradnl"/>
              </w:rPr>
              <w:t xml:space="preserve"> </w:t>
            </w:r>
            <w:r w:rsidRPr="00A225E4">
              <w:rPr>
                <w:rFonts w:ascii="Times New Roman" w:eastAsia="Times New Roman" w:hAnsi="Times New Roman" w:cs="Times New Roman"/>
                <w:b/>
                <w:bCs/>
                <w:lang w:val="en-US" w:eastAsia="es-ES_tradnl"/>
              </w:rPr>
              <w:t>8,351–366</w:t>
            </w:r>
          </w:p>
          <w:p w14:paraId="643ADFEA" w14:textId="77777777" w:rsidR="007B6D22" w:rsidRDefault="007B6D22" w:rsidP="003F7DB4">
            <w:pPr>
              <w:jc w:val="both"/>
              <w:rPr>
                <w:rFonts w:ascii="Times New Roman" w:hAnsi="Times New Roman" w:cs="Times New Roman"/>
                <w:sz w:val="24"/>
                <w:szCs w:val="24"/>
                <w:lang w:val="en-GB"/>
              </w:rPr>
            </w:pPr>
          </w:p>
        </w:tc>
      </w:tr>
      <w:tr w:rsidR="007B6D22" w:rsidRPr="00A225E4" w14:paraId="03E4F1C8" w14:textId="77777777" w:rsidTr="003F7DB4">
        <w:tc>
          <w:tcPr>
            <w:tcW w:w="8494" w:type="dxa"/>
          </w:tcPr>
          <w:p w14:paraId="238EFF99"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lastRenderedPageBreak/>
              <w:t>The paper lacks of robustness checks</w:t>
            </w:r>
          </w:p>
          <w:p w14:paraId="3FF061CE" w14:textId="77777777" w:rsidR="007B6D22" w:rsidRDefault="007B6D22" w:rsidP="003F7DB4">
            <w:pPr>
              <w:jc w:val="both"/>
              <w:rPr>
                <w:rFonts w:ascii="Times New Roman" w:hAnsi="Times New Roman" w:cs="Times New Roman"/>
                <w:sz w:val="24"/>
                <w:szCs w:val="24"/>
                <w:lang w:val="en-GB"/>
              </w:rPr>
            </w:pPr>
          </w:p>
        </w:tc>
      </w:tr>
      <w:tr w:rsidR="007B6D22" w:rsidRPr="007B6D22" w14:paraId="588DC840" w14:textId="77777777" w:rsidTr="003F7DB4">
        <w:tc>
          <w:tcPr>
            <w:tcW w:w="8494" w:type="dxa"/>
          </w:tcPr>
          <w:p w14:paraId="011C4640" w14:textId="77777777" w:rsidR="007B6D22" w:rsidRDefault="007B6D22" w:rsidP="003F7DB4">
            <w:pPr>
              <w:pStyle w:val="NormalWeb"/>
              <w:jc w:val="both"/>
              <w:rPr>
                <w:color w:val="0A0A0A"/>
                <w:lang w:val="en-GB"/>
              </w:rPr>
            </w:pPr>
            <w:r>
              <w:rPr>
                <w:color w:val="0A0A0A"/>
                <w:lang w:val="en-GB"/>
              </w:rPr>
              <w:t>Authors:</w:t>
            </w:r>
          </w:p>
          <w:p w14:paraId="34BFA864" w14:textId="77777777" w:rsidR="007B6D22" w:rsidRDefault="007B6D22" w:rsidP="003F7DB4">
            <w:pPr>
              <w:jc w:val="both"/>
              <w:rPr>
                <w:rFonts w:ascii="Times New Roman" w:hAnsi="Times New Roman" w:cs="Times New Roman"/>
                <w:b/>
                <w:bCs/>
                <w:sz w:val="24"/>
                <w:szCs w:val="24"/>
                <w:lang w:val="en-GB"/>
              </w:rPr>
            </w:pPr>
            <w:r w:rsidRPr="00860ED8">
              <w:rPr>
                <w:rFonts w:ascii="Times New Roman" w:hAnsi="Times New Roman" w:cs="Times New Roman"/>
                <w:b/>
                <w:bCs/>
                <w:sz w:val="24"/>
                <w:szCs w:val="24"/>
                <w:lang w:val="en-GB"/>
              </w:rPr>
              <w:lastRenderedPageBreak/>
              <w:t>Thank you for this suggestion. In our modest opinion, this paper presents the exhaustive revision and calculation.</w:t>
            </w:r>
          </w:p>
          <w:p w14:paraId="37ABE570" w14:textId="77777777" w:rsidR="007B6D22" w:rsidRPr="00860ED8" w:rsidRDefault="007B6D22" w:rsidP="003F7DB4">
            <w:pPr>
              <w:jc w:val="both"/>
              <w:rPr>
                <w:rFonts w:ascii="Times New Roman" w:hAnsi="Times New Roman" w:cs="Times New Roman"/>
                <w:b/>
                <w:bCs/>
                <w:sz w:val="24"/>
                <w:szCs w:val="24"/>
                <w:lang w:val="en-GB"/>
              </w:rPr>
            </w:pPr>
          </w:p>
        </w:tc>
      </w:tr>
      <w:tr w:rsidR="007B6D22" w:rsidRPr="00A225E4" w14:paraId="113EE3AB" w14:textId="77777777" w:rsidTr="003F7DB4">
        <w:tc>
          <w:tcPr>
            <w:tcW w:w="8494" w:type="dxa"/>
          </w:tcPr>
          <w:p w14:paraId="52481737" w14:textId="77777777" w:rsidR="007B6D22" w:rsidRPr="00193CCD" w:rsidRDefault="007B6D22" w:rsidP="003F7DB4">
            <w:pPr>
              <w:jc w:val="both"/>
              <w:rPr>
                <w:rFonts w:ascii="Times New Roman" w:hAnsi="Times New Roman" w:cs="Times New Roman"/>
                <w:sz w:val="24"/>
                <w:szCs w:val="24"/>
                <w:lang w:val="en-GB"/>
              </w:rPr>
            </w:pPr>
            <w:r w:rsidRPr="00193CCD">
              <w:rPr>
                <w:rFonts w:ascii="Times New Roman" w:hAnsi="Times New Roman" w:cs="Times New Roman"/>
                <w:sz w:val="24"/>
                <w:szCs w:val="24"/>
                <w:lang w:val="en-GB"/>
              </w:rPr>
              <w:lastRenderedPageBreak/>
              <w:t>The conclusion needs to be rewritten to highlight the practical contributions of the paper</w:t>
            </w:r>
          </w:p>
          <w:p w14:paraId="32AF7C43" w14:textId="77777777" w:rsidR="007B6D22" w:rsidRDefault="007B6D22" w:rsidP="003F7DB4">
            <w:pPr>
              <w:jc w:val="both"/>
              <w:rPr>
                <w:rFonts w:ascii="Times New Roman" w:hAnsi="Times New Roman" w:cs="Times New Roman"/>
                <w:sz w:val="24"/>
                <w:szCs w:val="24"/>
                <w:lang w:val="en-GB"/>
              </w:rPr>
            </w:pPr>
          </w:p>
        </w:tc>
      </w:tr>
      <w:tr w:rsidR="007B6D22" w:rsidRPr="00F742FC" w14:paraId="212C67B5" w14:textId="77777777" w:rsidTr="003F7DB4">
        <w:tc>
          <w:tcPr>
            <w:tcW w:w="8494" w:type="dxa"/>
          </w:tcPr>
          <w:p w14:paraId="34B0DBFB" w14:textId="77777777" w:rsidR="007B6D22" w:rsidRDefault="007B6D22" w:rsidP="003F7DB4">
            <w:pPr>
              <w:pStyle w:val="NormalWeb"/>
              <w:jc w:val="both"/>
              <w:rPr>
                <w:color w:val="0A0A0A"/>
                <w:lang w:val="en-GB"/>
              </w:rPr>
            </w:pPr>
            <w:r>
              <w:rPr>
                <w:color w:val="0A0A0A"/>
                <w:lang w:val="en-GB"/>
              </w:rPr>
              <w:t>Authors:</w:t>
            </w:r>
          </w:p>
          <w:p w14:paraId="7FF4033F" w14:textId="77777777" w:rsidR="007B6D22" w:rsidRPr="00F742FC" w:rsidRDefault="007B6D22" w:rsidP="003F7DB4">
            <w:pPr>
              <w:rPr>
                <w:rFonts w:ascii="Times New Roman" w:hAnsi="Times New Roman" w:cs="Times New Roman"/>
                <w:b/>
                <w:bCs/>
                <w:sz w:val="24"/>
                <w:szCs w:val="24"/>
                <w:lang w:val="en-US"/>
              </w:rPr>
            </w:pPr>
            <w:r w:rsidRPr="00F742FC">
              <w:rPr>
                <w:rFonts w:ascii="Times New Roman" w:hAnsi="Times New Roman" w:cs="Times New Roman"/>
                <w:b/>
                <w:bCs/>
                <w:sz w:val="24"/>
                <w:szCs w:val="24"/>
                <w:lang w:val="en-US"/>
              </w:rPr>
              <w:t>Thank you. In the implications paragraph located in the conclusions section, we have added a short text to assess the practical implications.</w:t>
            </w:r>
          </w:p>
          <w:p w14:paraId="4F2D8AA3" w14:textId="77777777" w:rsidR="007B6D22" w:rsidRPr="00F742FC" w:rsidRDefault="007B6D22" w:rsidP="003F7DB4">
            <w:pPr>
              <w:rPr>
                <w:rFonts w:ascii="Times New Roman" w:hAnsi="Times New Roman" w:cs="Times New Roman"/>
                <w:sz w:val="24"/>
                <w:szCs w:val="24"/>
                <w:lang w:val="en-US"/>
              </w:rPr>
            </w:pPr>
          </w:p>
        </w:tc>
      </w:tr>
    </w:tbl>
    <w:p w14:paraId="3F935216" w14:textId="77777777" w:rsidR="007B6D22" w:rsidRPr="00193CCD" w:rsidRDefault="007B6D22" w:rsidP="007B6D22">
      <w:pPr>
        <w:rPr>
          <w:rFonts w:ascii="Times New Roman" w:hAnsi="Times New Roman" w:cs="Times New Roman"/>
          <w:sz w:val="24"/>
          <w:szCs w:val="24"/>
          <w:lang w:val="en-GB"/>
        </w:rPr>
      </w:pPr>
    </w:p>
    <w:p w14:paraId="11C0ECD6" w14:textId="77777777" w:rsidR="007B6D22" w:rsidRDefault="007B6D22" w:rsidP="007B6D22">
      <w:pPr>
        <w:rPr>
          <w:rFonts w:ascii="Times New Roman" w:hAnsi="Times New Roman" w:cs="Times New Roman"/>
          <w:sz w:val="24"/>
          <w:szCs w:val="24"/>
          <w:lang w:val="en-GB"/>
        </w:rPr>
      </w:pPr>
      <w:r>
        <w:rPr>
          <w:rFonts w:ascii="Times New Roman" w:hAnsi="Times New Roman" w:cs="Times New Roman"/>
          <w:sz w:val="24"/>
          <w:szCs w:val="24"/>
          <w:lang w:val="en-GB"/>
        </w:rPr>
        <w:t>Having addressed all your proposals for change and improvement, we await your decision in the best interests of Sustainability.</w:t>
      </w:r>
    </w:p>
    <w:p w14:paraId="314A953A" w14:textId="77777777" w:rsidR="007B6D22" w:rsidRDefault="007B6D22" w:rsidP="007B6D22">
      <w:pPr>
        <w:rPr>
          <w:rFonts w:ascii="Times New Roman" w:hAnsi="Times New Roman" w:cs="Times New Roman"/>
          <w:sz w:val="24"/>
          <w:szCs w:val="24"/>
          <w:lang w:val="en-GB"/>
        </w:rPr>
      </w:pPr>
      <w:r>
        <w:rPr>
          <w:rFonts w:ascii="Times New Roman" w:hAnsi="Times New Roman" w:cs="Times New Roman"/>
          <w:sz w:val="24"/>
          <w:szCs w:val="24"/>
          <w:lang w:val="en-GB"/>
        </w:rPr>
        <w:t>Best regards,</w:t>
      </w:r>
    </w:p>
    <w:p w14:paraId="154B907D" w14:textId="77777777" w:rsidR="007B6D22" w:rsidRPr="00193CCD" w:rsidRDefault="007B6D22" w:rsidP="007B6D22">
      <w:pPr>
        <w:ind w:firstLine="708"/>
        <w:rPr>
          <w:rFonts w:ascii="Times New Roman" w:hAnsi="Times New Roman" w:cs="Times New Roman"/>
          <w:sz w:val="24"/>
          <w:szCs w:val="24"/>
          <w:lang w:val="en-GB"/>
        </w:rPr>
      </w:pPr>
      <w:r>
        <w:rPr>
          <w:rFonts w:ascii="Times New Roman" w:hAnsi="Times New Roman" w:cs="Times New Roman"/>
          <w:sz w:val="24"/>
          <w:szCs w:val="24"/>
          <w:lang w:val="en-GB"/>
        </w:rPr>
        <w:t>The authors</w:t>
      </w:r>
    </w:p>
    <w:p w14:paraId="0B07D88B" w14:textId="77777777" w:rsidR="007B6D22" w:rsidRDefault="007B6D22"/>
    <w:sectPr w:rsidR="007B6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E6EF0"/>
    <w:multiLevelType w:val="hybridMultilevel"/>
    <w:tmpl w:val="6C267A00"/>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CB03D4B"/>
    <w:multiLevelType w:val="hybridMultilevel"/>
    <w:tmpl w:val="5BF6483E"/>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EE27E72"/>
    <w:multiLevelType w:val="hybridMultilevel"/>
    <w:tmpl w:val="56BA78B0"/>
    <w:lvl w:ilvl="0" w:tplc="50BA5D7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22"/>
    <w:rsid w:val="007B6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BE846AF"/>
  <w15:chartTrackingRefBased/>
  <w15:docId w15:val="{4547AD9F-37B4-1C40-9189-1DEB1878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22"/>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6D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B6D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7B6D2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styleId="Prrafodelista">
    <w:name w:val="List Paragraph"/>
    <w:basedOn w:val="Normal"/>
    <w:uiPriority w:val="34"/>
    <w:qFormat/>
    <w:rsid w:val="007B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5998</Characters>
  <Application>Microsoft Office Word</Application>
  <DocSecurity>0</DocSecurity>
  <Lines>75</Lines>
  <Paragraphs>45</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Bel Oms</dc:creator>
  <cp:keywords/>
  <dc:description/>
  <cp:lastModifiedBy>Inmaculada Bel Oms</cp:lastModifiedBy>
  <cp:revision>1</cp:revision>
  <dcterms:created xsi:type="dcterms:W3CDTF">2021-12-23T22:26:00Z</dcterms:created>
  <dcterms:modified xsi:type="dcterms:W3CDTF">2021-12-23T22:27:00Z</dcterms:modified>
</cp:coreProperties>
</file>