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0"/>
          <w:szCs w:val="8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3561"/>
          <w:sz w:val="64"/>
          <w:szCs w:val="64"/>
        </w:rPr>
        <w:t xml:space="preserve">GD LogInsight</w:t>
      </w:r>
    </w:p>
    <w:p>
      <w:pPr>
        <w:jc w:val="center"/>
      </w:pPr>
      <w:r>
        <w:rPr>
          <w:rFonts w:ascii="Arial" w:cs="Arial" w:eastAsia="Arial" w:hAnsi="Arial"/>
          <w:color w:val="0077A8"/>
          <w:sz w:val="42"/>
          <w:szCs w:val="42"/>
        </w:rPr>
        <w:t xml:space="preserve">Auditoria Arquitetural Completa</w:t>
      </w:r>
    </w:p>
    <w:p>
      <w:pPr>
        <w:jc w:val="center"/>
      </w:pPr>
      <w:r>
        <w:rPr>
          <w:color w:val="666666"/>
          <w:sz w:val="28"/>
          <w:szCs w:val="28"/>
        </w:rPr>
        <w:t xml:space="preserve">GD Frete Diagnóstico v2.0.0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color w:val="999999"/>
          <w:sz w:val="22"/>
          <w:szCs w:val="22"/>
        </w:rPr>
        <w:t xml:space="preserve">Junho 2026 | GD Conecta | Confidencial</w:t>
      </w:r>
    </w:p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1. Relatório Executivo</w:t>
      </w:r>
    </w:p>
    <w:p>
      <w:pPr>
        <w:spacing w:after="100"/>
      </w:pPr>
      <w:r>
        <w:t xml:space="preserve">O GD Frete Diagnóstico está em boa forma para o estágio em que se encontra. A Clean Architecture foi aplicada corretamente, o código é legível e testável, e a plataforma está pronta para rodar em produção com PostgreSQL e Docker.</w:t>
      </w:r>
    </w:p>
    <w:p>
      <w:pPr>
        <w:spacing w:after="120"/>
      </w:pPr>
      <w:r>
        <w:t xml:space="preserve"/>
      </w:r>
    </w:p>
    <w:p>
      <w:pPr>
        <w:spacing w:after="100"/>
      </w:pPr>
      <w:r>
        <w:t xml:space="preserve">O problema central não é o código que existe, mas o que falta: ausência de rate limiting, CNPJ sem validação real, Swagger aberto em produção, JWT no localStorage, XML sem proteção contra ataques e nenhuma preparação para IA ou benchmark coletivo.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 w:val="false"/>
          <w:bCs w:val="false"/>
        </w:rPr>
        <w:t xml:space="preserve">A plataforma está bem posicionada para V3 (BID de Frete) com ajustes de isolamento de dados. Para V4+ (IA, Benchmark Coletivo), precisará de mudanças arquiteturais mais profundas.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Notas por Dimensão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28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Avaliação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Arquitetura Geral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76 /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</w:rPr>
              <w:t xml:space="preserve">Bom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Segurança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54 /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Crítico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58 /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F6000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Multi-empresa (Isolamento)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61 /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F6000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Manutenibilidade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82 /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</w:rPr>
              <w:t xml:space="preserve">Bom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Readiness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72 /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F6000"/>
              </w:rPr>
              <w:t xml:space="preserve">Regular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Prontidão para IA (V4)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28 /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Crítico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Escalabilidade (V3+)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55 /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F6000"/>
              </w:rPr>
              <w:t xml:space="preserve">Regular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2. Matriz de Riscos</w:t>
      </w:r>
    </w:p>
    <w:p>
      <w:pPr>
        <w:spacing w:after="100"/>
      </w:pPr>
      <w:r>
        <w:t xml:space="preserve">Problemas ordenados por score de risco (Probabilidade × Impacto). Itens P0 exigem ação imediata.</w:t>
      </w:r>
    </w:p>
    <w:p>
      <w:pPr>
        <w:spacing w:after="12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000"/>
        <w:gridCol w:w="1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 via XML Bomb (sem defusedxml)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Brute force no login (sem rate limit)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Upload sem limite derruba servidor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falha em escala (50k+ CT-es)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acessa empresa alheia (SaaS)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Transportadoras globais (vazamento)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Swagger exposto em produção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JWT no localStorage (XSS)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Relatórios síncronos bloqueando servidor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caching (performance)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testes de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Arquivos monolíticos (manutenção V3+)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3. Problemas por Categoria</w:t>
      </w:r>
    </w:p>
    <w:p>
      <w:pPr>
        <w:pStyle w:val="Heading2"/>
      </w:pPr>
      <w:r>
        <w:rPr>
          <w:b/>
          <w:bCs/>
          <w:color w:val="0077A8"/>
        </w:rPr>
        <w:t xml:space="preserve">3.1 Segurança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 / Linha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xml.etree.ElementTree sem defusedxml — vulnerável a XML Bomb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cte_parser.py:11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Upload de arquivos sem limite de tamanho (DoS)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importacao.py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rate limiting no POST 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main.py / auth.py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JWT armazenado no localStorage (XSS)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Média-Alta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client.js:9-11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Swagger/Redoc aberto em produção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main.py:147-149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CORS allow_methods=["*"] (TRACE habilitado)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main.py:158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CNPJ sem validação do dígito verificador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schemas/__init__.py:50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refresh token / revogação de sessão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security.py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S-09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Autorização por empresa ausente (qualquer user acessa qualquer empresa_id)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 (SaaS)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dependencies.py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3.2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P-21 (Crítica): DiagnosticoUseCase carrega TODOS os CT-es em memória — catastrófico em escala. Solução: aggregação SQL com GROUP BY.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P-22 (Média): bulk_create usa loop individual de db.add() — lento para lotes grandes.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P-23 (Média): Índice composto (empresa_id, data_emissao) ausente na tabela ctes.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P-24 (Média): Relatórios PDF/Excel síncronos bloqueiam o worker HTTP.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P-25 (Média): Sem caching — todo dashboard recalcula do zero a cada request.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3.3 Arquitetura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P-01 (Alta): BenchmarkUseCase acessa métodos privados (_indicador_nacional, _indicadores_regionais) de DiagnosticoUseCase — viola encapsulamento.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P-02 (Média): DiagnosticoUseCase instanciado manualmente em 3 routers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P-03 (Baixa): Lógica de seed misturada em main.py.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P-04 (Média): Repositórios, DTOs e schemas em arquivos __init__.py monolíticos (472, 178, 340 linhas).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3.4 Multi-empresa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P-15 (Alta): Transportadoras são globais — dados de um cliente visíveis para outro.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P-26 (Alta): Metas e benchmarks globais — uma única configuração para todos os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P-27 (Alta): Users sem empresa_id — qualquer usuário pode acessar qualquer empresa_id na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P-28 (Média): Chave sintética Excel pode colidir entre empresas diferentes.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3.5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P-16 (Alta): JWT no localStorage — vulnerável a XSS.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P-17 (Alta): Ausência de ErrorBoundary — crash causa tela em branco sem mensagem.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P-18 (Baixa): Bloco de filtros de período duplicado em 5 páginas de benchmark.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P-19 (Alta): Zero testes unitários no frontend.</w:t>
      </w:r>
    </w:p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4. Capacidade de Suportar o Roadmap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Prontidão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favorece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561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bloqueia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V3 — BID de Frete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Modelo Empresa/Transportadora existe; Clean Architecture permite extensão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Transportadoras globais; sem isolamento por empresa; sem WebSockets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V4 —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Dados históricos de CT-es com timestamps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async (Celery/Redis); sem ML pipeline; FastAPI síncrono bloqueia inferência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V5 — Benchmark Coletivo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Conceito de benchmark existe (manual)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anonimização; sem consentimento LGPD; sem data warehouse; sem ETL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V6 — Inteligência de Mercado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color="auto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Stack moderno (FastAPI + React)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event-driven; sem fontes externas; sem data lake; sem pub/sub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5. Plano de Correções Prioritárias</w:t>
      </w:r>
    </w:p>
    <w:p>
      <w:pPr>
        <w:pStyle w:val="Heading2"/>
      </w:pPr>
      <w:r>
        <w:rPr>
          <w:b/>
          <w:bCs/>
          <w:color w:val="0077A8"/>
        </w:rPr>
        <w:t xml:space="preserve">Curto Prazo — 1 a 2 semanas (P0 e P1 de segurança)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defusedxml: trocar ET.fromstring por defusedxml.ElementTree.fromstring — 1 linha em cte_parser.py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Limite de upload: Content-Length máximo no nginx + verificação em bytes no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Rate limiting: slowapi no POST /auth/login — 5 tentativas/minuto por 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Desabilitar Swagger em produção: docs_url=None if settings.is_production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CORS restritivo: listar métodos explicitamente em vez de ["*"]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Médio Prazo — 1 a 2 meses (antes de novos clientes / V3)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Índice composto (empresa_id, data_emissao) em ctes — uma migration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Autorização por empresa: middleware que valida empresa_id da URL vs usuário logado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Transportadoras por empresa: adicionar empresa_id, migration, ajustar repositório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Validação de CNPJ com dígito verificador no schema Pydantic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Aggregações SQL no diagnóstico: mover GROUP BY para banco, não 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ErrorBoundary no React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Componente FiltrosPeriodo: eliminar duplicação nas 5 páginas de benchmark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Longo Prazo — 3 a 6 meses (habilitadores para V4+)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Celery + Redis: fila de tarefas para relatórios, importações e futura 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14. Caching com Redis: dashboard e benchmarks com TTL de 5-10 minutos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15. Refatoração dos arquivos monolíticos em módulos por domínio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16. BenchmarkUseCase desacoplado: extrair IndicadoresService público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17. Testes frontend com Vitest + Testing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18. Refresh token + cookie httpOnly: eliminar JWT no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19. Observabilidade: Sentry para erros, OpenTelemetry para traces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20. ADRs: documentar decisões arquiteturais para futuro time</w:t>
      </w:r>
    </w:p>
    <w:p>
      <w:pPr>
        <w:spacing w:after="120"/>
      </w:pPr>
      <w:r>
        <w:t xml:space="preserve"/>
      </w:r>
    </w:p>
    <w:p>
      <w:pPr>
        <w:pBdr>
          <w:top w:val="single" w:color="2D3561" w:sz="6"/>
        </w:pBdr>
        <w:jc w:val="center"/>
      </w:pPr>
      <w:r>
        <w:rPr>
          <w:color w:val="888888"/>
          <w:sz w:val="18"/>
          <w:szCs w:val="18"/>
        </w:rPr>
        <w:t xml:space="preserve">GD Conecta — Consultoria em Soluções Logísticas | Documento Confidencial | Junho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D356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7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2026-06-19T17:36:01.450Z</dcterms:created>
  <dcterms:modified xsi:type="dcterms:W3CDTF">2026-06-19T17:36:01.462Z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