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2D3561"/>
          <w:sz w:val="44"/>
          <w:szCs w:val="44"/>
        </w:rPr>
        <w:t xml:space="preserve">ESPECIFICAÇÃO FUNCIONAL</w:t>
      </w:r>
    </w:p>
    <w:p>
      <w:pPr>
        <w:spacing w:after="40"/>
        <w:jc w:val="center"/>
      </w:pPr>
      <w:r>
        <w:rPr>
          <w:color w:val="1C2030"/>
          <w:sz w:val="28"/>
          <w:szCs w:val="28"/>
        </w:rPr>
        <w:t xml:space="preserve">GD Frete Diagnóstico — Módulo Benchmark Logístico</w:t>
      </w:r>
    </w:p>
    <w:p>
      <w:pPr>
        <w:spacing w:after="40"/>
        <w:jc w:val="center"/>
      </w:pPr>
      <w:r>
        <w:rPr>
          <w:b/>
          <w:bCs/>
          <w:color w:val="C9A84C"/>
          <w:sz w:val="24"/>
          <w:szCs w:val="24"/>
        </w:rPr>
        <w:t xml:space="preserve">Versão 2.1 — Correção do Modelo de Benchmark (Fluxo Origem → Destino)</w:t>
      </w:r>
    </w:p>
    <w:p>
      <w:pPr>
        <w:spacing w:after="600"/>
        <w:jc w:val="center"/>
      </w:pPr>
      <w:r>
        <w:rPr>
          <w:color w:val="5A6072"/>
          <w:sz w:val="20"/>
          <w:szCs w:val="20"/>
        </w:rPr>
        <w:t xml:space="preserve">GD Conecta · Documento técnico-funcional</w:t>
      </w:r>
    </w:p>
    <w:p>
      <w:pPr>
        <w:pBdr>
          <w:bottom w:val="single" w:color="2D3561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t xml:space="preserve"/>
      </w:r>
    </w:p>
    <w:p>
      <w:pPr>
        <w:pStyle w:val="Heading1"/>
      </w:pPr>
      <w:r>
        <w:t xml:space="preserve">1. Contexto e Motivação</w:t>
      </w:r>
    </w:p>
    <w:p>
      <w:pPr>
        <w:spacing w:after="120"/>
      </w:pPr>
      <w:r>
        <w:t xml:space="preserve">O sistema GD Frete Diagnóstico opera com três blocos funcionais: V2 — Benchmark Logístico (objeto desta atualização), V3 — Concorrência Logística e BID de Frete (inalterado) e V4 — Inteligência Logística com IA (inalterado).</w:t>
      </w:r>
    </w:p>
    <w:p>
      <w:pPr>
        <w:spacing w:after="120"/>
      </w:pPr>
      <w:r>
        <w:t xml:space="preserve">Esta versão 2.1 realiza uma correção estrutural e matemática do módulo de Benchmark Logístico. Não há recriação do sistema nem alteração das demais versões: trata-se de uma evolução cirúrgica do V2, mantendo total compatibilidade com os dados já importados (CT-e e Excel).</w:t>
      </w:r>
    </w:p>
    <w:p>
      <w:pPr>
        <w:spacing w:after="120"/>
      </w:pPr>
      <w:r>
        <w:rPr>
          <w:b/>
          <w:bCs/>
        </w:rPr>
        <w:t xml:space="preserve">Problema corrigido. </w:t>
      </w:r>
      <w:r>
        <w:t xml:space="preserve">O benchmark anterior agrupava a operação por região de entrega (macrorregião de destino) e comparava cada região contra uma referência única daquela região. Esse desenho mistura, no mesmo balde, fluxos logísticos de custos incomparáveis.</w:t>
      </w:r>
    </w:p>
    <w:p>
      <w:pPr>
        <w:spacing w:after="120"/>
      </w:pPr>
      <w:r>
        <w:rPr>
          <w:b/>
          <w:bCs/>
        </w:rPr>
        <w:t xml:space="preserve">Exemplo real. </w:t>
      </w:r>
      <w:r>
        <w:t xml:space="preserve">Um cliente que expede de Recife pode ter dois fluxos: Recife → Porto Alegre (corredor longo, naturalmente caro) e Recife → Recife (distribuição local, naturalmente barata). No modelo antigo, o destino define o balde e a origem é descartada — então os dois fluxos são comparados contra referências que não correspondem à realidade de cada um. O resultado é um viés estrutural: operações de longa distância parecem ineficientes e operações locais parecem excelentes, independentemente da gestão real do frete.</w:t>
      </w:r>
    </w:p>
    <w:p>
      <w:pPr>
        <w:spacing w:after="120"/>
      </w:pPr>
      <w:r>
        <w:t xml:space="preserve">A correção elimina esse viés ao mover a base de comparação do destino para o par origem → destino (fluxo OD), que é onde o custo logístico de fato reside.</w:t>
      </w:r>
    </w:p>
    <w:p>
      <w:pPr>
        <w:pStyle w:val="Heading1"/>
      </w:pPr>
      <w:r>
        <w:t xml:space="preserve">2. Objetivo</w:t>
      </w:r>
    </w:p>
    <w:p>
      <w:pPr>
        <w:spacing w:after="120"/>
      </w:pPr>
      <w:r>
        <w:t xml:space="preserve">Evoluir o Benchmark Logístico para um modelo baseado em fluxo logístico direcionado (OD: Origem → Destino), de modo que: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fluxo seja comparado exclusivamente contra a referência de mercado do mesmo corredor;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empresas de diferentes regiões sejam comparáveis de forma justa, sem viés Sudeste-centric;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score reflita o desvio real de mercado por fluxo, com ponderação por relevância e suavização de outliers;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economia potencial seja calculada por corredor, não por região.</w:t>
      </w:r>
    </w:p>
    <w:p>
      <w:pPr>
        <w:pStyle w:val="Heading1"/>
      </w:pPr>
      <w:r>
        <w:t xml:space="preserve">3. Premissas e Restrições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dados continuam vindo das importações existentes (XML CT-e e planilhas Excel). O pipeline de ingestão NÃO é alterado.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módulo consome os dados já armazenados; não há duplicidade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V3 (Concorrência / BID) e V4 (IA) permanecem inalterados.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arquitetura existente é preservada (FastAPI no backend; React + Vite no frontend; Arquitetura Limpa em camadas).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Compatibilidade retroativa: a tabela de benchmarks por região permanece no banco como referência legada e fallback do indicador nacional.</w:t>
      </w:r>
    </w:p>
    <w:p>
      <w:pPr>
        <w:pStyle w:val="Heading1"/>
      </w:pPr>
      <w:r>
        <w:t xml:space="preserve">4. Conceito Central — Benchmark por Fluxo OD</w:t>
      </w:r>
    </w:p>
    <w:p>
      <w:pPr>
        <w:spacing w:after="120"/>
      </w:pPr>
      <w:r>
        <w:t xml:space="preserve">O benchmark deixa de ser regional e passa a ser definido por corredor logístico, identificado pelo par Hub de origem → Hub de destino.</w:t>
      </w:r>
    </w:p>
    <w:p>
      <w:pPr>
        <w:pStyle w:val="Heading2"/>
      </w:pPr>
      <w:r>
        <w:t xml:space="preserve">4.1 Hub logístico</w:t>
      </w:r>
    </w:p>
    <w:p>
      <w:pPr>
        <w:spacing w:after="120"/>
      </w:pPr>
      <w:r>
        <w:t xml:space="preserve">Um hub é um agrupamento (cluster) de localidades. O catálogo de hubs é global e funciona como vocabulário controlado (por exemplo: Sudeste Hub, Sul Hub, Nordeste Hub, Norte Hub, Centro-Oeste Hub), podendo ser estendido pelo administrador.</w:t>
      </w:r>
    </w:p>
    <w:p>
      <w:pPr>
        <w:pStyle w:val="Heading2"/>
      </w:pPr>
      <w:r>
        <w:t xml:space="preserve">4.2 Cluster por cliente</w:t>
      </w:r>
    </w:p>
    <w:p>
      <w:pPr>
        <w:spacing w:after="120"/>
      </w:pPr>
      <w:r>
        <w:t xml:space="preserve">O mapeamento de UF/município para hub é definido por empresa-cliente. Isso é necessário porque clientes diferentes organizam a malha de forma distinta: o que para um cliente é origem de um corredor longo pode, para outro, ser destino de um corredor curto. Uma regra de município tem precedência sobre uma regra de UF.</w:t>
      </w:r>
    </w:p>
    <w:p>
      <w:pPr>
        <w:pStyle w:val="Heading2"/>
      </w:pPr>
      <w:r>
        <w:t xml:space="preserve">4.3 Fallback transparente</w:t>
      </w:r>
    </w:p>
    <w:p>
      <w:pPr>
        <w:spacing w:after="120"/>
      </w:pPr>
      <w:r>
        <w:t xml:space="preserve">Quando uma UF/município não está mapeada em nenhum cluster do cliente, a própria UF é tratada como hub implícito (cluster de um único membro). Assim, o benchmark sempre funciona, mesmo antes de qualquer cadastro de cluster; o cadastro apenas refina e consolida o agrupamento.</w:t>
      </w:r>
    </w:p>
    <w:p>
      <w:pPr>
        <w:pStyle w:val="Heading2"/>
      </w:pPr>
      <w:r>
        <w:t xml:space="preserve">4.4 Referência de mercado global</w:t>
      </w:r>
    </w:p>
    <w:p>
      <w:pPr>
        <w:spacing w:after="120"/>
      </w:pPr>
      <w:r>
        <w:t xml:space="preserve">A referência de preço de cada corredor (mínimo, médio e máximo de R$/kg e de frete % sobre mercadoria) é global: vale para todos os clientes, pois representa o preço de mercado do corredor. Quando um corredor não tem referência cadastrada, a tela exibe os dados da empresa e sinaliza a ausência da referência, oferecendo o cadastro imediato — nunca esconde o dado nem inventa um valor.</w:t>
      </w:r>
    </w:p>
    <w:p>
      <w:pPr>
        <w:pStyle w:val="Heading1"/>
      </w:pPr>
      <w:r>
        <w:t xml:space="preserve">5. Modelo de Dados</w:t>
      </w:r>
    </w:p>
    <w:p>
      <w:pPr>
        <w:spacing w:after="120"/>
      </w:pPr>
      <w:r>
        <w:t xml:space="preserve">Três novas entidades, sem alteração destrutiva das existentes: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Escopo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HubLogistico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codigo, nome, descricao,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ClusterCliente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Por empresa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empresa_id, uf, municipio (opcional), hub_id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BenchmarkCorredor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hub_origem, hub_destino, frete_kg (mín/méd/máx), frete_pct (mín/méd/máx), volume_referencia, dispersao_kg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 tabela de benchmarks por região é mantida intacta como legado/fallback. A migração de banco cria as três tabelas e popula o catálogo de hubs padrão (as cinco macrorregiões).</w:t>
      </w:r>
    </w:p>
    <w:p>
      <w:pPr>
        <w:pStyle w:val="Heading1"/>
      </w:pPr>
      <w:r>
        <w:t xml:space="preserve">6. Indicadores</w:t>
      </w:r>
    </w:p>
    <w:p>
      <w:pPr>
        <w:spacing w:after="120"/>
      </w:pPr>
      <w:r>
        <w:rPr>
          <w:b/>
          <w:bCs/>
        </w:rPr>
        <w:t xml:space="preserve">Frete por kg = </w:t>
      </w:r>
      <w:r>
        <w:t xml:space="preserve">valor de frete ÷ peso transportado.</w:t>
      </w:r>
    </w:p>
    <w:p>
      <w:pPr>
        <w:spacing w:after="120"/>
      </w:pPr>
      <w:r>
        <w:rPr>
          <w:b/>
          <w:bCs/>
        </w:rPr>
        <w:t xml:space="preserve">Frete % sobre mercadoria = </w:t>
      </w:r>
      <w:r>
        <w:t xml:space="preserve">valor de frete ÷ valor da mercadoria × 100.</w:t>
      </w:r>
    </w:p>
    <w:p>
      <w:pPr>
        <w:spacing w:after="120"/>
      </w:pPr>
      <w:r>
        <w:t xml:space="preserve">Os indicadores são calculados por corredor (após o agrupamento dos pares UF→UF em Hub→Hub), e agregados para a visão nacional e para a visão regional derivada.</w:t>
      </w:r>
    </w:p>
    <w:p>
      <w:pPr>
        <w:pStyle w:val="Heading1"/>
      </w:pPr>
      <w:r>
        <w:t xml:space="preserve">7. Resolução do Corredor</w:t>
      </w:r>
    </w:p>
    <w:p>
      <w:pPr>
        <w:spacing w:after="120"/>
      </w:pPr>
      <w:r>
        <w:t xml:space="preserve">Para cada CT-e, o corredor é resolvido na seguinte ordem: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Obtêm-se a UF/município de origem e de destino do CT-e.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Consulta-se o mapa de clusters da empresa: regra de município tem precedência sobre regra de UF.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regra aplicável, usa-se a UF como hub implícito.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Forma-se a chave do corredor (Hub origem → Hub destino) e busca-se a referência global correspondente.</w:t>
      </w:r>
    </w:p>
    <w:p>
      <w:pPr>
        <w:spacing w:after="120"/>
      </w:pPr>
      <w:r>
        <w:t xml:space="preserve">Os pares UF→UF são agregados por SQL e consolidados em corredores Hub→Hub na camada de aplicação, que conhece o mapa de clusters do cliente.</w:t>
      </w:r>
    </w:p>
    <w:p>
      <w:pPr>
        <w:pStyle w:val="Heading1"/>
      </w:pPr>
      <w:r>
        <w:t xml:space="preserve">8. Score de Benchmark</w:t>
      </w:r>
    </w:p>
    <w:p>
      <w:pPr>
        <w:spacing w:after="120"/>
      </w:pPr>
      <w:r>
        <w:t xml:space="preserve">O score corrige a penalização linear/absoluta anterior por um modelo de desvio relativo suavizado, sempre no intervalo de 0 a 100.</w:t>
      </w:r>
    </w:p>
    <w:p>
      <w:pPr>
        <w:pStyle w:val="Heading2"/>
      </w:pPr>
      <w:r>
        <w:t xml:space="preserve">8.1 Score por componente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valor da empresa está no benchmark médio ou abaixo dele, o componente recebe 100 (situação ótima).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Acima da referência, o score decresce conforme o desvio RELATIVO (percentual em relação à referência), e não pelo valor absoluto.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penalização é suavizada por função logarítmica: desvios crescentes penalizam de forma decrescente, de modo que outliers não destroem o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dispersão do corredor (0 a 1) amplia a tolerância: corredores naturalmente mais voláteis penalizam menos um mesmo desvio.</w:t>
      </w:r>
    </w:p>
    <w:p>
      <w:pPr>
        <w:pStyle w:val="Heading2"/>
      </w:pPr>
      <w:r>
        <w:t xml:space="preserve">8.2 Combinação e ponderação</w:t>
      </w:r>
    </w:p>
    <w:p>
      <w:pPr>
        <w:spacing w:after="120"/>
      </w:pPr>
      <w:r>
        <w:t xml:space="preserve">O score do corredor combina 60% do componente de R$/kg e 40% do componente de frete % sobre mercadoria. O score global da operação é a média dos scores dos corredores ponderada pelo volume (peso) de cada fluxo — assim, um corredor pequeno com grande desvio não distorce o resultado geral.</w:t>
      </w:r>
    </w:p>
    <w:p>
      <w:pPr>
        <w:pStyle w:val="Heading2"/>
      </w:pPr>
      <w:r>
        <w:t xml:space="preserve">8.3 Classificação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Faixa de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 a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Excelente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75 a 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Muito Bom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 a 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 a 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abaixo de 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Muito Crítico</w:t>
            </w:r>
          </w:p>
        </w:tc>
      </w:tr>
    </w:tbl>
    <w:p>
      <w:pPr>
        <w:pStyle w:val="Heading1"/>
      </w:pPr>
      <w:r>
        <w:t xml:space="preserve">9. Benchmark Nacional</w:t>
      </w:r>
    </w:p>
    <w:p>
      <w:pPr>
        <w:spacing w:after="120"/>
      </w:pPr>
      <w:r>
        <w:t xml:space="preserve">Responde “no geral, minha operação é cara ou barata frente ao mercado?”. O R$/kg de referência nacional passa a ser a média ponderada por volume das referências de corredor, eliminando o viés de composição da média regional simples. O R$/kg da empresa continua sendo o total de frete dividido pelo total de peso do período.</w:t>
      </w:r>
    </w:p>
    <w:p>
      <w:pPr>
        <w:pStyle w:val="Heading1"/>
      </w:pPr>
      <w:r>
        <w:t xml:space="preserve">10. Benchmark Regional</w:t>
      </w:r>
    </w:p>
    <w:p>
      <w:pPr>
        <w:spacing w:after="120"/>
      </w:pPr>
      <w:r>
        <w:t xml:space="preserve">A visão regional é mantida apenas como agregação derivada dos corredores, para leitura executiva — não é mais a base de cálculo. A leitura correta deixa de ser “o Nordeste está 20% acima” e passa a ser “o corredor Sudeste → Nordeste está 20% acima, enquanto o intra-Nordeste está alinhado”.</w:t>
      </w:r>
    </w:p>
    <w:p>
      <w:pPr>
        <w:pStyle w:val="Heading1"/>
      </w:pPr>
      <w:r>
        <w:t xml:space="preserve">11. Potencial de Economia</w:t>
      </w:r>
    </w:p>
    <w:p>
      <w:pPr>
        <w:spacing w:after="120"/>
      </w:pPr>
      <w:r>
        <w:rPr>
          <w:b/>
          <w:bCs/>
        </w:rPr>
        <w:t xml:space="preserve">Economia por corredor = </w:t>
      </w:r>
      <w:r>
        <w:t xml:space="preserve">máx(0; R$/kg real do corredor − R$/kg de referência média do corredor) × peso movimentado no corredor.</w:t>
      </w:r>
    </w:p>
    <w:p>
      <w:pPr>
        <w:spacing w:after="120"/>
      </w:pPr>
      <w:r>
        <w:t xml:space="preserve">A economia do período é a soma da economia de todos os corredores (base OD), e não mais a soma por região. As projeções mensal, trimestral, semestral e anual derivam do ritmo mensal observado no período analisado.</w:t>
      </w:r>
    </w:p>
    <w:p>
      <w:pPr>
        <w:pStyle w:val="Heading1"/>
      </w:pPr>
      <w:r>
        <w:t xml:space="preserve">12. Dashboard e Telas</w:t>
      </w:r>
    </w:p>
    <w:p>
      <w:pPr>
        <w:spacing w:after="120"/>
      </w:pPr>
      <w:r>
        <w:t xml:space="preserve">As telas do módulo passam a consumir o motor OD: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 Executivo — </w:t>
      </w:r>
      <w:r>
        <w:t xml:space="preserve">visão consolidada: score global, melhores e piores corredores, economia potencial.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Benchmark por Corredor (OD) — </w:t>
      </w:r>
      <w:r>
        <w:t xml:space="preserve">nova tela; lista cada fluxo Origem → Destino com R$/kg, referência, desvio, score e classificação; sinaliza corredores sem referência com chamada para cadastro.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Nacional — </w:t>
      </w:r>
      <w:r>
        <w:t xml:space="preserve">comparação geral com referência nacional ponderada por corredor.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Regional (agregado) — </w:t>
      </w:r>
      <w:r>
        <w:t xml:space="preserve">visão regional derivada dos corredores.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Potencial de Economia — </w:t>
      </w:r>
      <w:r>
        <w:t xml:space="preserve">economia por corredor e projeções.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Clusters do Cliente — </w:t>
      </w:r>
      <w:r>
        <w:t xml:space="preserve">cadastro do mapa UF/município → hub, por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Configurações › Referências de Corredor — </w:t>
      </w:r>
      <w:r>
        <w:t xml:space="preserve">cadastro administrativo das referências de mercado por corredor.</w:t>
      </w:r>
    </w:p>
    <w:p>
      <w:pPr>
        <w:pStyle w:val="Heading1"/>
      </w:pPr>
      <w:r>
        <w:t xml:space="preserve">13. Requisitos Técnicos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FastAPI, SQLAlchemy, Arquitetura Limpa (entidades de domínio, repositórios, casos de uso, schemas, routers).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+ Vite + MUI, seguindo a identidade visual GD Conecta.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Banco: estrutura atual estendida por migração Alembic com três tabelas novas; sem mudança de ingestão.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Agregação por par UF→UF realizada em SQL (desempenho); consolidação em corredores na camada de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Autorização: leitura para usuários autenticados; cadastro de hubs e de referências de corredor restrito a administradores.</w:t>
      </w:r>
    </w:p>
    <w:p>
      <w:pPr>
        <w:pStyle w:val="Heading1"/>
      </w:pPr>
      <w:r>
        <w:t xml:space="preserve">14. Critérios de Aceite</w:t>
      </w:r>
    </w:p>
    <w:p>
      <w:pPr>
        <w:spacing w:after="120"/>
      </w:pPr>
      <w:r>
        <w:t xml:space="preserve">A correção é considerada concluída quando: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benchmark deixa de ser regional e passa a ser baseado em fluxo 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corredor é comparado apenas contra a referência do mesmo corredor.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Empresas de diferentes regiões são comparáveis de forma justa, sem viés Sudeste-centric.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score reflete o desvio real de mercado por fluxo, com ponderação por volume e suavização de outliers, no intervalo de 0 a 100.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economia potencial é calculada por corredor.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Corredores sem referência são exibidos com os dados da empresa e chamada para cadastro, sem fallback silencioso.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V3 e V4 permanecem inalterados e os dados existentes seguem compatíveis.</w:t>
      </w:r>
    </w:p>
    <w:p>
      <w:pPr>
        <w:spacing w:before="300"/>
        <w:jc w:val="center"/>
      </w:pPr>
      <w:r>
        <w:rPr>
          <w:i/>
          <w:iCs/>
          <w:color w:val="5A6072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72"/>
        <w:sz w:val="16"/>
        <w:szCs w:val="16"/>
      </w:rPr>
      <w:t xml:space="preserve">Página </w:t>
    </w:r>
    <w:r>
      <w:rPr>
        <w:color w:val="5A60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072"/>
        <w:sz w:val="16"/>
        <w:szCs w:val="16"/>
      </w:rPr>
      <w:t xml:space="preserve">GD Frete Diagnóstico — Benchmark Logístico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D35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0077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— Benchmark Logístico V2.1</dc:title>
  <dc:creator>GD Conecta</dc:creator>
  <cp:lastModifiedBy>Un-named</cp:lastModifiedBy>
  <cp:revision>1</cp:revision>
  <dcterms:created xsi:type="dcterms:W3CDTF">2026-06-22T01:18:50.961Z</dcterms:created>
  <dcterms:modified xsi:type="dcterms:W3CDTF">2026-06-22T01:18:50.961Z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