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36"/>
          <w:szCs w:val="36"/>
        </w:rPr>
        <w:t xml:space="preserve">OPEX Budgeting System</w:t>
      </w:r>
    </w:p>
    <w:p>
      <w:pPr>
        <w:spacing w:after="60" w:before="0"/>
      </w:pPr>
      <w:r>
        <w:rPr>
          <w:rFonts w:ascii="Arial" w:cs="Arial" w:eastAsia="Arial" w:hAnsi="Arial"/>
          <w:b/>
          <w:bCs/>
          <w:color w:val="2E75B6"/>
          <w:sz w:val="32"/>
          <w:szCs w:val="32"/>
        </w:rPr>
        <w:t xml:space="preserve">Project Context Handoff</w:t>
      </w:r>
    </w:p>
    <w:p>
      <w:pPr>
        <w:spacing w:after="80" w:before="0"/>
      </w:pPr>
      <w:r>
        <w:rPr>
          <w:rFonts w:ascii="Arial" w:cs="Arial" w:eastAsia="Arial" w:hAnsi="Arial"/>
          <w:i/>
          <w:iCs/>
          <w:color w:val="555555"/>
          <w:sz w:val="24"/>
          <w:szCs w:val="24"/>
        </w:rPr>
        <w:t xml:space="preserve">Version 2.6 — Draft</w:t>
      </w:r>
    </w:p>
    <w:p>
      <w:pPr>
        <w:spacing w:after="240" w:before="0"/>
      </w:pPr>
      <w:r>
        <w:rPr>
          <w:rFonts w:ascii="Arial" w:cs="Arial" w:eastAsia="Arial" w:hAnsi="Arial"/>
          <w:i/>
          <w:iCs/>
          <w:color w:val="555555"/>
          <w:sz w:val="20"/>
          <w:szCs w:val="20"/>
        </w:rPr>
        <w:t xml:space="preserve">OBS_Project_Context_Handoff_v2_6.docx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Document title</w:t>
            </w:r>
          </w:p>
        </w:tc>
        <w:tc>
          <w:tcPr>
            <w:tcW w:type="dxa" w:w="7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Project Context Handoff</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System</w:t>
            </w:r>
          </w:p>
        </w:tc>
        <w:tc>
          <w:tcPr>
            <w:tcW w:type="dxa" w:w="7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OPEX Budgeting System (OBS)</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Version</w:t>
            </w:r>
          </w:p>
        </w:tc>
        <w:tc>
          <w:tcPr>
            <w:tcW w:type="dxa" w:w="7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2.6 — Draft</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Status</w:t>
            </w:r>
          </w:p>
        </w:tc>
        <w:tc>
          <w:tcPr>
            <w:tcW w:type="dxa" w:w="7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For Review</w:t>
            </w:r>
          </w:p>
        </w:tc>
      </w:tr>
      <w:tr>
        <w:tc>
          <w:tcPr>
            <w:tcW w:type="dxa" w:w="24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Depends on</w:t>
            </w:r>
          </w:p>
        </w:tc>
        <w:tc>
          <w:tcPr>
            <w:tcW w:type="dxa" w:w="7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System Context and Domain Glossary v1.11 · Application Architecture Specification v3.6 · Security and Access Control Specification v1.4 · UX and UI Specification v1.5 · Data Integration Specification v1.8 · In-Application Notification Mechanism Specification v1.1 · Functional Requirements: Budget Planning v1.1 · Functional Requirements: Workforce Planning v1.1 · Functional Requirements: Reporting v1.1 · Functional Requirements: Finance Approval Workflow v1.2 · Build Sequencing Plan v1.2 · Per-Phase Build Checklist v0.1 · Claude Code Implementation Guide v1.2 · Azure Cloud Migration Specification v2.0</w:t>
            </w:r>
          </w:p>
        </w:tc>
      </w:tr>
    </w:tbl>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Borders>
              <w:top w:val="single" w:color="CCCCCC" w:sz="1"/>
              <w:left w:val="single" w:color="CCCCCC" w:sz="1"/>
              <w:bottom w:val="single" w:color="CCCCCC" w:sz="1"/>
              <w:right w:val="single" w:color="CCCCCC" w:sz="1"/>
            </w:tcBorders>
            <w:shd w:fill="FFF2CC" w:val="clear"/>
            <w:tcMar>
              <w:top w:type="dxa" w:w="100"/>
              <w:left w:type="dxa" w:w="160"/>
              <w:bottom w:type="dxa" w:w="100"/>
              <w:right w:type="dxa" w:w="160"/>
            </w:tcMar>
          </w:tcPr>
          <w:p>
            <w:pPr>
              <w:spacing w:after="0" w:before="0"/>
            </w:pPr>
            <w:r>
              <w:rPr>
                <w:rFonts w:ascii="Arial" w:cs="Arial" w:eastAsia="Arial" w:hAnsi="Arial"/>
                <w:b/>
                <w:bCs/>
                <w:color w:val="7F6000"/>
                <w:sz w:val="18"/>
                <w:szCs w:val="18"/>
              </w:rPr>
              <w:t xml:space="preserve">Amendment: v2.5 → v2.6 — Phase 0 Complete; Phase 1 In Progress. Section 1.1 implementation phase row updated from “Phase 0 — Not Yet Started” to “Phase 1 — Authentication, User Registry &amp; Security Core — In Progress.” Section 1.2 Build Phase Status Register updated: Phase 0 → Complete, Phase 1 → In Progress. Section 7 Next Steps updated with Phase 1 call to action and Phase 1 prompt reference. Section 8 v2.6 row added. No decisions changed.</w:t>
            </w:r>
          </w:p>
        </w:tc>
      </w:tr>
    </w:tbl>
    <w:p>
      <w:pPr>
        <w:spacing w:after="60" w:before="60"/>
      </w:pPr>
      <w:r>
        <w:t xml:space="preserve"/>
      </w:r>
    </w:p>
    <w:p>
      <w:pPr>
        <w:pStyle w:val="Heading1"/>
        <w:spacing w:after="160" w:before="320"/>
      </w:pPr>
      <w:r>
        <w:rPr>
          <w:rFonts w:ascii="Arial" w:cs="Arial" w:eastAsia="Arial" w:hAnsi="Arial"/>
          <w:b/>
          <w:bCs/>
          <w:color w:val="1F3864"/>
          <w:sz w:val="32"/>
          <w:szCs w:val="32"/>
        </w:rPr>
        <w:t xml:space="preserve">1. Project State Summary</w:t>
      </w:r>
    </w:p>
    <w:p>
      <w:pPr>
        <w:pStyle w:val="Heading2"/>
        <w:spacing w:after="120" w:before="240"/>
      </w:pPr>
      <w:r>
        <w:rPr>
          <w:rFonts w:ascii="Arial" w:cs="Arial" w:eastAsia="Arial" w:hAnsi="Arial"/>
          <w:b/>
          <w:bCs/>
          <w:color w:val="2E75B6"/>
          <w:sz w:val="26"/>
          <w:szCs w:val="26"/>
        </w:rPr>
        <w:t xml:space="preserve">1.1 Specification and Implementation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c>
          <w:tcPr>
            <w:tcW w:type="dxa" w:w="26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top"/>
          </w:tcPr>
          <w:p>
            <w:pPr>
              <w:spacing w:after="0" w:before="0"/>
            </w:pPr>
            <w:r>
              <w:rPr>
                <w:rFonts w:ascii="Arial" w:cs="Arial" w:eastAsia="Arial" w:hAnsi="Arial"/>
                <w:b/>
                <w:bCs/>
                <w:color w:val="1F3864"/>
                <w:sz w:val="18"/>
                <w:szCs w:val="18"/>
              </w:rPr>
              <w:t xml:space="preserve">Area</w:t>
            </w:r>
          </w:p>
        </w:tc>
        <w:tc>
          <w:tcPr>
            <w:tcW w:type="dxa" w:w="748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top"/>
          </w:tcPr>
          <w:p>
            <w:pPr>
              <w:spacing w:after="0" w:before="0"/>
            </w:pPr>
            <w:r>
              <w:rPr>
                <w:rFonts w:ascii="Arial" w:cs="Arial" w:eastAsia="Arial" w:hAnsi="Arial"/>
                <w:b/>
                <w:bCs/>
                <w:color w:val="1F3864"/>
                <w:sz w:val="18"/>
                <w:szCs w:val="18"/>
              </w:rPr>
              <w:t xml:space="preserve">Status</w:t>
            </w:r>
          </w:p>
        </w:tc>
      </w:tr>
      <w:tr>
        <w:tc>
          <w:tcPr>
            <w:tcW w:type="dxa" w:w="26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Specification phase</w:t>
            </w:r>
          </w:p>
        </w:tc>
        <w:tc>
          <w:tcPr>
            <w:tcW w:type="dxa" w:w="7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Complete. All open items across all specifications are resolved. No outstanding specification items remain.</w:t>
            </w:r>
          </w:p>
        </w:tc>
      </w:tr>
      <w:tr>
        <w:tc>
          <w:tcPr>
            <w:tcW w:type="dxa" w:w="26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Architecture status</w:t>
            </w:r>
          </w:p>
        </w:tc>
        <w:tc>
          <w:tcPr>
            <w:tcW w:type="dxa" w:w="74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Application Architecture Specification v3.6 is the current version. The OBS platform is Azure-only: Azure PostgreSQL Flexible Server (data platform), Azure App Service (Linux, Python 3.11 — single API host), and Azure Functions (batch ingestion).</w:t>
            </w:r>
          </w:p>
        </w:tc>
      </w:tr>
      <w:tr>
        <w:tc>
          <w:tcPr>
            <w:tcW w:type="dxa" w:w="26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Security status</w:t>
            </w:r>
          </w:p>
        </w:tc>
        <w:tc>
          <w:tcPr>
            <w:tcW w:type="dxa" w:w="7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Security and Access Control Specification v1.4 complete.</w:t>
            </w:r>
          </w:p>
        </w:tc>
      </w:tr>
      <w:tr>
        <w:tc>
          <w:tcPr>
            <w:tcW w:type="dxa" w:w="26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UX / UI status</w:t>
            </w:r>
          </w:p>
        </w:tc>
        <w:tc>
          <w:tcPr>
            <w:tcW w:type="dxa" w:w="74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UX and UI Specification v1.5 complete.</w:t>
            </w:r>
          </w:p>
        </w:tc>
      </w:tr>
      <w:tr>
        <w:tc>
          <w:tcPr>
            <w:tcW w:type="dxa" w:w="26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Data integration status</w:t>
            </w:r>
          </w:p>
        </w:tc>
        <w:tc>
          <w:tcPr>
            <w:tcW w:type="dxa" w:w="7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Data Integration Specification v1.8 complete. All open items resolved.</w:t>
            </w:r>
          </w:p>
        </w:tc>
      </w:tr>
      <w:tr>
        <w:tc>
          <w:tcPr>
            <w:tcW w:type="dxa" w:w="26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Functional requirements status</w:t>
            </w:r>
          </w:p>
        </w:tc>
        <w:tc>
          <w:tcPr>
            <w:tcW w:type="dxa" w:w="74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Budget Planning v1.1 complete. Workforce Planning v1.1 complete. Reporting v1.1 complete — all open items resolved (OI-RPT-01). Finance Approval Workflow v1.2 complete.</w:t>
            </w:r>
          </w:p>
        </w:tc>
      </w:tr>
      <w:tr>
        <w:tc>
          <w:tcPr>
            <w:tcW w:type="dxa" w:w="26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Notification mechanism status</w:t>
            </w:r>
          </w:p>
        </w:tc>
        <w:tc>
          <w:tcPr>
            <w:tcW w:type="dxa" w:w="7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In-Application Notification Mechanism Specification v1.1 complete. All companion amendments issued.</w:t>
            </w:r>
          </w:p>
        </w:tc>
      </w:tr>
      <w:tr>
        <w:tc>
          <w:tcPr>
            <w:tcW w:type="dxa" w:w="26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Implementation phase</w:t>
            </w:r>
          </w:p>
        </w:tc>
        <w:tc>
          <w:tcPr>
            <w:tcW w:type="dxa" w:w="74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Phase 1 — Authentication, User Registry &amp; Security Core — In Progress. See Section 1.2 for the full Build Phase Status Register.</w:t>
            </w:r>
          </w:p>
        </w:tc>
      </w:tr>
      <w:tr>
        <w:tc>
          <w:tcPr>
            <w:tcW w:type="dxa" w:w="26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Outstanding blocking items</w:t>
            </w:r>
          </w:p>
        </w:tc>
        <w:tc>
          <w:tcPr>
            <w:tcW w:type="dxa" w:w="7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None. All specifications are complete. Phase 0 is Complete. Phase 1 is In Progress.</w:t>
            </w:r>
          </w:p>
        </w:tc>
      </w:tr>
    </w:tbl>
    <w:p>
      <w:pPr>
        <w:spacing w:after="60" w:before="60"/>
      </w:pPr>
      <w:r>
        <w:t xml:space="preserve"/>
      </w:r>
    </w:p>
    <w:p>
      <w:pPr>
        <w:pStyle w:val="Heading2"/>
        <w:spacing w:after="120" w:before="240"/>
      </w:pPr>
      <w:r>
        <w:rPr>
          <w:rFonts w:ascii="Arial" w:cs="Arial" w:eastAsia="Arial" w:hAnsi="Arial"/>
          <w:b/>
          <w:bCs/>
          <w:color w:val="2E75B6"/>
          <w:sz w:val="26"/>
          <w:szCs w:val="26"/>
        </w:rPr>
        <w:t xml:space="preserve">1.2 Build Phase Status Register</w:t>
      </w:r>
    </w:p>
    <w:p>
      <w:pPr>
        <w:spacing w:after="60" w:before="60"/>
      </w:pPr>
      <w:r>
        <w:rPr>
          <w:rFonts w:ascii="Arial" w:cs="Arial" w:eastAsia="Arial" w:hAnsi="Arial"/>
          <w:i/>
          <w:iCs/>
          <w:color w:val="555555"/>
          <w:sz w:val="20"/>
          <w:szCs w:val="20"/>
        </w:rPr>
        <w:t xml:space="preserve">This register is the authoritative record of implementation progress. The Session Startup Protocol (Claude Code Implementation Guide v1.2 §1.2) requires Claude Code to identify the current in-progress phase from this document at the start of every session. Update the status of each phase upon completion before advancing to the next phase.</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5200"/>
        <w:gridCol w:w="3680"/>
      </w:tblGrid>
      <w:tr>
        <w:tc>
          <w:tcPr>
            <w:tcW w:type="dxa" w:w="12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top"/>
          </w:tcPr>
          <w:p>
            <w:pPr>
              <w:spacing w:after="0" w:before="0"/>
            </w:pPr>
            <w:r>
              <w:rPr>
                <w:rFonts w:ascii="Arial" w:cs="Arial" w:eastAsia="Arial" w:hAnsi="Arial"/>
                <w:b/>
                <w:bCs/>
                <w:color w:val="1F3864"/>
                <w:sz w:val="18"/>
                <w:szCs w:val="18"/>
              </w:rPr>
              <w:t xml:space="preserve">Phase</w:t>
            </w:r>
          </w:p>
        </w:tc>
        <w:tc>
          <w:tcPr>
            <w:tcW w:type="dxa" w:w="52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top"/>
          </w:tcPr>
          <w:p>
            <w:pPr>
              <w:spacing w:after="0" w:before="0"/>
            </w:pPr>
            <w:r>
              <w:rPr>
                <w:rFonts w:ascii="Arial" w:cs="Arial" w:eastAsia="Arial" w:hAnsi="Arial"/>
                <w:b/>
                <w:bCs/>
                <w:color w:val="1F3864"/>
                <w:sz w:val="18"/>
                <w:szCs w:val="18"/>
              </w:rPr>
              <w:t xml:space="preserve">Name</w:t>
            </w:r>
          </w:p>
        </w:tc>
        <w:tc>
          <w:tcPr>
            <w:tcW w:type="dxa" w:w="368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top"/>
          </w:tcPr>
          <w:p>
            <w:pPr>
              <w:spacing w:after="0" w:before="0"/>
            </w:pPr>
            <w:r>
              <w:rPr>
                <w:rFonts w:ascii="Arial" w:cs="Arial" w:eastAsia="Arial" w:hAnsi="Arial"/>
                <w:b/>
                <w:bCs/>
                <w:color w:val="1F3864"/>
                <w:sz w:val="18"/>
                <w:szCs w:val="18"/>
              </w:rPr>
              <w:t xml:space="preserve">Status</w:t>
            </w:r>
          </w:p>
        </w:tc>
      </w:tr>
      <w:tr>
        <w:tc>
          <w:tcPr>
            <w:tcW w:type="dxa" w:w="1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Phase 0</w:t>
            </w:r>
          </w:p>
        </w:tc>
        <w:tc>
          <w:tcPr>
            <w:tcW w:type="dxa" w:w="5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Infrastructure &amp; Platform Foundations</w:t>
            </w:r>
          </w:p>
        </w:tc>
        <w:tc>
          <w:tcPr>
            <w:tcW w:type="dxa" w:w="368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Complete</w:t>
            </w:r>
          </w:p>
        </w:tc>
      </w:tr>
      <w:tr>
        <w:tc>
          <w:tcPr>
            <w:tcW w:type="dxa" w:w="1200"/>
            <w:tcBorders>
              <w:top w:val="single" w:color="CCCCCC" w:sz="1"/>
              <w:left w:val="single" w:color="CCCCCC" w:sz="1"/>
              <w:bottom w:val="single" w:color="CCCCCC" w:sz="1"/>
              <w:right w:val="single" w:color="CCCCCC" w:sz="1"/>
            </w:tcBorders>
            <w:shd w:fill="FFF2CC"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Phase 1</w:t>
            </w:r>
          </w:p>
        </w:tc>
        <w:tc>
          <w:tcPr>
            <w:tcW w:type="dxa" w:w="5200"/>
            <w:tcBorders>
              <w:top w:val="single" w:color="CCCCCC" w:sz="1"/>
              <w:left w:val="single" w:color="CCCCCC" w:sz="1"/>
              <w:bottom w:val="single" w:color="CCCCCC" w:sz="1"/>
              <w:right w:val="single" w:color="CCCCCC" w:sz="1"/>
            </w:tcBorders>
            <w:shd w:fill="FFF2CC"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Authentication, User Registry &amp; Security Core</w:t>
            </w:r>
          </w:p>
        </w:tc>
        <w:tc>
          <w:tcPr>
            <w:tcW w:type="dxa" w:w="3680"/>
            <w:tcBorders>
              <w:top w:val="single" w:color="CCCCCC" w:sz="1"/>
              <w:left w:val="single" w:color="CCCCCC" w:sz="1"/>
              <w:bottom w:val="single" w:color="CCCCCC" w:sz="1"/>
              <w:right w:val="single" w:color="CCCCCC" w:sz="1"/>
            </w:tcBorders>
            <w:shd w:fill="FFF2CC"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In Progress</w:t>
            </w:r>
          </w:p>
        </w:tc>
      </w:tr>
      <w:tr>
        <w:tc>
          <w:tcPr>
            <w:tcW w:type="dxa" w:w="12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Phase 2</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Dimension Data &amp; Ingestion Pipeline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Pending</w:t>
            </w:r>
          </w:p>
        </w:tc>
      </w:tr>
      <w:tr>
        <w:tc>
          <w:tcPr>
            <w:tcW w:type="dxa" w:w="12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Phase 3</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Business Rules Configuration</w:t>
            </w:r>
          </w:p>
        </w:tc>
        <w:tc>
          <w:tcPr>
            <w:tcW w:type="dxa" w:w="3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Pending</w:t>
            </w:r>
          </w:p>
        </w:tc>
      </w:tr>
      <w:tr>
        <w:tc>
          <w:tcPr>
            <w:tcW w:type="dxa" w:w="12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Phase 4</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Workforce Planning Module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Pending</w:t>
            </w:r>
          </w:p>
        </w:tc>
      </w:tr>
      <w:tr>
        <w:tc>
          <w:tcPr>
            <w:tcW w:type="dxa" w:w="12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Phase 5</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Budget Planning Module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Pending</w:t>
            </w:r>
          </w:p>
        </w:tc>
      </w:tr>
      <w:tr>
        <w:tc>
          <w:tcPr>
            <w:tcW w:type="dxa" w:w="12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Phase 6</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Finance Approval Workflow Module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Pending</w:t>
            </w:r>
          </w:p>
        </w:tc>
      </w:tr>
      <w:tr>
        <w:tc>
          <w:tcPr>
            <w:tcW w:type="dxa" w:w="12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Phase 7</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In-Application Notification Mechanism</w:t>
            </w:r>
          </w:p>
        </w:tc>
        <w:tc>
          <w:tcPr>
            <w:tcW w:type="dxa" w:w="3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Pending</w:t>
            </w:r>
          </w:p>
        </w:tc>
      </w:tr>
      <w:tr>
        <w:tc>
          <w:tcPr>
            <w:tcW w:type="dxa" w:w="12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Phase 8</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Reporting Module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Pending</w:t>
            </w:r>
          </w:p>
        </w:tc>
      </w:tr>
      <w:tr>
        <w:tc>
          <w:tcPr>
            <w:tcW w:type="dxa" w:w="12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Phase 9</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Administration Module — Full Surface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Pending</w:t>
            </w:r>
          </w:p>
        </w:tc>
      </w:tr>
      <w:tr>
        <w:tc>
          <w:tcPr>
            <w:tcW w:type="dxa" w:w="12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Phase 10</w:t>
            </w:r>
          </w:p>
        </w:tc>
        <w:tc>
          <w:tcPr>
            <w:tcW w:type="dxa" w:w="5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End-to-End Hardening &amp; Acceptance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Pending</w:t>
            </w:r>
          </w:p>
        </w:tc>
      </w:tr>
    </w:tbl>
    <w:p>
      <w:pPr>
        <w:spacing w:after="60" w:before="60"/>
      </w:pPr>
      <w:r>
        <w:t xml:space="preserve"/>
      </w:r>
    </w:p>
    <w:p>
      <w:pPr>
        <w:spacing w:after="60" w:before="60"/>
      </w:pPr>
      <w:r>
        <w:rPr>
          <w:rFonts w:ascii="Arial" w:cs="Arial" w:eastAsia="Arial" w:hAnsi="Arial"/>
          <w:i/>
          <w:iCs/>
          <w:color w:val="555555"/>
          <w:sz w:val="20"/>
          <w:szCs w:val="20"/>
        </w:rPr>
        <w:t xml:space="preserve">Status values: Not Yet Started | In Progress | Complete. Only one phase should be In Progress at any time. No phase may begin until all prerequisite phases listed in Build Sequencing Plan v1.2 are Complete.</w:t>
      </w:r>
    </w:p>
    <w:p>
      <w:pPr>
        <w:spacing w:after="60" w:before="60"/>
      </w:pPr>
      <w:r>
        <w:t xml:space="preserve"/>
      </w:r>
    </w:p>
    <w:p>
      <w:pPr>
        <w:pStyle w:val="Heading1"/>
        <w:spacing w:after="160" w:before="320"/>
      </w:pPr>
      <w:r>
        <w:rPr>
          <w:rFonts w:ascii="Arial" w:cs="Arial" w:eastAsia="Arial" w:hAnsi="Arial"/>
          <w:b/>
          <w:bCs/>
          <w:color w:val="1F3864"/>
          <w:sz w:val="32"/>
          <w:szCs w:val="32"/>
        </w:rPr>
        <w:t xml:space="preserve">2. Architecture and Design Decisions</w:t>
      </w:r>
    </w:p>
    <w:p>
      <w:pPr>
        <w:spacing w:after="60" w:before="60"/>
      </w:pPr>
      <w:r>
        <w:rPr>
          <w:rFonts w:ascii="Arial" w:cs="Arial" w:eastAsia="Arial" w:hAnsi="Arial"/>
          <w:i/>
          <w:iCs/>
          <w:color w:val="555555"/>
          <w:sz w:val="20"/>
          <w:szCs w:val="20"/>
        </w:rPr>
        <w:t xml:space="preserve">All decisions in this section are final. Do not re-litigate or propose alternatives. If a specification appears to contain an error or contradiction, stop and raise it as a question rather than making a unilateral change.</w:t>
      </w:r>
    </w:p>
    <w:p>
      <w:pPr>
        <w:spacing w:after="60" w:before="60"/>
      </w:pPr>
      <w:r>
        <w:t xml:space="preserve"/>
      </w:r>
    </w:p>
    <w:p>
      <w:pPr>
        <w:spacing w:after="80" w:before="80"/>
      </w:pPr>
      <w:r>
        <w:rPr>
          <w:rFonts w:ascii="Arial" w:cs="Arial" w:eastAsia="Arial" w:hAnsi="Arial"/>
          <w:sz w:val="20"/>
          <w:szCs w:val="20"/>
        </w:rPr>
        <w:t xml:space="preserve">Sections 2.1–2.14 are carried forward unchanged from Project Context Handoff v2.5. They record all final architecture and design decisions for: Budget Line Entry (2.1), Budget Version Management (2.2), Overhead Allocation (2.3), Budget Entry Locking (2.4), Budget Submission Workflow (2.5), Cost Center Hierarchy Boundary (2.6), Workforce Planning (2.7), AIPEIP Bonus (2.8), Compensation Burden (2.9), Transfer Workflow (2.10), Finance Approval Workflow (2.11), Notification Mechanism (2.12), Report Definition Authoring (2.13), and Data Integration (2.14). Consult Project Context Handoff v2.5 §2.1–2.14 for the full decision text. No decisions have changed in this version.</w:t>
      </w:r>
    </w:p>
    <w:p>
      <w:pPr>
        <w:spacing w:after="60" w:before="60"/>
      </w:pPr>
      <w:r>
        <w:t xml:space="preserve"/>
      </w:r>
    </w:p>
    <w:p>
      <w:pPr>
        <w:pStyle w:val="Heading1"/>
        <w:spacing w:after="160" w:before="320"/>
      </w:pPr>
      <w:r>
        <w:rPr>
          <w:rFonts w:ascii="Arial" w:cs="Arial" w:eastAsia="Arial" w:hAnsi="Arial"/>
          <w:b/>
          <w:bCs/>
          <w:color w:val="1F3864"/>
          <w:sz w:val="32"/>
          <w:szCs w:val="32"/>
        </w:rPr>
        <w:t xml:space="preserve">3. Open Item Resolutions</w:t>
      </w:r>
    </w:p>
    <w:p>
      <w:pPr>
        <w:spacing w:after="80" w:before="80"/>
      </w:pPr>
      <w:r>
        <w:rPr>
          <w:rFonts w:ascii="Arial" w:cs="Arial" w:eastAsia="Arial" w:hAnsi="Arial"/>
          <w:sz w:val="20"/>
          <w:szCs w:val="20"/>
        </w:rPr>
        <w:t xml:space="preserve">Sections 3.1–3.12 are carried forward unchanged from Project Context Handoff v2.5. They record the resolutions of all open items across all specifications. All open items are resolved. No outstanding items remain. Consult Project Context Handoff v2.5 §3.1–3.12 for the full resolution text.</w:t>
      </w:r>
    </w:p>
    <w:p>
      <w:pPr>
        <w:spacing w:after="60" w:before="60"/>
      </w:pPr>
      <w:r>
        <w:t xml:space="preserve"/>
      </w:r>
    </w:p>
    <w:p>
      <w:pPr>
        <w:pStyle w:val="Heading1"/>
        <w:spacing w:after="160" w:before="320"/>
      </w:pPr>
      <w:r>
        <w:rPr>
          <w:rFonts w:ascii="Arial" w:cs="Arial" w:eastAsia="Arial" w:hAnsi="Arial"/>
          <w:b/>
          <w:bCs/>
          <w:color w:val="1F3864"/>
          <w:sz w:val="32"/>
          <w:szCs w:val="32"/>
        </w:rPr>
        <w:t xml:space="preserve">4. Document Library</w:t>
      </w:r>
    </w:p>
    <w:p>
      <w:pPr>
        <w:spacing w:after="60" w:before="60"/>
      </w:pPr>
      <w:r>
        <w:rPr>
          <w:rFonts w:ascii="Arial" w:cs="Arial" w:eastAsia="Arial" w:hAnsi="Arial"/>
          <w:i/>
          <w:iCs/>
          <w:color w:val="555555"/>
          <w:sz w:val="20"/>
          <w:szCs w:val="20"/>
        </w:rPr>
        <w:t xml:space="preserve">Recommended reading order for new sessions: Read Project Context Handoff v2.6 (this document) first. Check Section 1.2 for the current in-progress phase before any other action.</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top"/>
          </w:tcPr>
          <w:p>
            <w:pPr>
              <w:spacing w:after="0" w:before="0"/>
            </w:pPr>
            <w:r>
              <w:rPr>
                <w:rFonts w:ascii="Arial" w:cs="Arial" w:eastAsia="Arial" w:hAnsi="Arial"/>
                <w:b/>
                <w:bCs/>
                <w:color w:val="1F3864"/>
                <w:sz w:val="18"/>
                <w:szCs w:val="18"/>
              </w:rPr>
              <w:t xml:space="preserve">Document</w:t>
            </w:r>
          </w:p>
        </w:tc>
        <w:tc>
          <w:tcPr>
            <w:tcW w:type="dxa" w:w="728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top"/>
          </w:tcPr>
          <w:p>
            <w:pPr>
              <w:spacing w:after="0" w:before="0"/>
            </w:pPr>
            <w:r>
              <w:rPr>
                <w:rFonts w:ascii="Arial" w:cs="Arial" w:eastAsia="Arial" w:hAnsi="Arial"/>
                <w:b/>
                <w:bCs/>
                <w:color w:val="1F3864"/>
                <w:sz w:val="18"/>
                <w:szCs w:val="18"/>
              </w:rPr>
              <w:t xml:space="preserve">Version / Status / Scope</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Project Context Handoff</w:t>
            </w:r>
          </w:p>
        </w:tc>
        <w:tc>
          <w:tcPr>
            <w:tcW w:type="dxa" w:w="7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v2.6 — This document. Authoritative project state, all decisions, all open-item resolutions, reading order.</w:t>
            </w:r>
          </w:p>
        </w:tc>
      </w:tr>
      <w:tr>
        <w:tc>
          <w:tcPr>
            <w:tcW w:type="dxa" w:w="28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System Context and Domain Glossary</w:t>
            </w:r>
          </w:p>
        </w:tc>
        <w:tc>
          <w:tcPr>
            <w:tcW w:type="dxa" w:w="72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v1.11 — Complete. Authoritative terminology for all identifiers in code, APIs, schemas, and UI.</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Application Architecture Specification</w:t>
            </w:r>
          </w:p>
        </w:tc>
        <w:tc>
          <w:tcPr>
            <w:tcW w:type="dxa" w:w="7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v3.6 — Complete. Technology stack, component architecture, API conventions, calculation service pattern, audit log, performance targets. Binding.</w:t>
            </w:r>
          </w:p>
        </w:tc>
      </w:tr>
      <w:tr>
        <w:tc>
          <w:tcPr>
            <w:tcW w:type="dxa" w:w="28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Security and Access Control Specification</w:t>
            </w:r>
          </w:p>
        </w:tc>
        <w:tc>
          <w:tcPr>
            <w:tcW w:type="dxa" w:w="72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v1.4 — Complete. Capability flag model, cost center permission framework, 7-step authorization flow, audit events, error response standards.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UX and UI Specification</w:t>
            </w:r>
          </w:p>
        </w:tc>
        <w:tc>
          <w:tcPr>
            <w:tcW w:type="dxa" w:w="7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v1.5 — Complete. Navigation model, all modules and screens, MUI component choices, notification bell, report definition authoring UI, all UX acceptance criteria.</w:t>
            </w:r>
          </w:p>
        </w:tc>
      </w:tr>
      <w:tr>
        <w:tc>
          <w:tcPr>
            <w:tcW w:type="dxa" w:w="28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Data Integration Specification</w:t>
            </w:r>
          </w:p>
        </w:tc>
        <w:tc>
          <w:tcPr>
            <w:tcW w:type="dxa" w:w="72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v1.8 — Complete. File format contracts, ingestion pipeline, PostgreSQL schemas for dimensions and actuals, quarantine and re-promotion rules. All open items resolved.</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In-Application Notification Mechanism Specification</w:t>
            </w:r>
          </w:p>
        </w:tc>
        <w:tc>
          <w:tcPr>
            <w:tcW w:type="dxa" w:w="7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v1.1 — Complete. obs.notifications schema, notification service module, all 8 notification events, bell + inbox UX, deep-link routing. All companion amendments issued.</w:t>
            </w:r>
          </w:p>
        </w:tc>
      </w:tr>
      <w:tr>
        <w:tc>
          <w:tcPr>
            <w:tcW w:type="dxa" w:w="28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Functional Requirements: Budget Planning</w:t>
            </w:r>
          </w:p>
        </w:tc>
        <w:tc>
          <w:tcPr>
            <w:tcW w:type="dxa" w:w="72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v1.1 — Complete. Budget versions, budget lines, overhead allocation, vendor attribution, targets, locking, submission workflow, PostgreSQL schema additions.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Functional Requirements: Workforce Planning</w:t>
            </w:r>
          </w:p>
        </w:tc>
        <w:tc>
          <w:tcPr>
            <w:tcW w:type="dxa" w:w="7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v1.1 — Complete. Positions, compensation calculations, lifecycle events, transfer workflow, personnel expense direct push.</w:t>
            </w:r>
          </w:p>
        </w:tc>
      </w:tr>
      <w:tr>
        <w:tc>
          <w:tcPr>
            <w:tcW w:type="dxa" w:w="28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Functional Requirements: Reporting</w:t>
            </w:r>
          </w:p>
        </w:tc>
        <w:tc>
          <w:tcPr>
            <w:tcW w:type="dxa" w:w="72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v1.1 — Complete. Report definitions, report viewer, annotations, saved filters, Excel export, report definition authoring UI. OI-RPT-01 closed.</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Functional Requirements: Finance Approval Workflow</w:t>
            </w:r>
          </w:p>
        </w:tc>
        <w:tc>
          <w:tcPr>
            <w:tcW w:type="dxa" w:w="7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v1.2 — Complete. Finance review records, approval queue, approve/reject actions, bulk approve, version status resolution.</w:t>
            </w:r>
          </w:p>
        </w:tc>
      </w:tr>
      <w:tr>
        <w:tc>
          <w:tcPr>
            <w:tcW w:type="dxa" w:w="28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Budget Entry Workflow Consolidated</w:t>
            </w:r>
          </w:p>
        </w:tc>
        <w:tc>
          <w:tcPr>
            <w:tcW w:type="dxa" w:w="72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v1.0 — Complete. Consolidated specification for the three-step budget entry workflow (BudgetWorkflowContext).</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Build Sequencing Plan</w:t>
            </w:r>
          </w:p>
        </w:tc>
        <w:tc>
          <w:tcPr>
            <w:tcW w:type="dxa" w:w="7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v1.2 — Complete. 10-phase build order with deliverables, PostgreSQL tables per phase, API endpoints per phase, acceptance criteria references.</w:t>
            </w:r>
          </w:p>
        </w:tc>
      </w:tr>
      <w:tr>
        <w:tc>
          <w:tcPr>
            <w:tcW w:type="dxa" w:w="28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Per-Phase Build Checklist</w:t>
            </w:r>
          </w:p>
        </w:tc>
        <w:tc>
          <w:tcPr>
            <w:tcW w:type="dxa" w:w="72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v0.1 — Complete. Step-by-step execution checklist for Claude Code, Phases 0–10: CLAUDE.md updates, subagents, exact prompts, local and cloud validation steps, phase gates.</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Claude Code Implementation Guide</w:t>
            </w:r>
          </w:p>
        </w:tc>
        <w:tc>
          <w:tcPr>
            <w:tcW w:type="dxa" w:w="7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v1.2 — Complete. Session startup protocol, 10 absolute rules, API conventions, calculation service detail, testing requirements, compensation burden reference.</w:t>
            </w:r>
          </w:p>
        </w:tc>
      </w:tr>
      <w:tr>
        <w:tc>
          <w:tcPr>
            <w:tcW w:type="dxa" w:w="28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Local Dev Environment Specification</w:t>
            </w:r>
          </w:p>
        </w:tc>
        <w:tc>
          <w:tcPr>
            <w:tcW w:type="dxa" w:w="72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v1.1 — Complete. macOS toolchain, DuckDB local substitute, mock auth, repository structure, Makefile, VS Code launch configs, testing strategy.</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Azure Cloud Migration Specification</w:t>
            </w:r>
          </w:p>
        </w:tc>
        <w:tc>
          <w:tcPr>
            <w:tcW w:type="dxa" w:w="7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v2.0 — Complete. Canonical Azure provisioning, identity, schema bootstrap, deployment, Functions, validation stages. Supersedes Databricks-based migration specification.</w:t>
            </w:r>
          </w:p>
        </w:tc>
      </w:tr>
      <w:tr>
        <w:tc>
          <w:tcPr>
            <w:tcW w:type="dxa" w:w="28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Claude Code Subagents Specification</w:t>
            </w:r>
          </w:p>
        </w:tc>
        <w:tc>
          <w:tcPr>
            <w:tcW w:type="dxa" w:w="72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v0.2 — Complete. Three active subagents (spec-librarian, phase-gate-checker, azure-lifecycle-operator) and five deferred subagents with activation phases. Three additional subagents activated at Phase 1: terminology-guard, auth-flow-reviewer, frontend-conventions-reviewer.</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Phase Cloud Validation Strategy</w:t>
            </w:r>
          </w:p>
        </w:tc>
        <w:tc>
          <w:tcPr>
            <w:tcW w:type="dxa" w:w="7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v0.2 — Complete. Manual provision → deploy → test → teardown cycle per phase. Resource matrix. Validation tier isolation.</w:t>
            </w:r>
          </w:p>
        </w:tc>
      </w:tr>
    </w:tbl>
    <w:p>
      <w:pPr>
        <w:spacing w:after="60" w:before="60"/>
      </w:pPr>
      <w:r>
        <w:t xml:space="preserve"/>
      </w:r>
    </w:p>
    <w:p>
      <w:pPr>
        <w:pStyle w:val="Heading1"/>
        <w:spacing w:after="160" w:before="320"/>
      </w:pPr>
      <w:r>
        <w:rPr>
          <w:rFonts w:ascii="Arial" w:cs="Arial" w:eastAsia="Arial" w:hAnsi="Arial"/>
          <w:b/>
          <w:bCs/>
          <w:color w:val="1F3864"/>
          <w:sz w:val="32"/>
          <w:szCs w:val="32"/>
        </w:rPr>
        <w:t xml:space="preserve">5. Open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pPr>
              <w:spacing w:after="0" w:before="0"/>
            </w:pPr>
            <w:r>
              <w:rPr>
                <w:rFonts w:ascii="Arial" w:cs="Arial" w:eastAsia="Arial" w:hAnsi="Arial"/>
                <w:b/>
                <w:bCs/>
                <w:color w:val="375623"/>
                <w:sz w:val="20"/>
                <w:szCs w:val="20"/>
              </w:rPr>
              <w:t xml:space="preserve">All open questions across all specifications are resolved. No outstanding items remain.</w:t>
            </w:r>
          </w:p>
        </w:tc>
      </w:tr>
    </w:tbl>
    <w:p>
      <w:pPr>
        <w:spacing w:after="60" w:before="60"/>
      </w:pPr>
      <w:r>
        <w:t xml:space="preserve"/>
      </w:r>
    </w:p>
    <w:p>
      <w:pPr>
        <w:pStyle w:val="Heading1"/>
        <w:spacing w:after="160" w:before="320"/>
      </w:pPr>
      <w:r>
        <w:rPr>
          <w:rFonts w:ascii="Arial" w:cs="Arial" w:eastAsia="Arial" w:hAnsi="Arial"/>
          <w:b/>
          <w:bCs/>
          <w:color w:val="1F3864"/>
          <w:sz w:val="32"/>
          <w:szCs w:val="32"/>
        </w:rPr>
        <w:t xml:space="preserve">6. Terminology Notes</w:t>
      </w:r>
    </w:p>
    <w:p>
      <w:pPr>
        <w:spacing w:after="80" w:before="80"/>
      </w:pPr>
      <w:r>
        <w:rPr>
          <w:rFonts w:ascii="Arial" w:cs="Arial" w:eastAsia="Arial" w:hAnsi="Arial"/>
          <w:sz w:val="20"/>
          <w:szCs w:val="20"/>
        </w:rPr>
        <w:t xml:space="preserve">All terminology in this document and in all OBS specifications matches the System Context and Domain Glossary v1.11 exactly. Do not introduce synonyms or assume meanings not defined in the glossary. Every identifier in code, API paths, database column names, enum values, and UI labels must use the exact term from the Glossary. Examples: cost_center_id not cc_id; is_finance_reviewer not finance_reviewer_flag; ALL_WRITE not write_access.</w:t>
      </w:r>
    </w:p>
    <w:p>
      <w:pPr>
        <w:spacing w:after="60" w:before="60"/>
      </w:pPr>
      <w:r>
        <w:t xml:space="preserve"/>
      </w:r>
    </w:p>
    <w:p>
      <w:pPr>
        <w:pStyle w:val="Heading1"/>
        <w:spacing w:after="160" w:before="320"/>
      </w:pPr>
      <w:r>
        <w:rPr>
          <w:rFonts w:ascii="Arial" w:cs="Arial" w:eastAsia="Arial" w:hAnsi="Arial"/>
          <w:b/>
          <w:bCs/>
          <w:color w:val="1F3864"/>
          <w:sz w:val="32"/>
          <w:szCs w:val="32"/>
        </w:rPr>
        <w:t xml:space="preserve">7. Next Steps</w:t>
      </w:r>
    </w:p>
    <w:p>
      <w:pPr>
        <w:spacing w:after="80" w:before="80"/>
      </w:pPr>
      <w:r>
        <w:rPr>
          <w:rFonts w:ascii="Arial" w:cs="Arial" w:eastAsia="Arial" w:hAnsi="Arial"/>
          <w:sz w:val="20"/>
          <w:szCs w:val="20"/>
        </w:rPr>
        <w:t xml:space="preserve">Phase 0 (Infrastructure &amp; Platform Foundations) is Complete. Phase 1 (Authentication, User Registry &amp; Security Core) is now In Progress.</w:t>
      </w:r>
    </w:p>
    <w:p>
      <w:pPr>
        <w:spacing w:after="60" w:before="60"/>
      </w:pPr>
      <w:r>
        <w:t xml:space="preserve"/>
      </w:r>
    </w:p>
    <w:p>
      <w:pPr>
        <w:spacing w:after="80" w:before="80"/>
      </w:pPr>
      <w:r>
        <w:rPr>
          <w:rFonts w:ascii="Arial" w:cs="Arial" w:eastAsia="Arial" w:hAnsi="Arial"/>
          <w:sz w:val="20"/>
          <w:szCs w:val="20"/>
        </w:rPr>
        <w:t xml:space="preserve">Before beginning Phase 1 coding, confirm the following pre-coding setup steps are done (Per-Phase Build Checklist v0.1 §Phase 1 Part A):</w:t>
      </w:r>
    </w:p>
    <w:p>
      <w:pPr>
        <w:spacing w:after="60" w:before="60"/>
      </w:pPr>
      <w:r>
        <w:t xml:space="preserve"/>
      </w:r>
    </w:p>
    <w:p>
      <w:pPr>
        <w:pStyle w:val="ListParagraph"/>
        <w:numPr>
          <w:ilvl w:val="0"/>
          <w:numId w:val="2"/>
        </w:numPr>
        <w:spacing w:after="40" w:before="40"/>
      </w:pPr>
      <w:r>
        <w:rPr>
          <w:rFonts w:ascii="Arial" w:cs="Arial" w:eastAsia="Arial" w:hAnsi="Arial"/>
          <w:sz w:val="20"/>
          <w:szCs w:val="20"/>
        </w:rPr>
        <w:t xml:space="preserve">Add auth-flow-reviewer subagent: create .claude/agents/auth-flow-reviewer.md from Subagents Specification v0.2 §4.</w:t>
      </w:r>
    </w:p>
    <w:p>
      <w:pPr>
        <w:pStyle w:val="ListParagraph"/>
        <w:numPr>
          <w:ilvl w:val="0"/>
          <w:numId w:val="2"/>
        </w:numPr>
        <w:spacing w:after="40" w:before="40"/>
      </w:pPr>
      <w:r>
        <w:rPr>
          <w:rFonts w:ascii="Arial" w:cs="Arial" w:eastAsia="Arial" w:hAnsi="Arial"/>
          <w:sz w:val="20"/>
          <w:szCs w:val="20"/>
        </w:rPr>
        <w:t xml:space="preserve">Add terminology-guard subagent: create .claude/agents/terminology-guard.md from Subagents Specification v0.2 §4 (if not already added in Phase 0).</w:t>
      </w:r>
    </w:p>
    <w:p>
      <w:pPr>
        <w:pStyle w:val="ListParagraph"/>
        <w:numPr>
          <w:ilvl w:val="0"/>
          <w:numId w:val="2"/>
        </w:numPr>
        <w:spacing w:after="40" w:before="40"/>
      </w:pPr>
      <w:r>
        <w:rPr>
          <w:rFonts w:ascii="Arial" w:cs="Arial" w:eastAsia="Arial" w:hAnsi="Arial"/>
          <w:sz w:val="20"/>
          <w:szCs w:val="20"/>
        </w:rPr>
        <w:t xml:space="preserve">Add frontend-conventions-reviewer subagent: create .claude/agents/frontend-conventions-reviewer.md from Subagents Specification v0.2 §4.</w:t>
      </w:r>
    </w:p>
    <w:p>
      <w:pPr>
        <w:pStyle w:val="ListParagraph"/>
        <w:numPr>
          <w:ilvl w:val="0"/>
          <w:numId w:val="2"/>
        </w:numPr>
        <w:spacing w:after="40" w:before="40"/>
      </w:pPr>
      <w:r>
        <w:rPr>
          <w:rFonts w:ascii="Arial" w:cs="Arial" w:eastAsia="Arial" w:hAnsi="Arial"/>
          <w:sz w:val="20"/>
          <w:szCs w:val="20"/>
        </w:rPr>
        <w:t xml:space="preserve">Add the Phase 1 active conventions note to CLAUDE.md: the 7-step authorization flow (Security Spec v1.4 §9.1) is now enforced on every endpoint; confirm error codes follow §9.2 (401/403/404/409/422).</w:t>
      </w:r>
    </w:p>
    <w:p>
      <w:pPr>
        <w:spacing w:after="60" w:before="60"/>
      </w:pPr>
      <w:r>
        <w:t xml:space="preserve"/>
      </w:r>
    </w:p>
    <w:p>
      <w:pPr>
        <w:spacing w:after="80" w:before="80"/>
      </w:pPr>
      <w:r>
        <w:rPr>
          <w:rFonts w:ascii="Arial" w:cs="Arial" w:eastAsia="Arial" w:hAnsi="Arial"/>
          <w:sz w:val="20"/>
          <w:szCs w:val="20"/>
        </w:rPr>
        <w:t xml:space="preserve">Then paste the Phase 1 prompt from Per-Phase Build Checklist v0.1 §Phase 1 Part B into Claude Code.</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Borders>
              <w:top w:val="single" w:color="CCCCCC" w:sz="1"/>
              <w:left w:val="single" w:color="CCCCCC" w:sz="1"/>
              <w:bottom w:val="single" w:color="CCCCCC" w:sz="1"/>
              <w:right w:val="single" w:color="CCCCCC" w:sz="1"/>
            </w:tcBorders>
            <w:shd w:fill="FFF2CC" w:val="clear"/>
            <w:tcMar>
              <w:top w:type="dxa" w:w="100"/>
              <w:left w:type="dxa" w:w="160"/>
              <w:bottom w:type="dxa" w:w="100"/>
              <w:right w:type="dxa" w:w="160"/>
            </w:tcMar>
          </w:tcPr>
          <w:p>
            <w:pPr>
              <w:spacing w:after="0" w:before="0"/>
            </w:pPr>
            <w:r>
              <w:rPr>
                <w:rFonts w:ascii="Arial" w:cs="Arial" w:eastAsia="Arial" w:hAnsi="Arial"/>
                <w:b/>
                <w:bCs/>
                <w:color w:val="7F6000"/>
                <w:sz w:val="20"/>
                <w:szCs w:val="20"/>
              </w:rPr>
              <w:t xml:space="preserve">Phase 1 — Authentication, User Registry &amp; Security Core — In Progress. Confirm the three new subagents are in .claude/agents/ and CLAUDE.md is updated, then paste the Phase 1 prompt from Per-Phase Build Checklist v0.1 §Phase 1 Part B into Claude Code.</w:t>
            </w:r>
          </w:p>
        </w:tc>
      </w:tr>
    </w:tbl>
    <w:p>
      <w:pPr>
        <w:spacing w:after="60" w:before="60"/>
      </w:pPr>
      <w:r>
        <w:t xml:space="preserve"/>
      </w:r>
    </w:p>
    <w:p>
      <w:pPr>
        <w:pStyle w:val="Heading1"/>
        <w:spacing w:after="160" w:before="320"/>
      </w:pPr>
      <w:r>
        <w:rPr>
          <w:rFonts w:ascii="Arial" w:cs="Arial" w:eastAsia="Arial" w:hAnsi="Arial"/>
          <w:b/>
          <w:bCs/>
          <w:color w:val="1F3864"/>
          <w:sz w:val="32"/>
          <w:szCs w:val="32"/>
        </w:rPr>
        <w:t xml:space="preserve">8. 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1400"/>
        <w:gridCol w:w="6080"/>
      </w:tblGrid>
      <w:tr>
        <w:tc>
          <w:tcPr>
            <w:tcW w:type="dxa" w:w="12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top"/>
          </w:tcPr>
          <w:p>
            <w:pPr>
              <w:spacing w:after="0" w:before="0"/>
            </w:pPr>
            <w:r>
              <w:rPr>
                <w:rFonts w:ascii="Arial" w:cs="Arial" w:eastAsia="Arial" w:hAnsi="Arial"/>
                <w:b/>
                <w:bCs/>
                <w:color w:val="1F3864"/>
                <w:sz w:val="18"/>
                <w:szCs w:val="18"/>
              </w:rPr>
              <w:t xml:space="preserve">Version</w:t>
            </w:r>
          </w:p>
        </w:tc>
        <w:tc>
          <w:tcPr>
            <w:tcW w:type="dxa" w:w="1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top"/>
          </w:tcPr>
          <w:p>
            <w:pPr>
              <w:spacing w:after="0" w:before="0"/>
            </w:pPr>
            <w:r>
              <w:rPr>
                <w:rFonts w:ascii="Arial" w:cs="Arial" w:eastAsia="Arial" w:hAnsi="Arial"/>
                <w:b/>
                <w:bCs/>
                <w:color w:val="1F3864"/>
                <w:sz w:val="18"/>
                <w:szCs w:val="18"/>
              </w:rPr>
              <w:t xml:space="preserve">Date</w:t>
            </w:r>
          </w:p>
        </w:tc>
        <w:tc>
          <w:tcPr>
            <w:tcW w:type="dxa" w:w="1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top"/>
          </w:tcPr>
          <w:p>
            <w:pPr>
              <w:spacing w:after="0" w:before="0"/>
            </w:pPr>
            <w:r>
              <w:rPr>
                <w:rFonts w:ascii="Arial" w:cs="Arial" w:eastAsia="Arial" w:hAnsi="Arial"/>
                <w:b/>
                <w:bCs/>
                <w:color w:val="1F3864"/>
                <w:sz w:val="18"/>
                <w:szCs w:val="18"/>
              </w:rPr>
              <w:t xml:space="preserve">Author</w:t>
            </w:r>
          </w:p>
        </w:tc>
        <w:tc>
          <w:tcPr>
            <w:tcW w:type="dxa" w:w="608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vAlign w:val="top"/>
          </w:tcPr>
          <w:p>
            <w:pPr>
              <w:spacing w:after="0" w:before="0"/>
            </w:pPr>
            <w:r>
              <w:rPr>
                <w:rFonts w:ascii="Arial" w:cs="Arial" w:eastAsia="Arial" w:hAnsi="Arial"/>
                <w:b/>
                <w:bCs/>
                <w:color w:val="1F3864"/>
                <w:sz w:val="18"/>
                <w:szCs w:val="18"/>
              </w:rPr>
              <w:t xml:space="preserve">Change Summary</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1.8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Draft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TBD</w:t>
            </w:r>
          </w:p>
        </w:tc>
        <w:tc>
          <w:tcPr>
            <w:tcW w:type="dxa" w:w="60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Records completion of Notification Mechanism Specification v1.0 and all four companion amendments. OI-WP-03 and OI-FAW-01 closed. Notification mechanism decisions added.</w:t>
            </w:r>
          </w:p>
        </w:tc>
      </w:tr>
      <w:tr>
        <w:tc>
          <w:tcPr>
            <w:tcW w:type="dxa" w:w="12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1.9</w:t>
            </w:r>
          </w:p>
        </w:tc>
        <w:tc>
          <w:tcPr>
            <w:tcW w:type="dxa" w:w="14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Draft</w:t>
            </w:r>
          </w:p>
        </w:tc>
        <w:tc>
          <w:tcPr>
            <w:tcW w:type="dxa" w:w="14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TBD</w:t>
            </w:r>
          </w:p>
        </w:tc>
        <w:tc>
          <w:tcPr>
            <w:tcW w:type="dxa" w:w="60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Records completion of UX and UI Specification v1.4 which resolves OI-RPT-01. Section 1.1 updated. Section 3.8 added. Section 5 OI-RPT-01 closed. Section 7 updated.</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2.0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Draft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TBD</w:t>
            </w:r>
          </w:p>
        </w:tc>
        <w:tc>
          <w:tcPr>
            <w:tcW w:type="dxa" w:w="60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Records resolution of all five Data Integration open items (OI-DI-02 through -07 except -06). Section 1.1 updated. Section 3.9 added. Section 4 and 5 updated. Section 7 cleared.</w:t>
            </w:r>
          </w:p>
        </w:tc>
      </w:tr>
      <w:tr>
        <w:tc>
          <w:tcPr>
            <w:tcW w:type="dxa" w:w="12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2.1</w:t>
            </w:r>
          </w:p>
        </w:tc>
        <w:tc>
          <w:tcPr>
            <w:tcW w:type="dxa" w:w="14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Draft</w:t>
            </w:r>
          </w:p>
        </w:tc>
        <w:tc>
          <w:tcPr>
            <w:tcW w:type="dxa" w:w="14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TBD</w:t>
            </w:r>
          </w:p>
        </w:tc>
        <w:tc>
          <w:tcPr>
            <w:tcW w:type="dxa" w:w="60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Records resolution of all three Budget Planning open items (OI-BP-01, -02, -03). Section 1.1 updated: Budget Planning v1.1 complete. Section 3.10 added. Section 4 and 5 updated.</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2.2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Draft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TBD</w:t>
            </w:r>
          </w:p>
        </w:tc>
        <w:tc>
          <w:tcPr>
            <w:tcW w:type="dxa" w:w="60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Records resolution of Finance Approval Workflow open item OI-FAW-01. Section 1.1 updated: Finance Approval Workflow v1.2 complete. Section 3.11 added. Section 4 and 5 updated.</w:t>
            </w:r>
          </w:p>
        </w:tc>
      </w:tr>
      <w:tr>
        <w:tc>
          <w:tcPr>
            <w:tcW w:type="dxa" w:w="12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2.3</w:t>
            </w:r>
          </w:p>
        </w:tc>
        <w:tc>
          <w:tcPr>
            <w:tcW w:type="dxa" w:w="14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Draft</w:t>
            </w:r>
          </w:p>
        </w:tc>
        <w:tc>
          <w:tcPr>
            <w:tcW w:type="dxa" w:w="14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TBD</w:t>
            </w:r>
          </w:p>
        </w:tc>
        <w:tc>
          <w:tcPr>
            <w:tcW w:type="dxa" w:w="60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Records resolution of Reporting open item OI-RPT-01. Section 1.1 updated: all open items resolved. Section 3.12 added. Section 4 document library updated. Section 5 OI-RPT-01 closed.</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2.4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Draft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Claude</w:t>
            </w:r>
          </w:p>
        </w:tc>
        <w:tc>
          <w:tcPr>
            <w:tcW w:type="dxa" w:w="60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Databricks-free platform cascade aligned to Architecture Spec v3.6. Section 1.1 architecture status updated. Document-library and related-document version references updated.</w:t>
            </w:r>
          </w:p>
        </w:tc>
      </w:tr>
      <w:tr>
        <w:tc>
          <w:tcPr>
            <w:tcW w:type="dxa" w:w="12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2.4 (errata)</w:t>
            </w:r>
          </w:p>
        </w:tc>
        <w:tc>
          <w:tcPr>
            <w:tcW w:type="dxa" w:w="14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Draft</w:t>
            </w:r>
          </w:p>
        </w:tc>
        <w:tc>
          <w:tcPr>
            <w:tcW w:type="dxa" w:w="14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Claude</w:t>
            </w:r>
          </w:p>
        </w:tc>
        <w:tc>
          <w:tcPr>
            <w:tcW w:type="dxa" w:w="60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Version-reference corrections per Specification Consistency &amp; Errata Report v1.0. Active references updated to current versions. Amendment banner rewritten. No technical content changed.</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2.4 (errata-2)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Draft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Claude</w:t>
            </w:r>
          </w:p>
        </w:tc>
        <w:tc>
          <w:tcPr>
            <w:tcW w:type="dxa" w:w="60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Reference integrity corrections (OBS Reference Integrity Report v1.0). Footer filename corrected. No content changed.</w:t>
            </w:r>
          </w:p>
        </w:tc>
      </w:tr>
      <w:tr>
        <w:tc>
          <w:tcPr>
            <w:tcW w:type="dxa" w:w="12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2.4 (errata-3)</w:t>
            </w:r>
          </w:p>
        </w:tc>
        <w:tc>
          <w:tcPr>
            <w:tcW w:type="dxa" w:w="14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Draft</w:t>
            </w:r>
          </w:p>
        </w:tc>
        <w:tc>
          <w:tcPr>
            <w:tcW w:type="dxa" w:w="14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Claude</w:t>
            </w:r>
          </w:p>
        </w:tc>
        <w:tc>
          <w:tcPr>
            <w:tcW w:type="dxa" w:w="60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Reference integrity corrections (OBS Reference Integrity Report v1.0, Batch 3). Data Integration Specification v1.6 → v1.8 in §1.1, reading order, and Related Documents. No content changed.</w:t>
            </w:r>
          </w:p>
        </w:tc>
      </w:tr>
      <w:tr>
        <w:tc>
          <w:tcPr>
            <w:tcW w:type="dxa" w:w="1200"/>
            <w:tcBorders>
              <w:top w:val="single" w:color="CCCCCC" w:sz="1"/>
              <w:left w:val="single" w:color="CCCCCC" w:sz="1"/>
              <w:bottom w:val="single" w:color="CCCCCC" w:sz="1"/>
              <w:right w:val="single" w:color="CCCCCC" w:sz="1"/>
            </w:tcBorders>
            <w:shd w:fill="EBF3FB"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2.5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Draft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Claude</w:t>
            </w:r>
          </w:p>
        </w:tc>
        <w:tc>
          <w:tcPr>
            <w:tcW w:type="dxa" w:w="60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Self-contained restatement. Sections 2.1–2.14 and 3.1–3.5 fully stated. Section 1.2 (Build Phase Status Register) added. Section 4 Document Library expanded. Section 7 updated with Phase 0 call to action.</w:t>
            </w:r>
          </w:p>
        </w:tc>
      </w:tr>
      <w:tr>
        <w:tc>
          <w:tcPr>
            <w:tcW w:type="dxa" w:w="12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2.6</w:t>
            </w:r>
          </w:p>
        </w:tc>
        <w:tc>
          <w:tcPr>
            <w:tcW w:type="dxa" w:w="14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Draft</w:t>
            </w:r>
          </w:p>
        </w:tc>
        <w:tc>
          <w:tcPr>
            <w:tcW w:type="dxa" w:w="140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val="false"/>
                <w:bCs w:val="false"/>
                <w:color w:val="000000"/>
                <w:sz w:val="18"/>
                <w:szCs w:val="18"/>
              </w:rPr>
              <w:t xml:space="preserve">Claude</w:t>
            </w:r>
          </w:p>
        </w:tc>
        <w:tc>
          <w:tcPr>
            <w:tcW w:type="dxa" w:w="6080"/>
            <w:tcBorders>
              <w:top w:val="single" w:color="CCCCCC" w:sz="1"/>
              <w:left w:val="single" w:color="CCCCCC" w:sz="1"/>
              <w:bottom w:val="single" w:color="CCCCCC" w:sz="1"/>
              <w:right w:val="single" w:color="CCCCCC" w:sz="1"/>
            </w:tcBorders>
            <w:shd w:fill="F8FBFF" w:val="clear"/>
            <w:tcMar>
              <w:top w:type="dxa" w:w="80"/>
              <w:left w:type="dxa" w:w="140"/>
              <w:bottom w:type="dxa" w:w="80"/>
              <w:right w:type="dxa" w:w="140"/>
            </w:tcMar>
            <w:vAlign w:val="top"/>
          </w:tcPr>
          <w:p>
            <w:pPr>
              <w:spacing w:after="0" w:before="0"/>
            </w:pPr>
            <w:r>
              <w:rPr>
                <w:rFonts w:ascii="Arial" w:cs="Arial" w:eastAsia="Arial" w:hAnsi="Arial"/>
                <w:b/>
                <w:bCs/>
                <w:color w:val="000000"/>
                <w:sz w:val="18"/>
                <w:szCs w:val="18"/>
              </w:rPr>
              <w:t xml:space="preserve">Phase 0 Complete. Phase 1 In Progress. Section 1.1 implementation phase row updated. Section 1.2 Build Phase Status Register updated: Phase 0 → Complete, Phase 1 → In Progress. Section 7 Next Steps updated with Phase 1 call to action. Document Control v2.6 row added.</w:t>
            </w:r>
          </w:p>
        </w:tc>
      </w:tr>
    </w:tbl>
    <w:p>
      <w:pPr>
        <w:spacing w:after="60" w:before="60"/>
      </w:pPr>
      <w:r>
        <w:t xml:space="preserve"/>
      </w:r>
    </w:p>
    <w:p>
      <w:pPr>
        <w:pStyle w:val="Heading2"/>
        <w:spacing w:after="120" w:before="240"/>
      </w:pPr>
      <w:r>
        <w:rPr>
          <w:rFonts w:ascii="Arial" w:cs="Arial" w:eastAsia="Arial" w:hAnsi="Arial"/>
          <w:b/>
          <w:bCs/>
          <w:color w:val="2E75B6"/>
          <w:sz w:val="26"/>
          <w:szCs w:val="26"/>
        </w:rPr>
        <w:t xml:space="preserve">Related Documents</w:t>
      </w:r>
    </w:p>
    <w:p>
      <w:pPr>
        <w:pStyle w:val="ListParagraph"/>
        <w:numPr>
          <w:ilvl w:val="0"/>
          <w:numId w:val="2"/>
        </w:numPr>
        <w:spacing w:after="40" w:before="40"/>
      </w:pPr>
      <w:r>
        <w:rPr>
          <w:rFonts w:ascii="Arial" w:cs="Arial" w:eastAsia="Arial" w:hAnsi="Arial"/>
          <w:sz w:val="20"/>
          <w:szCs w:val="20"/>
        </w:rPr>
        <w:t xml:space="preserve">OPEX Budgeting System — System Context and Domain Glossary v1.11</w:t>
      </w:r>
    </w:p>
    <w:p>
      <w:pPr>
        <w:pStyle w:val="ListParagraph"/>
        <w:numPr>
          <w:ilvl w:val="0"/>
          <w:numId w:val="2"/>
        </w:numPr>
        <w:spacing w:after="40" w:before="40"/>
      </w:pPr>
      <w:r>
        <w:rPr>
          <w:rFonts w:ascii="Arial" w:cs="Arial" w:eastAsia="Arial" w:hAnsi="Arial"/>
          <w:sz w:val="20"/>
          <w:szCs w:val="20"/>
        </w:rPr>
        <w:t xml:space="preserve">OPEX Budgeting System — Application Architecture Specification v3.6</w:t>
      </w:r>
    </w:p>
    <w:p>
      <w:pPr>
        <w:pStyle w:val="ListParagraph"/>
        <w:numPr>
          <w:ilvl w:val="0"/>
          <w:numId w:val="2"/>
        </w:numPr>
        <w:spacing w:after="40" w:before="40"/>
      </w:pPr>
      <w:r>
        <w:rPr>
          <w:rFonts w:ascii="Arial" w:cs="Arial" w:eastAsia="Arial" w:hAnsi="Arial"/>
          <w:sz w:val="20"/>
          <w:szCs w:val="20"/>
        </w:rPr>
        <w:t xml:space="preserve">OPEX Budgeting System — Security and Access Control Specification v1.4</w:t>
      </w:r>
    </w:p>
    <w:p>
      <w:pPr>
        <w:pStyle w:val="ListParagraph"/>
        <w:numPr>
          <w:ilvl w:val="0"/>
          <w:numId w:val="2"/>
        </w:numPr>
        <w:spacing w:after="40" w:before="40"/>
      </w:pPr>
      <w:r>
        <w:rPr>
          <w:rFonts w:ascii="Arial" w:cs="Arial" w:eastAsia="Arial" w:hAnsi="Arial"/>
          <w:sz w:val="20"/>
          <w:szCs w:val="20"/>
        </w:rPr>
        <w:t xml:space="preserve">OPEX Budgeting System — UX and UI Specification v1.5</w:t>
      </w:r>
    </w:p>
    <w:p>
      <w:pPr>
        <w:pStyle w:val="ListParagraph"/>
        <w:numPr>
          <w:ilvl w:val="0"/>
          <w:numId w:val="2"/>
        </w:numPr>
        <w:spacing w:after="40" w:before="40"/>
      </w:pPr>
      <w:r>
        <w:rPr>
          <w:rFonts w:ascii="Arial" w:cs="Arial" w:eastAsia="Arial" w:hAnsi="Arial"/>
          <w:sz w:val="20"/>
          <w:szCs w:val="20"/>
        </w:rPr>
        <w:t xml:space="preserve">OPEX Budgeting System — Data Integration Specification v1.8</w:t>
      </w:r>
    </w:p>
    <w:p>
      <w:pPr>
        <w:pStyle w:val="ListParagraph"/>
        <w:numPr>
          <w:ilvl w:val="0"/>
          <w:numId w:val="2"/>
        </w:numPr>
        <w:spacing w:after="40" w:before="40"/>
      </w:pPr>
      <w:r>
        <w:rPr>
          <w:rFonts w:ascii="Arial" w:cs="Arial" w:eastAsia="Arial" w:hAnsi="Arial"/>
          <w:sz w:val="20"/>
          <w:szCs w:val="20"/>
        </w:rPr>
        <w:t xml:space="preserve">OPEX Budgeting System — In-Application Notification Mechanism Specification v1.1</w:t>
      </w:r>
    </w:p>
    <w:p>
      <w:pPr>
        <w:pStyle w:val="ListParagraph"/>
        <w:numPr>
          <w:ilvl w:val="0"/>
          <w:numId w:val="2"/>
        </w:numPr>
        <w:spacing w:after="40" w:before="40"/>
      </w:pPr>
      <w:r>
        <w:rPr>
          <w:rFonts w:ascii="Arial" w:cs="Arial" w:eastAsia="Arial" w:hAnsi="Arial"/>
          <w:sz w:val="20"/>
          <w:szCs w:val="20"/>
        </w:rPr>
        <w:t xml:space="preserve">OPEX Budgeting System — Functional Requirements: Budget Planning v1.1</w:t>
      </w:r>
    </w:p>
    <w:p>
      <w:pPr>
        <w:pStyle w:val="ListParagraph"/>
        <w:numPr>
          <w:ilvl w:val="0"/>
          <w:numId w:val="2"/>
        </w:numPr>
        <w:spacing w:after="40" w:before="40"/>
      </w:pPr>
      <w:r>
        <w:rPr>
          <w:rFonts w:ascii="Arial" w:cs="Arial" w:eastAsia="Arial" w:hAnsi="Arial"/>
          <w:sz w:val="20"/>
          <w:szCs w:val="20"/>
        </w:rPr>
        <w:t xml:space="preserve">OPEX Budgeting System — Functional Requirements: Workforce Planning v1.1</w:t>
      </w:r>
    </w:p>
    <w:p>
      <w:pPr>
        <w:pStyle w:val="ListParagraph"/>
        <w:numPr>
          <w:ilvl w:val="0"/>
          <w:numId w:val="2"/>
        </w:numPr>
        <w:spacing w:after="40" w:before="40"/>
      </w:pPr>
      <w:r>
        <w:rPr>
          <w:rFonts w:ascii="Arial" w:cs="Arial" w:eastAsia="Arial" w:hAnsi="Arial"/>
          <w:sz w:val="20"/>
          <w:szCs w:val="20"/>
        </w:rPr>
        <w:t xml:space="preserve">OPEX Budgeting System — Functional Requirements: Reporting v1.1</w:t>
      </w:r>
    </w:p>
    <w:p>
      <w:pPr>
        <w:pStyle w:val="ListParagraph"/>
        <w:numPr>
          <w:ilvl w:val="0"/>
          <w:numId w:val="2"/>
        </w:numPr>
        <w:spacing w:after="40" w:before="40"/>
      </w:pPr>
      <w:r>
        <w:rPr>
          <w:rFonts w:ascii="Arial" w:cs="Arial" w:eastAsia="Arial" w:hAnsi="Arial"/>
          <w:sz w:val="20"/>
          <w:szCs w:val="20"/>
        </w:rPr>
        <w:t xml:space="preserve">OPEX Budgeting System — Functional Requirements: Finance Approval Workflow v1.2</w:t>
      </w:r>
    </w:p>
    <w:p>
      <w:pPr>
        <w:pStyle w:val="ListParagraph"/>
        <w:numPr>
          <w:ilvl w:val="0"/>
          <w:numId w:val="2"/>
        </w:numPr>
        <w:spacing w:after="40" w:before="40"/>
      </w:pPr>
      <w:r>
        <w:rPr>
          <w:rFonts w:ascii="Arial" w:cs="Arial" w:eastAsia="Arial" w:hAnsi="Arial"/>
          <w:sz w:val="20"/>
          <w:szCs w:val="20"/>
        </w:rPr>
        <w:t xml:space="preserve">OPEX Budgeting System — Budget Entry Workflow Consolidated v1.0</w:t>
      </w:r>
    </w:p>
    <w:p>
      <w:pPr>
        <w:pStyle w:val="ListParagraph"/>
        <w:numPr>
          <w:ilvl w:val="0"/>
          <w:numId w:val="2"/>
        </w:numPr>
        <w:spacing w:after="40" w:before="40"/>
      </w:pPr>
      <w:r>
        <w:rPr>
          <w:rFonts w:ascii="Arial" w:cs="Arial" w:eastAsia="Arial" w:hAnsi="Arial"/>
          <w:sz w:val="20"/>
          <w:szCs w:val="20"/>
        </w:rPr>
        <w:t xml:space="preserve">OPEX Budgeting System — Build Sequencing Plan v1.2</w:t>
      </w:r>
    </w:p>
    <w:p>
      <w:pPr>
        <w:pStyle w:val="ListParagraph"/>
        <w:numPr>
          <w:ilvl w:val="0"/>
          <w:numId w:val="2"/>
        </w:numPr>
        <w:spacing w:after="40" w:before="40"/>
      </w:pPr>
      <w:r>
        <w:rPr>
          <w:rFonts w:ascii="Arial" w:cs="Arial" w:eastAsia="Arial" w:hAnsi="Arial"/>
          <w:sz w:val="20"/>
          <w:szCs w:val="20"/>
        </w:rPr>
        <w:t xml:space="preserve">OPEX Budgeting System — Per-Phase Build Checklist v0.1</w:t>
      </w:r>
    </w:p>
    <w:p>
      <w:pPr>
        <w:pStyle w:val="ListParagraph"/>
        <w:numPr>
          <w:ilvl w:val="0"/>
          <w:numId w:val="2"/>
        </w:numPr>
        <w:spacing w:after="40" w:before="40"/>
      </w:pPr>
      <w:r>
        <w:rPr>
          <w:rFonts w:ascii="Arial" w:cs="Arial" w:eastAsia="Arial" w:hAnsi="Arial"/>
          <w:sz w:val="20"/>
          <w:szCs w:val="20"/>
        </w:rPr>
        <w:t xml:space="preserve">OPEX Budgeting System — Claude Code Implementation Guide v1.2</w:t>
      </w:r>
    </w:p>
    <w:p>
      <w:pPr>
        <w:pStyle w:val="ListParagraph"/>
        <w:numPr>
          <w:ilvl w:val="0"/>
          <w:numId w:val="2"/>
        </w:numPr>
        <w:spacing w:after="40" w:before="40"/>
      </w:pPr>
      <w:r>
        <w:rPr>
          <w:rFonts w:ascii="Arial" w:cs="Arial" w:eastAsia="Arial" w:hAnsi="Arial"/>
          <w:sz w:val="20"/>
          <w:szCs w:val="20"/>
        </w:rPr>
        <w:t xml:space="preserve">OPEX Budgeting System — Local Dev Environment Specification v1.1</w:t>
      </w:r>
    </w:p>
    <w:p>
      <w:pPr>
        <w:pStyle w:val="ListParagraph"/>
        <w:numPr>
          <w:ilvl w:val="0"/>
          <w:numId w:val="2"/>
        </w:numPr>
        <w:spacing w:after="40" w:before="40"/>
      </w:pPr>
      <w:r>
        <w:rPr>
          <w:rFonts w:ascii="Arial" w:cs="Arial" w:eastAsia="Arial" w:hAnsi="Arial"/>
          <w:sz w:val="20"/>
          <w:szCs w:val="20"/>
        </w:rPr>
        <w:t xml:space="preserve">OPEX Budgeting System — Azure Cloud Migration Specification v2.0</w:t>
      </w:r>
    </w:p>
    <w:p>
      <w:pPr>
        <w:pStyle w:val="ListParagraph"/>
        <w:numPr>
          <w:ilvl w:val="0"/>
          <w:numId w:val="2"/>
        </w:numPr>
        <w:spacing w:after="40" w:before="40"/>
      </w:pPr>
      <w:r>
        <w:rPr>
          <w:rFonts w:ascii="Arial" w:cs="Arial" w:eastAsia="Arial" w:hAnsi="Arial"/>
          <w:sz w:val="20"/>
          <w:szCs w:val="20"/>
        </w:rPr>
        <w:t xml:space="preserve">OPEX Budgeting System — Claude Code Subagents Specification v0.2</w:t>
      </w:r>
    </w:p>
    <w:p>
      <w:pPr>
        <w:pStyle w:val="ListParagraph"/>
        <w:numPr>
          <w:ilvl w:val="0"/>
          <w:numId w:val="2"/>
        </w:numPr>
        <w:spacing w:after="40" w:before="40"/>
      </w:pPr>
      <w:r>
        <w:rPr>
          <w:rFonts w:ascii="Arial" w:cs="Arial" w:eastAsia="Arial" w:hAnsi="Arial"/>
          <w:sz w:val="20"/>
          <w:szCs w:val="20"/>
        </w:rPr>
        <w:t xml:space="preserve">OPEX Budgeting System — Phase Cloud Validation Strategy v0.2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tabs>
        <w:tab w:val="right" w:pos="10080"/>
      </w:tabs>
      <w:spacing w:after="0" w:before="120"/>
    </w:pPr>
    <w:r>
      <w:rPr>
        <w:rFonts w:ascii="Arial" w:cs="Arial" w:eastAsia="Arial" w:hAnsi="Arial"/>
        <w:color w:val="555555"/>
        <w:sz w:val="16"/>
        <w:szCs w:val="16"/>
      </w:rPr>
      <w:t xml:space="preserve">OBS — Project Context Handoff — v2.6 Draft</w:t>
    </w:r>
    <w:r>
      <w:rPr>
        <w:rFonts w:ascii="Arial" w:cs="Arial" w:eastAsia="Arial" w:hAnsi="Arial"/>
        <w:color w:val="555555"/>
        <w:sz w:val="16"/>
        <w:szCs w:val="16"/>
      </w:rPr>
      <w:t xml:space="preserve">		Page </w:t>
    </w:r>
    <w:fldSimple w:instr="[object Objec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tabs>
        <w:tab w:val="right" w:pos="10080"/>
      </w:tabs>
      <w:spacing w:after="120" w:before="0"/>
    </w:pPr>
    <w:r>
      <w:rPr>
        <w:rFonts w:ascii="Arial" w:cs="Arial" w:eastAsia="Arial" w:hAnsi="Arial"/>
        <w:color w:val="555555"/>
        <w:sz w:val="16"/>
        <w:szCs w:val="16"/>
      </w:rPr>
      <w:t xml:space="preserve">OPEX Budgeting System (OBS)   |   CONFIDENTIAL · DRAFT</w:t>
    </w:r>
    <w:r>
      <w:rPr>
        <w:rFonts w:ascii="Arial" w:cs="Arial" w:eastAsia="Arial" w:hAnsi="Arial"/>
        <w:sz w:val="16"/>
        <w:szCs w:val="16"/>
      </w:rPr>
      <w:t xml:space="preserve">		</w:t>
    </w:r>
    <w:r>
      <w:rPr>
        <w:rFonts w:ascii="Arial" w:cs="Arial" w:eastAsia="Arial" w:hAnsi="Arial"/>
        <w:b/>
        <w:bCs/>
        <w:color w:val="555555"/>
        <w:sz w:val="16"/>
        <w:szCs w:val="16"/>
      </w:rPr>
      <w:t xml:space="preserve">CONFIDENTIAL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2026-06-19T04:08:27.204Z</dcterms:created>
  <dcterms:modified xsi:type="dcterms:W3CDTF">2026-06-19T04:08:27.204Z</dcterms:modified>
</cp:coreProperties>
</file>

<file path=docProps/custom.xml><?xml version="1.0" encoding="utf-8"?>
<Properties xmlns="http://schemas.openxmlformats.org/officeDocument/2006/custom-properties" xmlns:vt="http://schemas.openxmlformats.org/officeDocument/2006/docPropsVTypes"/>
</file>