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956718" w14:textId="77777777">
      <w:pPr>
        <w:pStyle w:val="923"/>
        <w:pBdr/>
        <w:spacing/>
        <w:ind/>
        <w:rPr/>
      </w:pPr>
      <w:r>
        <w:t xml:space="preserve"> 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Introdução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Esta política estabelece diretrizes e procedimentos relativos ao abastecimento de frota da empresa, garantindo eficiência, controle e sustentabilidade.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Objetivo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 objetivo desta política é definir as regras e responsabilidades para o abastecimento de veículos da frota, assegurando a otimização dos recursos e a redução de custos operacionais.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Abrangência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Esta política se aplica a todos os veículos pertencentes à frota da empresa e aos colaboradores e fornecedores envolvidos no processo de abastecimento.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Definições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Para fins desta política, considera-se: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Frota: Conjunto de veículos automotores pertencentes à empresa.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Abastecimento: Ato de reabastecer o tanque de combustível dos veículos da frota.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Colaboradores: Funcionários e prestadores de serviço que utilizam os veículos da frota.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Responsabilidades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Gestão de Abastecimento de Frota (GESAD) é responsável por: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Monitorar e controlar o abastecimento dos veículos.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Formular e revisar esta política periodicamente.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Garantir o cumprimento das diretrizes estabelecidas.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Fornecer treinamento aos colaboradores sobre as práticas de abastecimento.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Procedimentos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Os procedimentos para o abastecimento da frota são: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Abastecer nos postos de combustíveis credenciados.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Registrar o abastecimento no sistema de controle de frota.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Utilizar o cartão de abastecimento fornecido pela empresa.</w:t>
      </w:r>
      <w:r/>
    </w:p>
    <w:p>
      <w:pPr>
        <w:pStyle w:val="924"/>
        <w:pBdr/>
        <w:spacing w:after="60" w:before="0"/>
        <w:ind w:hanging="357" w:left="720"/>
        <w:rPr/>
      </w:pPr>
      <w:r>
        <w:t xml:space="preserve">• </w:t>
      </w:r>
      <w:r>
        <w:t xml:space="preserve">Manter registros atualizados e apresentar relatórios mensais.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Credenciamento de Postos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empresa somente credenciará postos de combustíveis que garantam a qualidade e a procedência do combustível, além do cumprimento das normas ambientais.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Cartão de Abastecimento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 cartão de abastecimento é pessoal e intransferível, devendo ser utilizado exclusivamente para fins de abastecimento dos veículos da frota.</w:t>
      </w:r>
      <w:r/>
    </w:p>
    <w:p>
      <w:pPr>
        <w:pStyle w:val="923"/>
        <w:pBdr/>
        <w:spacing w:after="120"/>
        <w:ind w:firstLine="0"/>
        <w:jc w:val="both"/>
        <w:rPr/>
      </w:pPr>
      <w:r>
        <w:t xml:space="preserve">A tabela abaixo apresenta a quantidade de combustível por litro necessária para cada cargo.</w:t>
      </w:r>
      <w:r/>
    </w:p>
    <w:tbl>
      <w:tblPr>
        <w:tblStyle w:val="932"/>
        <w:tblW w:w="0" w:type="auto"/>
        <w:tblBorders/>
        <w:tblLook w:val="04A0" w:firstRow="1" w:lastRow="0" w:firstColumn="1" w:lastColumn="0" w:noHBand="0" w:noVBand="1"/>
      </w:tblPr>
      <w:tblGrid>
        <w:gridCol w:w="3309"/>
        <w:gridCol w:w="3309"/>
        <w:gridCol w:w="3309"/>
      </w:tblGrid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Cargo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Quantidade Por Litro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Departamento</w:t>
            </w:r>
            <w:r/>
          </w:p>
        </w:tc>
      </w:tr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Gerente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 litros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Operacional</w:t>
            </w:r>
            <w:r/>
          </w:p>
        </w:tc>
      </w:tr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Supervisor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 litros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Logística</w:t>
            </w:r>
            <w:r/>
          </w:p>
        </w:tc>
      </w:tr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Motorista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25 litros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Transporte</w:t>
            </w:r>
            <w:r/>
          </w:p>
        </w:tc>
      </w:tr>
    </w:tbl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Sustentabilidade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Promover práticas de abastecimento que minimizem o impacto ambiental, mediante a utilização de combustíveis alternativos e a adoção de medidas de eficiência energética.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Controle e Auditoria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GESAD realizará auditorias periódicas para garantir a conformidade com esta política e identificar oportunidades de melhorias.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Penalidades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 descumprimento das diretrizes desta política sujeitará os responsáveis às penalidades previstas no regulamento interno da empresa.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Revisão da Política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Esta política será revisada a cada 2 anos ou sempre que necessário, para assegurar sua contínua adequação e eficácia.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Disposições Finais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Esta política entra em vigor na data de sua publicação e revoga as disposições em contrário.</w:t>
      </w:r>
      <w:r/>
    </w:p>
    <w:p w14:paraId="5B4B504C" w14:textId="735464AD">
      <w:pPr>
        <w:pStyle w:val="924"/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sectPr>
      <w:headerReference w:type="default" r:id="rId9"/>
      <w:footerReference w:type="default" r:id="rId10"/>
      <w:footerReference w:type="even" r:id="rId11"/>
      <w:footerReference w:type="first" r:id="rId12"/>
      <w:footnotePr/>
      <w:endnotePr/>
      <w:type w:val="nextPage"/>
      <w:pgSz w:h="16840" w:orient="portrait" w:w="11910"/>
      <w:pgMar w:top="2778" w:right="992" w:bottom="1140" w:left="992" w:header="482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3583D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09879E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C39C4F" w14:textId="78D8A5A0">
    <w:pPr>
      <w:pStyle w:val="923"/>
      <w:pBdr/>
      <w:spacing w:line="14" w:lineRule="auto"/>
      <w:ind/>
      <w:jc w:val="center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33504" behindDoc="1" locked="0" layoutInCell="1" allowOverlap="1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2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>
                          <w:pPr>
                            <w:pBdr/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Página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-251733504;o:allowoverlap:true;o:allowincell:true;mso-position-horizontal-relative:margin;margin-left:391.45pt;mso-position-horizontal:absolute;mso-position-vertical-relative:bottom-margin-area;margin-top:1.32pt;mso-position-vertical:absolute;width:59.75pt;height:10.25pt;mso-wrap-distance-left:0.00pt;mso-wrap-distance-top:0.00pt;mso-wrap-distance-right:0.00pt;mso-wrap-distance-bottom:0.00pt;visibility:visible;" filled="f">
              <v:textbox inset="0,0,0,0">
                <w:txbxContent>
                  <w:p w14:paraId="58565E3A" w14:textId="3499AB1B">
                    <w:pPr>
                      <w:pBdr/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Página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pacing w:val="1"/>
                        <w:sz w:val="16"/>
                      </w:rPr>
                      <w:fldChar w:fldCharType="begin"/>
                    </w:r>
                    <w:r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>
                      <w:rPr>
                        <w:spacing w:val="1"/>
                        <w:sz w:val="16"/>
                      </w:rPr>
                      <w:fldChar w:fldCharType="separate"/>
                    </w:r>
                    <w:r>
                      <w:rPr>
                        <w:spacing w:val="1"/>
                        <w:sz w:val="16"/>
                      </w:rPr>
                      <w:t xml:space="preserve">1</w:t>
                    </w:r>
                    <w:r>
                      <w:rPr>
                        <w:spacing w:val="1"/>
                        <w:sz w:val="16"/>
                      </w:rPr>
                      <w:fldChar w:fldCharType="end"/>
                    </w:r>
                    <w:r>
                      <w:rPr>
                        <w:spacing w:val="1"/>
                        <w:sz w:val="16"/>
                      </w:rPr>
                      <w:t xml:space="preserve"> de </w:t>
                    </w:r>
                    <w:r>
                      <w:rPr>
                        <w:spacing w:val="1"/>
                        <w:sz w:val="16"/>
                      </w:rPr>
                      <w:fldChar w:fldCharType="begin"/>
                    </w:r>
                    <w:r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>
                      <w:rPr>
                        <w:spacing w:val="1"/>
                        <w:sz w:val="16"/>
                      </w:rPr>
                      <w:fldChar w:fldCharType="separate"/>
                    </w:r>
                    <w:r>
                      <w:rPr>
                        <w:spacing w:val="1"/>
                        <w:sz w:val="16"/>
                      </w:rPr>
                      <w:t xml:space="preserve">1</w:t>
                    </w:r>
                    <w:r>
                      <w:rPr>
                        <w:spacing w:val="1"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25312" behindDoc="1" locked="0" layoutInCell="1" allowOverlap="1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3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25/11/2026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-251725312;o:allowoverlap:true;o:allowincell:true;mso-position-horizontal-relative:page;margin-left:286.19pt;mso-position-horizontal:absolute;mso-position-vertical-relative:bottom-margin-area;margin-top:0.55pt;mso-position-vertical:absolute;width:132.00pt;height:12.25pt;mso-wrap-distance-left:0.00pt;mso-wrap-distance-top:0.00pt;mso-wrap-distance-right:0.00pt;mso-wrap-distance-bottom:0.00pt;visibility:visible;" filled="f">
              <v:textbox inset="0,0,0,0">
                <w:txbxContent>
                  <w:p w14:paraId="249A4581" w14:textId="3D9932E8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25/11/2026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17120" behindDoc="1" locked="0" layoutInCell="1" allowOverlap="1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4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25/11/2024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-251717120;o:allowoverlap:true;o:allowincell:true;mso-position-horizontal-relative:page;margin-left:89.48pt;mso-position-horizontal:absolute;mso-position-vertical-relative:page;margin-top:784.95pt;mso-position-vertical:absolute;width:165.75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7E596215" w14:textId="517E83C4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25/11/2024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4C9BF7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B092191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C13329" w14:textId="77777777"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160710" cy="576072"/>
              <wp:effectExtent l="0" t="0" r="0" b="0"/>
              <wp:docPr id="1" name="Image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16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60710" cy="5760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91.39pt;height:45.36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64D48A61" w14:textId="77777777">
    <w:pPr>
      <w:pStyle w:val="923"/>
      <w:pBdr/>
      <w:spacing w:before="1"/>
      <w:ind/>
      <w:rPr>
        <w:rFonts w:ascii="Arial"/>
        <w:b/>
        <w:sz w:val="14"/>
      </w:rPr>
    </w:pPr>
    <w:r>
      <w:rPr>
        <w:rFonts w:ascii="Arial"/>
        <w:b/>
        <w:sz w:val="14"/>
      </w:rPr>
    </w:r>
    <w:r>
      <w:rPr>
        <w:rFonts w:ascii="Arial"/>
        <w:b/>
        <w:sz w:val="14"/>
      </w:rPr>
    </w:r>
  </w:p>
  <w:tbl>
    <w:tblPr>
      <w:tblStyle w:val="922"/>
      <w:tblInd w:w="702" w:type="dxa"/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>
      <w:trPr>
        <w:trHeight w:val="550"/>
      </w:trPr>
      <w:tc>
        <w:tcPr>
          <w:tcBorders/>
          <w:tcW w:w="4107" w:type="dxa"/>
          <w:textDirection w:val="lrTb"/>
          <w:noWrap w:val="false"/>
        </w:tcPr>
        <w:p w14:paraId="48CD86F3" w14:textId="25A3AC54">
          <w:pPr>
            <w:pStyle w:val="925"/>
            <w:pBdr/>
            <w:spacing w:before="135"/>
            <w:ind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 xml:space="preserve">Abastecimento de Frota</w:t>
          </w:r>
          <w:r>
            <w:rPr>
              <w:rFonts w:ascii="Arial" w:hAnsi="Arial"/>
              <w:b/>
              <w:sz w:val="24"/>
            </w:rPr>
          </w:r>
        </w:p>
      </w:tc>
      <w:tc>
        <w:tcPr>
          <w:tcBorders/>
          <w:tcW w:w="4392" w:type="dxa"/>
          <w:textDirection w:val="lrTb"/>
          <w:noWrap w:val="false"/>
        </w:tcPr>
        <w:p w14:paraId="0FBEFEB5" w14:textId="66F22B38">
          <w:pPr>
            <w:pStyle w:val="925"/>
            <w:pBdr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 xml:space="preserve">FIERGS-HO-321</w:t>
          </w:r>
          <w:r>
            <w:rPr>
              <w:rFonts w:ascii="Arial"/>
              <w:b/>
              <w:sz w:val="24"/>
            </w:rPr>
          </w:r>
        </w:p>
      </w:tc>
    </w:tr>
    <w:tr>
      <w:trPr>
        <w:trHeight w:val="660"/>
      </w:trPr>
      <w:tc>
        <w:tcPr>
          <w:tcBorders/>
          <w:tcW w:w="4107" w:type="dxa"/>
          <w:textDirection w:val="lrTb"/>
          <w:noWrap w:val="false"/>
        </w:tcPr>
        <w:p w14:paraId="44184A0F" w14:textId="77777777">
          <w:pPr>
            <w:pStyle w:val="925"/>
            <w:pBdr/>
            <w:spacing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 xml:space="preserve">Procedimento</w:t>
          </w:r>
          <w:r>
            <w:rPr>
              <w:sz w:val="24"/>
            </w:rPr>
          </w:r>
        </w:p>
        <w:p w14:paraId="72DE0840" w14:textId="63667EED">
          <w:pPr>
            <w:pStyle w:val="925"/>
            <w:pBdr/>
            <w:spacing w:before="54"/>
            <w:ind w:right="2" w:left="17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 xml:space="preserve">GESAD</w:t>
          </w:r>
          <w:r>
            <w:rPr>
              <w:rFonts w:ascii="Arial"/>
              <w:b/>
              <w:sz w:val="24"/>
            </w:rPr>
          </w:r>
        </w:p>
      </w:tc>
      <w:tc>
        <w:tcPr>
          <w:tcBorders/>
          <w:tcW w:w="4392" w:type="dxa"/>
          <w:textDirection w:val="lrTb"/>
          <w:noWrap w:val="false"/>
        </w:tcPr>
        <w:p w14:paraId="4AEF612E" w14:textId="238D2611">
          <w:pPr>
            <w:pStyle w:val="925"/>
            <w:pBdr/>
            <w:spacing w:before="195"/>
            <w:ind w:right="2" w:left="9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 xml:space="preserve">Revisão:1</w:t>
          </w:r>
          <w:r>
            <w:rPr>
              <w:rFonts w:ascii="Arial" w:hAnsi="Arial"/>
              <w:b/>
              <w:spacing w:val="-2"/>
              <w:sz w:val="24"/>
            </w:rPr>
          </w:r>
          <w:r>
            <w:rPr>
              <w:rFonts w:ascii="Arial" w:hAnsi="Arial"/>
              <w:b/>
              <w:sz w:val="24"/>
            </w:rPr>
          </w:r>
        </w:p>
      </w:tc>
    </w:tr>
  </w:tbl>
  <w:p w14:paraId="38701E57" w14:textId="77777777">
    <w:pPr>
      <w:pStyle w:val="923"/>
      <w:pBdr/>
      <w:spacing w:line="14" w:lineRule="auto"/>
      <w:ind/>
      <w:rPr>
        <w:sz w:val="2"/>
      </w:rPr>
    </w:pPr>
    <w:r>
      <w:rPr>
        <w:sz w:val="2"/>
      </w:rPr>
    </w:r>
    <w:r>
      <w:rPr>
        <w:sz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1670"/>
    <w:lvl w:ilvl="0">
      <w:isLgl w:val="false"/>
      <w:lvlJc w:val="left"/>
      <w:lvlText w:val="%1"/>
      <w:numFmt w:val="decimal"/>
      <w:pPr>
        <w:pBdr/>
        <w:spacing/>
        <w:ind w:hanging="360" w:left="453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13"/>
      </w:pPr>
      <w:rPr/>
      <w:start w:val="1"/>
      <w:suff w:val="tab"/>
    </w:lvl>
  </w:abstractNum>
  <w:abstractNum w:abstractNumId="1">
    <w:nsid w:val="2D6537B2"/>
    <w:lvl w:ilvl="0">
      <w:isLgl w:val="false"/>
      <w:lvlJc w:val="left"/>
      <w:lvlText w:val="%1."/>
      <w:numFmt w:val="decimal"/>
      <w:pPr>
        <w:pBdr/>
        <w:spacing/>
        <w:ind w:hanging="265" w:left="47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65" w:left="888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65" w:left="1297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65" w:left="1705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65" w:left="2114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65" w:left="2523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65" w:left="2931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65" w:left="3340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65" w:left="3748"/>
      </w:pPr>
      <w:rPr>
        <w:rFonts w:hint="default"/>
        <w:lang w:val="pt-PT" w:eastAsia="en-US" w:bidi="ar-SA"/>
      </w:rPr>
      <w:start w:val="0"/>
      <w:suff w:val="tab"/>
    </w:lvl>
  </w:abstractNum>
  <w:abstractNum w:abstractNumId="2">
    <w:nsid w:val="6A267D3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71523085"/>
    <w:lvl w:ilvl="0">
      <w:isLgl w:val="false"/>
      <w:lvlJc w:val="left"/>
      <w:lvlText w:val="%1"/>
      <w:numFmt w:val="decimal"/>
      <w:pPr>
        <w:pBdr/>
        <w:spacing/>
        <w:ind w:hanging="360" w:left="43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7"/>
      </w:pPr>
      <w:rPr/>
      <w:start w:val="1"/>
      <w:suff w:val="tab"/>
    </w:lvl>
  </w:abstractNum>
  <w:abstractNum w:abstractNumId="4">
    <w:nsid w:val="73351137"/>
    <w:lvl w:ilvl="0">
      <w:isLgl w:val="false"/>
      <w:lvlJc w:val="left"/>
      <w:lvlText w:val="%1"/>
      <w:numFmt w:val="decimal"/>
      <w:pPr>
        <w:pBdr/>
        <w:spacing/>
        <w:ind w:hanging="200" w:left="293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00" w:left="493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sz w:val="24"/>
        <w:szCs w:val="24"/>
        <w:lang w:val="pt-PT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400" w:left="1546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00" w:left="2593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00" w:left="3640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00" w:left="4687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00" w:left="5733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00" w:left="6780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00" w:left="7827"/>
      </w:pPr>
      <w:rPr>
        <w:rFonts w:hint="default"/>
        <w:lang w:val="pt-PT" w:eastAsia="en-US" w:bidi="ar-SA"/>
      </w:rPr>
      <w:start w:val="0"/>
      <w:suff w:val="tab"/>
    </w:lvl>
  </w:abstractNum>
  <w:abstractNum w:abstractNumId="5">
    <w:nsid w:val="73D16227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1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1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12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13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14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15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1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1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18"/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19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19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1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19"/>
    <w:link w:val="9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1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1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19"/>
    <w:link w:val="9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1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19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09"/>
    <w:next w:val="90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1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09"/>
    <w:next w:val="90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1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09"/>
    <w:next w:val="90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09"/>
    <w:next w:val="90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19"/>
    <w:link w:val="926"/>
    <w:uiPriority w:val="99"/>
    <w:pPr>
      <w:pBdr/>
      <w:spacing/>
      <w:ind/>
    </w:pPr>
  </w:style>
  <w:style w:type="character" w:styleId="179">
    <w:name w:val="Footer Char"/>
    <w:basedOn w:val="919"/>
    <w:link w:val="928"/>
    <w:uiPriority w:val="99"/>
    <w:pPr>
      <w:pBdr/>
      <w:spacing/>
      <w:ind/>
    </w:pPr>
  </w:style>
  <w:style w:type="paragraph" w:styleId="180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0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1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0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190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191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192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193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194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195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196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197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  <w:rPr>
      <w:rFonts w:ascii="Arial MT" w:hAnsi="Arial MT" w:eastAsia="Arial MT" w:cs="Arial MT"/>
      <w:lang w:val="pt-PT"/>
    </w:rPr>
  </w:style>
  <w:style w:type="paragraph" w:styleId="910">
    <w:name w:val="Heading 1"/>
    <w:basedOn w:val="909"/>
    <w:next w:val="909"/>
    <w:link w:val="930"/>
    <w:uiPriority w:val="9"/>
    <w:qFormat/>
    <w:pPr>
      <w:numPr>
        <w:numId w:val="6"/>
      </w:numPr>
      <w:pBdr/>
      <w:spacing w:after="240" w:before="241"/>
      <w:ind/>
      <w:jc w:val="both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911">
    <w:name w:val="Heading 2"/>
    <w:basedOn w:val="909"/>
    <w:uiPriority w:val="9"/>
    <w:unhideWhenUsed/>
    <w:qFormat/>
    <w:pPr>
      <w:numPr>
        <w:ilvl w:val="1"/>
        <w:numId w:val="6"/>
      </w:numPr>
      <w:pBdr/>
      <w:spacing w:before="275"/>
      <w:ind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912">
    <w:name w:val="Heading 3"/>
    <w:basedOn w:val="909"/>
    <w:next w:val="909"/>
    <w:link w:val="937"/>
    <w:uiPriority w:val="9"/>
    <w:semiHidden/>
    <w:unhideWhenUsed/>
    <w:qFormat/>
    <w:pPr>
      <w:keepNext w:val="true"/>
      <w:keepLines w:val="true"/>
      <w:numPr>
        <w:ilvl w:val="2"/>
        <w:numId w:val="6"/>
      </w:numPr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913">
    <w:name w:val="Heading 4"/>
    <w:basedOn w:val="909"/>
    <w:next w:val="909"/>
    <w:link w:val="938"/>
    <w:uiPriority w:val="9"/>
    <w:semiHidden/>
    <w:unhideWhenUsed/>
    <w:qFormat/>
    <w:pPr>
      <w:keepNext w:val="true"/>
      <w:keepLines w:val="true"/>
      <w:numPr>
        <w:ilvl w:val="3"/>
        <w:numId w:val="6"/>
      </w:numPr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914">
    <w:name w:val="Heading 5"/>
    <w:basedOn w:val="909"/>
    <w:next w:val="909"/>
    <w:link w:val="939"/>
    <w:uiPriority w:val="9"/>
    <w:semiHidden/>
    <w:unhideWhenUsed/>
    <w:qFormat/>
    <w:pPr>
      <w:keepNext w:val="true"/>
      <w:keepLines w:val="true"/>
      <w:numPr>
        <w:ilvl w:val="4"/>
        <w:numId w:val="6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915">
    <w:name w:val="Heading 6"/>
    <w:basedOn w:val="909"/>
    <w:next w:val="909"/>
    <w:link w:val="940"/>
    <w:uiPriority w:val="9"/>
    <w:semiHidden/>
    <w:unhideWhenUsed/>
    <w:qFormat/>
    <w:pPr>
      <w:keepNext w:val="true"/>
      <w:keepLines w:val="true"/>
      <w:numPr>
        <w:ilvl w:val="5"/>
        <w:numId w:val="6"/>
      </w:numPr>
      <w:pBdr/>
      <w:spacing w:before="40"/>
      <w:ind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6">
    <w:name w:val="Heading 7"/>
    <w:basedOn w:val="909"/>
    <w:next w:val="909"/>
    <w:link w:val="941"/>
    <w:uiPriority w:val="9"/>
    <w:semiHidden/>
    <w:unhideWhenUsed/>
    <w:qFormat/>
    <w:pPr>
      <w:keepNext w:val="true"/>
      <w:keepLines w:val="true"/>
      <w:numPr>
        <w:ilvl w:val="6"/>
        <w:numId w:val="6"/>
      </w:numPr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7">
    <w:name w:val="Heading 8"/>
    <w:basedOn w:val="909"/>
    <w:next w:val="909"/>
    <w:link w:val="942"/>
    <w:uiPriority w:val="9"/>
    <w:semiHidden/>
    <w:unhideWhenUsed/>
    <w:qFormat/>
    <w:pPr>
      <w:keepNext w:val="true"/>
      <w:keepLines w:val="true"/>
      <w:numPr>
        <w:ilvl w:val="7"/>
        <w:numId w:val="6"/>
      </w:numPr>
      <w:pBdr/>
      <w:spacing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18">
    <w:name w:val="Heading 9"/>
    <w:basedOn w:val="909"/>
    <w:next w:val="909"/>
    <w:link w:val="943"/>
    <w:uiPriority w:val="9"/>
    <w:semiHidden/>
    <w:unhideWhenUsed/>
    <w:qFormat/>
    <w:pPr>
      <w:keepNext w:val="true"/>
      <w:keepLines w:val="true"/>
      <w:numPr>
        <w:ilvl w:val="8"/>
        <w:numId w:val="6"/>
      </w:numPr>
      <w:pBdr/>
      <w:spacing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19" w:default="1">
    <w:name w:val="Default Paragraph Font"/>
    <w:uiPriority w:val="1"/>
    <w:semiHidden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table" w:styleId="92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Body Text"/>
    <w:basedOn w:val="909"/>
    <w:link w:val="931"/>
    <w:uiPriority w:val="1"/>
    <w:qFormat/>
    <w:pPr>
      <w:pBdr/>
      <w:spacing/>
      <w:ind/>
    </w:pPr>
    <w:rPr>
      <w:sz w:val="24"/>
      <w:szCs w:val="24"/>
    </w:rPr>
  </w:style>
  <w:style w:type="paragraph" w:styleId="924">
    <w:name w:val="List Paragraph"/>
    <w:basedOn w:val="909"/>
    <w:uiPriority w:val="1"/>
    <w:qFormat/>
    <w:pPr>
      <w:pBdr/>
      <w:spacing/>
      <w:ind w:firstLine="851"/>
      <w:jc w:val="both"/>
    </w:pPr>
    <w:rPr>
      <w:rFonts w:ascii="Arial" w:hAnsi="Arial" w:eastAsia="Arial" w:cs="Arial"/>
    </w:rPr>
  </w:style>
  <w:style w:type="paragraph" w:styleId="925" w:customStyle="1">
    <w:name w:val="Table Paragraph"/>
    <w:basedOn w:val="909"/>
    <w:uiPriority w:val="1"/>
    <w:qFormat/>
    <w:pPr>
      <w:pBdr/>
      <w:spacing/>
      <w:ind/>
    </w:pPr>
  </w:style>
  <w:style w:type="paragraph" w:styleId="926">
    <w:name w:val="Header"/>
    <w:basedOn w:val="909"/>
    <w:link w:val="927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27" w:customStyle="1">
    <w:name w:val="Cabeçalho Char"/>
    <w:basedOn w:val="919"/>
    <w:link w:val="926"/>
    <w:uiPriority w:val="99"/>
    <w:pPr>
      <w:pBdr/>
      <w:spacing/>
      <w:ind/>
    </w:pPr>
    <w:rPr>
      <w:rFonts w:ascii="Arial MT" w:hAnsi="Arial MT" w:eastAsia="Arial MT" w:cs="Arial MT"/>
      <w:lang w:val="pt-PT"/>
    </w:rPr>
  </w:style>
  <w:style w:type="paragraph" w:styleId="928">
    <w:name w:val="Footer"/>
    <w:basedOn w:val="909"/>
    <w:link w:val="92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29" w:customStyle="1">
    <w:name w:val="Rodapé Char"/>
    <w:basedOn w:val="919"/>
    <w:link w:val="928"/>
    <w:uiPriority w:val="99"/>
    <w:pPr>
      <w:pBdr/>
      <w:spacing/>
      <w:ind/>
    </w:pPr>
    <w:rPr>
      <w:rFonts w:ascii="Arial MT" w:hAnsi="Arial MT" w:eastAsia="Arial MT" w:cs="Arial MT"/>
      <w:lang w:val="pt-PT"/>
    </w:rPr>
  </w:style>
  <w:style w:type="character" w:styleId="930" w:customStyle="1">
    <w:name w:val="Título 1 Char"/>
    <w:basedOn w:val="919"/>
    <w:link w:val="91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  <w:lang w:val="pt-PT"/>
    </w:rPr>
  </w:style>
  <w:style w:type="character" w:styleId="931" w:customStyle="1">
    <w:name w:val="Corpo de texto Char"/>
    <w:basedOn w:val="919"/>
    <w:link w:val="923"/>
    <w:uiPriority w:val="1"/>
    <w:pPr>
      <w:pBdr/>
      <w:spacing/>
      <w:ind/>
    </w:pPr>
    <w:rPr>
      <w:rFonts w:ascii="Arial MT" w:hAnsi="Arial MT" w:eastAsia="Arial MT" w:cs="Arial MT"/>
      <w:sz w:val="24"/>
      <w:szCs w:val="24"/>
      <w:lang w:val="pt-PT"/>
    </w:rPr>
  </w:style>
  <w:style w:type="table" w:styleId="932">
    <w:name w:val="Table Grid"/>
    <w:basedOn w:val="92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3"/>
    <w:basedOn w:val="920"/>
    <w:uiPriority w:val="4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920"/>
    <w:uiPriority w:val="42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1"/>
    <w:basedOn w:val="920"/>
    <w:uiPriority w:val="41"/>
    <w:pPr>
      <w:pBdr/>
      <w:spacing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Light"/>
    <w:basedOn w:val="920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7" w:customStyle="1">
    <w:name w:val="Título 3 Char"/>
    <w:basedOn w:val="919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pt-PT"/>
    </w:rPr>
  </w:style>
  <w:style w:type="character" w:styleId="938" w:customStyle="1">
    <w:name w:val="Título 4 Char"/>
    <w:basedOn w:val="919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  <w:lang w:val="pt-PT"/>
    </w:rPr>
  </w:style>
  <w:style w:type="character" w:styleId="939" w:customStyle="1">
    <w:name w:val="Título 5 Char"/>
    <w:basedOn w:val="919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lang w:val="pt-PT"/>
    </w:rPr>
  </w:style>
  <w:style w:type="character" w:styleId="940" w:customStyle="1">
    <w:name w:val="Título 6 Char"/>
    <w:basedOn w:val="919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lang w:val="pt-PT"/>
    </w:rPr>
  </w:style>
  <w:style w:type="character" w:styleId="941" w:customStyle="1">
    <w:name w:val="Título 7 Char"/>
    <w:basedOn w:val="919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lang w:val="pt-PT"/>
    </w:rPr>
  </w:style>
  <w:style w:type="character" w:styleId="942" w:customStyle="1">
    <w:name w:val="Título 8 Char"/>
    <w:basedOn w:val="919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943" w:customStyle="1">
    <w:name w:val="Título 9 Char"/>
    <w:basedOn w:val="919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onlyoffice/9.2.0.98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Usuário</cp:lastModifiedBy>
  <cp:revision>34</cp:revision>
  <dcterms:created xsi:type="dcterms:W3CDTF">2025-11-18T14:41:00Z</dcterms:created>
  <dcterms:modified xsi:type="dcterms:W3CDTF">2025-12-08T01:02:06Z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