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" w:hAnsi="" w:eastAsia="黑体"/>
          <w:color w:val="FF0000"/>
          <w:sz w:val="60"/>
        </w:rPr>
        <w:t>车辆违章处罚通知书</w:t>
      </w:r>
    </w:p>
    <w:p>
      <w:pPr>
        <w:ind w:firstLine="360"/>
      </w:pPr>
      <w:r>
        <w:rPr>
          <w:rFonts w:ascii="" w:hAnsi="" w:eastAsia="黑体"/>
        </w:rPr>
        <w:t>京A1234567车于2023年2月12日，13时14分，在营运过程中，出现接打手机违规行为，按照公司相关规定，予以进行相关处罚。</w:t>
        <w:br/>
        <w:t xml:space="preserve">                                                                                                驾驶员签字                    年     月    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