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b/>
          <w:sz w:val="28"/>
        </w:rPr>
        <w:t>青少年编程平台V1.0最终操作说明书</w:t>
      </w:r>
    </w:p>
    <w:p>
      <w:pPr>
        <w:jc w:val="left"/>
      </w:pPr>
    </w:p>
    <w:p>
      <w:pPr>
        <w:jc w:val="left"/>
      </w:pPr>
      <w:r>
        <w:t>文档生成日期：2026-02-08</w:t>
      </w:r>
    </w:p>
    <w:p>
      <w:r>
        <w:rPr>
          <w:rFonts w:ascii="宋体" w:hAnsi="宋体" w:eastAsia="宋体"/>
          <w:b/>
          <w:sz w:val="28"/>
        </w:rPr>
        <w:t>一、引言</w:t>
      </w:r>
    </w:p>
    <w:p>
      <w:pPr>
        <w:jc w:val="left"/>
      </w:pPr>
      <w:r>
        <w:t>本文档用于说明本系统的核心操作方式、功能入口和常见异常处理方法，便于用户快速上手和日常使用。</w:t>
      </w:r>
    </w:p>
    <w:p>
      <w:r>
        <w:rPr>
          <w:rFonts w:ascii="宋体" w:hAnsi="宋体" w:eastAsia="宋体"/>
          <w:b/>
          <w:sz w:val="28"/>
        </w:rPr>
        <w:t>二、系统概述及用途</w:t>
      </w:r>
    </w:p>
    <w:p>
      <w:pPr>
        <w:jc w:val="left"/>
      </w:pPr>
      <w:r>
        <w:t>本系统面向青少年编程学习场景，提供课程学习、题库练习、成长报告、消息通知和教师审核等能力。</w:t>
      </w:r>
    </w:p>
    <w:p>
      <w:pPr>
        <w:jc w:val="left"/>
      </w:pPr>
      <w:r>
        <w:t>系统支持多角色协同，覆盖学生学习、教师内容发布与管理端审核流程。</w:t>
      </w:r>
    </w:p>
    <w:p>
      <w:r>
        <w:rPr>
          <w:rFonts w:ascii="宋体" w:hAnsi="宋体" w:eastAsia="宋体"/>
          <w:b/>
          <w:sz w:val="28"/>
        </w:rPr>
        <w:t>三、运行环境</w:t>
      </w:r>
    </w:p>
    <w:p>
      <w:pPr>
        <w:jc w:val="left"/>
      </w:pPr>
      <w:r>
        <w:t>1. 客户端：支持常见现代浏览器。</w:t>
      </w:r>
    </w:p>
    <w:p>
      <w:pPr>
        <w:jc w:val="left"/>
      </w:pPr>
      <w:r>
        <w:t>2. 服务端：支持常见服务器操作系统。</w:t>
      </w:r>
    </w:p>
    <w:p>
      <w:pPr>
        <w:jc w:val="left"/>
      </w:pPr>
      <w:r>
        <w:t>3. 数据层：关系型数据库、缓存服务、消息队列。</w:t>
      </w:r>
    </w:p>
    <w:p>
      <w:pPr>
        <w:jc w:val="left"/>
      </w:pPr>
      <w:r>
        <w:t>4. 网络要求：客户端可访问应用服务地址。</w:t>
      </w:r>
    </w:p>
    <w:p>
      <w:r>
        <w:rPr>
          <w:rFonts w:ascii="宋体" w:hAnsi="宋体" w:eastAsia="宋体"/>
          <w:b/>
          <w:sz w:val="28"/>
        </w:rPr>
        <w:t>四、功能模块说明</w:t>
      </w:r>
    </w:p>
    <w:p>
      <w:pPr>
        <w:jc w:val="left"/>
      </w:pPr>
      <w:r>
        <w:t>1. 账号与认证模块：支持邮箱登录、注册、验证码校验、记住我。</w:t>
      </w:r>
    </w:p>
    <w:p>
      <w:pPr>
        <w:jc w:val="left"/>
      </w:pPr>
      <w:r>
        <w:t>2. 学习中心模块：支持课程浏览、课程详情、课时进度、最近学习记录。</w:t>
      </w:r>
    </w:p>
    <w:p>
      <w:pPr>
        <w:jc w:val="left"/>
      </w:pPr>
      <w:r>
        <w:t>3. 题库练习模块：支持按课程筛选、分页、错题本与收藏管理。</w:t>
      </w:r>
    </w:p>
    <w:p>
      <w:pPr>
        <w:jc w:val="left"/>
      </w:pPr>
      <w:r>
        <w:t>4. 消息通知模块：支持分页查看、已读处理、删除消息。</w:t>
      </w:r>
    </w:p>
    <w:p>
      <w:pPr>
        <w:jc w:val="left"/>
      </w:pPr>
      <w:r>
        <w:t>5. 教师与管理模块：支持教师申请、审核、状态回执。</w:t>
      </w:r>
    </w:p>
    <w:p>
      <w:pPr>
        <w:jc w:val="left"/>
      </w:pPr>
      <w:r>
        <w:t>6. 智能助手模块：支持悬浮入口、会话问答。</w:t>
      </w:r>
    </w:p>
    <w:p>
      <w:pPr>
        <w:jc w:val="left"/>
      </w:pPr>
      <w:r>
        <w:t>以下为界面截图（含图号占位）：</w:t>
      </w:r>
    </w:p>
    <w:p>
      <w:pPr>
        <w:jc w:val="center"/>
      </w:pPr>
      <w:r>
        <w:t>图1  ai助手</w:t>
      </w:r>
    </w:p>
    <w:p>
      <w:pPr>
        <w:spacing/>
        <w:jc w:val="center"/>
      </w:pPr>
      <w:r>
        <w:drawing>
          <wp:inline xmlns:a="http://schemas.openxmlformats.org/drawingml/2006/main" xmlns:pic="http://schemas.openxmlformats.org/drawingml/2006/picture">
            <wp:extent cx="5303520" cy="24427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助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42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center"/>
      </w:pPr>
      <w:r>
        <w:t>图2  主页面（管理员）</w:t>
      </w:r>
    </w:p>
    <w:p>
      <w:pPr>
        <w:spacing/>
        <w:jc w:val="center"/>
      </w:pPr>
      <w:r>
        <w:drawing>
          <wp:inline xmlns:a="http://schemas.openxmlformats.org/drawingml/2006/main" xmlns:pic="http://schemas.openxmlformats.org/drawingml/2006/picture">
            <wp:extent cx="5303520" cy="24606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页面（管理员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60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center"/>
      </w:pPr>
      <w:r>
        <w:t>图3  成长报告</w:t>
      </w:r>
    </w:p>
    <w:p>
      <w:pPr>
        <w:spacing/>
        <w:jc w:val="center"/>
      </w:pPr>
      <w:r>
        <w:drawing>
          <wp:inline xmlns:a="http://schemas.openxmlformats.org/drawingml/2006/main" xmlns:pic="http://schemas.openxmlformats.org/drawingml/2006/picture">
            <wp:extent cx="5303520" cy="24779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成长报告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77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center"/>
      </w:pPr>
      <w:r>
        <w:t>图4  我的课程</w:t>
      </w:r>
    </w:p>
    <w:p>
      <w:pPr>
        <w:spacing/>
        <w:jc w:val="center"/>
      </w:pPr>
      <w:r>
        <w:drawing>
          <wp:inline xmlns:a="http://schemas.openxmlformats.org/drawingml/2006/main" xmlns:pic="http://schemas.openxmlformats.org/drawingml/2006/picture">
            <wp:extent cx="5303520" cy="25003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我的课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00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center"/>
      </w:pPr>
      <w:r>
        <w:t>图5  我的课程1</w:t>
      </w:r>
    </w:p>
    <w:p>
      <w:pPr>
        <w:spacing/>
        <w:jc w:val="center"/>
      </w:pPr>
      <w:r>
        <w:drawing>
          <wp:inline xmlns:a="http://schemas.openxmlformats.org/drawingml/2006/main" xmlns:pic="http://schemas.openxmlformats.org/drawingml/2006/picture">
            <wp:extent cx="5303520" cy="24699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我的课程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69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center"/>
      </w:pPr>
      <w:r>
        <w:t>图6  我的课程2</w:t>
      </w:r>
    </w:p>
    <w:p>
      <w:pPr>
        <w:spacing/>
        <w:jc w:val="center"/>
      </w:pPr>
      <w:r>
        <w:drawing>
          <wp:inline xmlns:a="http://schemas.openxmlformats.org/drawingml/2006/main" xmlns:pic="http://schemas.openxmlformats.org/drawingml/2006/picture">
            <wp:extent cx="5303519" cy="17047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我的课程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19" cy="1704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center"/>
      </w:pPr>
      <w:r>
        <w:t>图7  我的课程（课程广场）</w:t>
      </w:r>
    </w:p>
    <w:p>
      <w:pPr>
        <w:spacing/>
        <w:jc w:val="center"/>
      </w:pPr>
      <w:r>
        <w:drawing>
          <wp:inline xmlns:a="http://schemas.openxmlformats.org/drawingml/2006/main" xmlns:pic="http://schemas.openxmlformats.org/drawingml/2006/picture">
            <wp:extent cx="5303520" cy="25306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我的课程（课程广场）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30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center"/>
      </w:pPr>
      <w:r>
        <w:t>图8  教室审核</w:t>
      </w:r>
    </w:p>
    <w:p>
      <w:pPr>
        <w:spacing/>
        <w:jc w:val="center"/>
      </w:pPr>
      <w:r>
        <w:drawing>
          <wp:inline xmlns:a="http://schemas.openxmlformats.org/drawingml/2006/main" xmlns:pic="http://schemas.openxmlformats.org/drawingml/2006/picture">
            <wp:extent cx="5303520" cy="24137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教室审核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center"/>
      </w:pPr>
      <w:r>
        <w:t>图9  教师端</w:t>
      </w:r>
    </w:p>
    <w:p>
      <w:pPr>
        <w:spacing/>
        <w:jc w:val="center"/>
      </w:pPr>
      <w:r>
        <w:drawing>
          <wp:inline xmlns:a="http://schemas.openxmlformats.org/drawingml/2006/main" xmlns:pic="http://schemas.openxmlformats.org/drawingml/2006/picture">
            <wp:extent cx="5303520" cy="24555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教师端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5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center"/>
      </w:pPr>
      <w:r>
        <w:t>图10  注册页面</w:t>
      </w:r>
    </w:p>
    <w:p>
      <w:pPr>
        <w:spacing/>
        <w:jc w:val="center"/>
      </w:pPr>
      <w:r>
        <w:drawing>
          <wp:inline xmlns:a="http://schemas.openxmlformats.org/drawingml/2006/main" xmlns:pic="http://schemas.openxmlformats.org/drawingml/2006/picture">
            <wp:extent cx="5303520" cy="24930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注册页面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3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center"/>
      </w:pPr>
      <w:r>
        <w:t>图11  消息通知</w:t>
      </w:r>
    </w:p>
    <w:p>
      <w:pPr>
        <w:spacing/>
        <w:jc w:val="center"/>
      </w:pPr>
      <w:r>
        <w:drawing>
          <wp:inline xmlns:a="http://schemas.openxmlformats.org/drawingml/2006/main" xmlns:pic="http://schemas.openxmlformats.org/drawingml/2006/picture">
            <wp:extent cx="5303520" cy="25182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消息通知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8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center"/>
      </w:pPr>
      <w:r>
        <w:t>图12  登录页面</w:t>
      </w:r>
    </w:p>
    <w:p>
      <w:pPr>
        <w:spacing/>
        <w:jc w:val="center"/>
      </w:pPr>
      <w:r>
        <w:drawing>
          <wp:inline xmlns:a="http://schemas.openxmlformats.org/drawingml/2006/main" xmlns:pic="http://schemas.openxmlformats.org/drawingml/2006/picture">
            <wp:extent cx="5303520" cy="25510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登录页面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51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center"/>
      </w:pPr>
      <w:r>
        <w:t>图13  题库的发布</w:t>
      </w:r>
    </w:p>
    <w:p>
      <w:pPr>
        <w:spacing/>
        <w:jc w:val="center"/>
      </w:pPr>
      <w:r>
        <w:drawing>
          <wp:inline xmlns:a="http://schemas.openxmlformats.org/drawingml/2006/main" xmlns:pic="http://schemas.openxmlformats.org/drawingml/2006/picture">
            <wp:extent cx="5303520" cy="25399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题库的发布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39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center"/>
      </w:pPr>
      <w:r>
        <w:t>图14  题库练习</w:t>
      </w:r>
    </w:p>
    <w:p>
      <w:pPr>
        <w:spacing/>
        <w:jc w:val="center"/>
      </w:pPr>
      <w:r>
        <w:drawing>
          <wp:inline xmlns:a="http://schemas.openxmlformats.org/drawingml/2006/main" xmlns:pic="http://schemas.openxmlformats.org/drawingml/2006/picture">
            <wp:extent cx="5303520" cy="23503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题库练习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r>
        <w:rPr>
          <w:rFonts w:ascii="宋体" w:hAnsi="宋体" w:eastAsia="宋体"/>
          <w:b/>
          <w:sz w:val="28"/>
        </w:rPr>
        <w:t>五、主要操作流程</w:t>
      </w:r>
    </w:p>
    <w:p>
      <w:pPr>
        <w:jc w:val="left"/>
      </w:pPr>
      <w:r>
        <w:t>1. 用户注册：输入邮箱、用户名、密码、确认密码和验证码，提交完成注册。</w:t>
      </w:r>
    </w:p>
    <w:p>
      <w:pPr>
        <w:jc w:val="left"/>
      </w:pPr>
      <w:r>
        <w:t>2. 用户登录：输入邮箱和密码，可勾选记住我后登录。</w:t>
      </w:r>
    </w:p>
    <w:p>
      <w:pPr>
        <w:jc w:val="left"/>
      </w:pPr>
      <w:r>
        <w:t>3. 课程学习：进入课程列表，选择课程后进入详情页并继续学习课时。</w:t>
      </w:r>
    </w:p>
    <w:p>
      <w:pPr>
        <w:jc w:val="left"/>
      </w:pPr>
      <w:r>
        <w:t>4. 题目练习：进入题库，选择题目作答并查看解析，错题进入错题本。</w:t>
      </w:r>
    </w:p>
    <w:p>
      <w:pPr>
        <w:jc w:val="left"/>
      </w:pPr>
      <w:r>
        <w:t>5. 教师申请：用户提交教师申请后，等待管理端审核并接收结果通知。</w:t>
      </w:r>
    </w:p>
    <w:p>
      <w:r>
        <w:rPr>
          <w:rFonts w:ascii="宋体" w:hAnsi="宋体" w:eastAsia="宋体"/>
          <w:b/>
          <w:sz w:val="28"/>
        </w:rPr>
        <w:t>六、异常处理</w:t>
      </w:r>
    </w:p>
    <w:p>
      <w:pPr>
        <w:jc w:val="left"/>
      </w:pPr>
      <w:r>
        <w:t>1. 登录失败：检查输入内容格式与账号状态。</w:t>
      </w:r>
    </w:p>
    <w:p>
      <w:pPr>
        <w:jc w:val="left"/>
      </w:pPr>
      <w:r>
        <w:t>2. 验证码发送失败：检查邮箱地址有效性和发送频率限制。</w:t>
      </w:r>
    </w:p>
    <w:p>
      <w:pPr>
        <w:jc w:val="left"/>
      </w:pPr>
      <w:r>
        <w:t>3. 页面空白或数据缺失：检查服务端是否运行及网络连通性。</w:t>
      </w:r>
    </w:p>
    <w:p>
      <w:pPr>
        <w:jc w:val="left"/>
      </w:pPr>
      <w:r>
        <w:t>4. 权限不足：根据提示切换账号或联系管理员处理。</w:t>
      </w:r>
    </w:p>
    <w:p>
      <w:r>
        <w:rPr>
          <w:rFonts w:ascii="宋体" w:hAnsi="宋体" w:eastAsia="宋体"/>
          <w:b/>
          <w:sz w:val="28"/>
        </w:rPr>
        <w:t>七、附录</w:t>
      </w:r>
    </w:p>
    <w:p>
      <w:pPr>
        <w:jc w:val="left"/>
      </w:pPr>
      <w:r>
        <w:t>附录A：术语说明</w:t>
      </w:r>
    </w:p>
    <w:p>
      <w:pPr>
        <w:jc w:val="left"/>
      </w:pPr>
      <w:r>
        <w:t>1. 课时：课程中的最小学习单元。</w:t>
      </w:r>
    </w:p>
    <w:p>
      <w:pPr>
        <w:jc w:val="left"/>
      </w:pPr>
      <w:r>
        <w:t>2. 错题本：用户练习中答错题目的集中管理区。</w:t>
      </w:r>
    </w:p>
    <w:p>
      <w:pPr>
        <w:jc w:val="left"/>
      </w:pPr>
      <w:r>
        <w:t>3. 审核：管理端对教师申请状态的处理。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