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B0BAE">
      <w:pPr>
        <w:keepNext/>
        <w:keepLines/>
        <w:spacing w:line="360" w:lineRule="auto"/>
        <w:ind w:right="210"/>
        <w:outlineLvl w:val="2"/>
        <w:rPr>
          <w:rFonts w:eastAsia="黑体"/>
          <w:b/>
          <w:sz w:val="24"/>
        </w:rPr>
      </w:pPr>
      <w:bookmarkStart w:id="0" w:name="_Toc176965282"/>
      <w:r>
        <w:rPr>
          <w:rFonts w:eastAsia="黑体"/>
          <w:b/>
          <w:sz w:val="24"/>
        </w:rPr>
        <w:t>附表</w:t>
      </w:r>
      <w:r>
        <w:rPr>
          <w:rFonts w:hint="eastAsia" w:eastAsia="黑体"/>
          <w:b/>
          <w:sz w:val="24"/>
        </w:rPr>
        <w:t>2</w:t>
      </w:r>
      <w:r>
        <w:rPr>
          <w:rFonts w:eastAsia="黑体"/>
          <w:b/>
          <w:sz w:val="24"/>
        </w:rPr>
        <w:t>-开题报告</w:t>
      </w:r>
      <w:bookmarkEnd w:id="0"/>
    </w:p>
    <w:p w14:paraId="184ECF4A">
      <w:pPr>
        <w:snapToGrid w:val="0"/>
        <w:spacing w:after="312" w:afterLines="100" w:line="480" w:lineRule="exact"/>
        <w:jc w:val="center"/>
      </w:pPr>
      <w:r>
        <w:rPr>
          <w:rFonts w:hint="eastAsia" w:ascii="黑体" w:eastAsia="黑体"/>
          <w:b/>
          <w:bCs/>
          <w:sz w:val="32"/>
          <w:szCs w:val="32"/>
        </w:rPr>
        <w:br w:type="textWrapping"/>
      </w:r>
      <w:r>
        <w:rPr>
          <w:rFonts w:hint="eastAsia" w:ascii="黑体" w:eastAsia="黑体"/>
          <w:b/>
          <w:bCs/>
          <w:sz w:val="32"/>
          <w:szCs w:val="32"/>
        </w:rPr>
        <w:t>临沂</w:t>
      </w:r>
      <w:r>
        <w:rPr>
          <w:rFonts w:ascii="黑体" w:eastAsia="黑体"/>
          <w:b/>
          <w:bCs/>
          <w:sz w:val="32"/>
          <w:szCs w:val="32"/>
        </w:rPr>
        <w:t>大学</w:t>
      </w:r>
      <w:r>
        <w:rPr>
          <w:rFonts w:hint="eastAsia" w:ascii="黑体" w:eastAsia="黑体"/>
          <w:b/>
          <w:bCs/>
          <w:sz w:val="32"/>
          <w:szCs w:val="32"/>
        </w:rPr>
        <w:t>本科毕业论文（设计）开题报告</w:t>
      </w:r>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520"/>
        <w:gridCol w:w="744"/>
        <w:gridCol w:w="2142"/>
        <w:gridCol w:w="744"/>
        <w:gridCol w:w="2219"/>
      </w:tblGrid>
      <w:tr w14:paraId="1572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7" w:type="dxa"/>
            <w:shd w:val="clear" w:color="auto" w:fill="auto"/>
            <w:vAlign w:val="center"/>
          </w:tcPr>
          <w:p w14:paraId="64E36242">
            <w:pPr>
              <w:snapToGrid w:val="0"/>
              <w:spacing w:line="240" w:lineRule="auto"/>
              <w:jc w:val="center"/>
              <w:rPr>
                <w:rFonts w:eastAsia="黑体"/>
              </w:rPr>
            </w:pPr>
            <w:r>
              <w:rPr>
                <w:rFonts w:eastAsia="黑体"/>
              </w:rPr>
              <w:t>姓名</w:t>
            </w:r>
          </w:p>
        </w:tc>
        <w:tc>
          <w:tcPr>
            <w:tcW w:w="1520" w:type="dxa"/>
            <w:shd w:val="clear" w:color="auto" w:fill="auto"/>
            <w:vAlign w:val="center"/>
          </w:tcPr>
          <w:p w14:paraId="06A92829">
            <w:pPr>
              <w:snapToGrid w:val="0"/>
              <w:spacing w:line="240" w:lineRule="auto"/>
              <w:jc w:val="center"/>
              <w:rPr>
                <w:rFonts w:hint="default" w:eastAsia="黑体"/>
                <w:lang w:val="en-US" w:eastAsia="zh-CN"/>
              </w:rPr>
            </w:pPr>
            <w:r>
              <w:rPr>
                <w:rFonts w:hint="eastAsia" w:eastAsia="黑体"/>
                <w:lang w:val="en-US" w:eastAsia="zh-CN"/>
              </w:rPr>
              <w:t>蒋维超</w:t>
            </w:r>
          </w:p>
        </w:tc>
        <w:tc>
          <w:tcPr>
            <w:tcW w:w="744" w:type="dxa"/>
            <w:shd w:val="clear" w:color="auto" w:fill="auto"/>
            <w:vAlign w:val="center"/>
          </w:tcPr>
          <w:p w14:paraId="39B510F0">
            <w:pPr>
              <w:snapToGrid w:val="0"/>
              <w:spacing w:line="240" w:lineRule="auto"/>
              <w:jc w:val="center"/>
              <w:rPr>
                <w:rFonts w:eastAsia="黑体"/>
              </w:rPr>
            </w:pPr>
            <w:r>
              <w:rPr>
                <w:rFonts w:eastAsia="黑体"/>
              </w:rPr>
              <w:t>学号</w:t>
            </w:r>
          </w:p>
        </w:tc>
        <w:tc>
          <w:tcPr>
            <w:tcW w:w="2142" w:type="dxa"/>
            <w:shd w:val="clear" w:color="auto" w:fill="auto"/>
            <w:vAlign w:val="center"/>
          </w:tcPr>
          <w:p w14:paraId="23088D80">
            <w:pPr>
              <w:snapToGrid w:val="0"/>
              <w:spacing w:line="240" w:lineRule="auto"/>
              <w:jc w:val="center"/>
              <w:rPr>
                <w:rFonts w:hint="default" w:eastAsia="黑体"/>
                <w:lang w:val="en-US" w:eastAsia="zh-CN"/>
              </w:rPr>
            </w:pPr>
            <w:r>
              <w:rPr>
                <w:rFonts w:hint="eastAsia" w:ascii="宋体" w:hAnsi="宋体" w:eastAsia="黑体"/>
                <w:color w:val="000000"/>
                <w:lang w:val="en-US" w:eastAsia="zh-CN"/>
              </w:rPr>
              <w:t>202217150148</w:t>
            </w:r>
          </w:p>
        </w:tc>
        <w:tc>
          <w:tcPr>
            <w:tcW w:w="744" w:type="dxa"/>
            <w:shd w:val="clear" w:color="auto" w:fill="auto"/>
            <w:vAlign w:val="center"/>
          </w:tcPr>
          <w:p w14:paraId="184EC304">
            <w:pPr>
              <w:snapToGrid w:val="0"/>
              <w:spacing w:line="240" w:lineRule="auto"/>
              <w:jc w:val="center"/>
              <w:rPr>
                <w:rFonts w:eastAsia="黑体"/>
              </w:rPr>
            </w:pPr>
            <w:r>
              <w:rPr>
                <w:rFonts w:hint="eastAsia" w:eastAsia="黑体"/>
              </w:rPr>
              <w:t>专业</w:t>
            </w:r>
          </w:p>
        </w:tc>
        <w:tc>
          <w:tcPr>
            <w:tcW w:w="2219" w:type="dxa"/>
            <w:shd w:val="clear" w:color="auto" w:fill="auto"/>
            <w:vAlign w:val="center"/>
          </w:tcPr>
          <w:p w14:paraId="652CD259">
            <w:pPr>
              <w:snapToGrid w:val="0"/>
              <w:spacing w:line="240" w:lineRule="auto"/>
              <w:jc w:val="center"/>
              <w:rPr>
                <w:rFonts w:eastAsia="黑体"/>
              </w:rPr>
            </w:pPr>
            <w:r>
              <w:rPr>
                <w:rFonts w:hint="eastAsia" w:ascii="宋体" w:hAnsi="宋体"/>
                <w:color w:val="000000"/>
              </w:rPr>
              <w:t>物流工程(校企合作本科)</w:t>
            </w:r>
          </w:p>
        </w:tc>
      </w:tr>
      <w:tr w14:paraId="4060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7" w:type="dxa"/>
            <w:shd w:val="clear" w:color="auto" w:fill="auto"/>
            <w:vAlign w:val="center"/>
          </w:tcPr>
          <w:p w14:paraId="2D524395">
            <w:pPr>
              <w:snapToGrid w:val="0"/>
              <w:spacing w:line="360" w:lineRule="auto"/>
              <w:jc w:val="center"/>
              <w:rPr>
                <w:rFonts w:eastAsia="黑体"/>
              </w:rPr>
            </w:pPr>
            <w:r>
              <w:rPr>
                <w:rFonts w:eastAsia="黑体"/>
              </w:rPr>
              <w:t>题目</w:t>
            </w:r>
          </w:p>
        </w:tc>
        <w:tc>
          <w:tcPr>
            <w:tcW w:w="7369" w:type="dxa"/>
            <w:gridSpan w:val="5"/>
            <w:shd w:val="clear" w:color="auto" w:fill="auto"/>
            <w:vAlign w:val="center"/>
          </w:tcPr>
          <w:p w14:paraId="6C43FB31">
            <w:pPr>
              <w:snapToGrid w:val="0"/>
              <w:spacing w:line="240" w:lineRule="auto"/>
              <w:jc w:val="center"/>
              <w:rPr>
                <w:rFonts w:eastAsia="黑体"/>
              </w:rPr>
            </w:pPr>
            <w:r>
              <w:rPr>
                <w:rFonts w:hint="eastAsia" w:ascii="宋体" w:hAnsi="宋体"/>
                <w:bCs/>
              </w:rPr>
              <w:t>基于贝叶斯网络的危险化学品道路运输风险评估</w:t>
            </w:r>
          </w:p>
        </w:tc>
      </w:tr>
      <w:tr w14:paraId="6F08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8" w:hRule="atLeast"/>
        </w:trPr>
        <w:tc>
          <w:tcPr>
            <w:tcW w:w="8296" w:type="dxa"/>
            <w:gridSpan w:val="6"/>
            <w:shd w:val="clear" w:color="auto" w:fill="auto"/>
          </w:tcPr>
          <w:p w14:paraId="46DDBBED">
            <w:pPr>
              <w:snapToGrid w:val="0"/>
              <w:spacing w:line="360" w:lineRule="auto"/>
              <w:rPr>
                <w:rFonts w:ascii="黑体" w:hAnsi="黑体" w:eastAsia="黑体"/>
                <w:b/>
              </w:rPr>
            </w:pPr>
            <w:r>
              <w:rPr>
                <w:rFonts w:ascii="黑体" w:hAnsi="黑体" w:eastAsia="黑体"/>
                <w:b/>
              </w:rPr>
              <w:t>选题意义、研究现状及可行性分析</w:t>
            </w:r>
          </w:p>
          <w:p w14:paraId="20560A88">
            <w:pPr>
              <w:pStyle w:val="2"/>
              <w:bidi w:val="0"/>
              <w:rPr>
                <w:rFonts w:hint="eastAsia"/>
              </w:rPr>
            </w:pPr>
            <w:r>
              <w:rPr>
                <w:rFonts w:hint="eastAsia"/>
              </w:rPr>
              <w:t>1.选题意义</w:t>
            </w:r>
          </w:p>
          <w:p w14:paraId="0283A04E">
            <w:pPr>
              <w:pStyle w:val="2"/>
              <w:bidi w:val="0"/>
            </w:pPr>
            <w:r>
              <w:rPr>
                <w:rFonts w:hint="eastAsia"/>
              </w:rPr>
              <w:t>(1)理论意义</w:t>
            </w:r>
          </w:p>
          <w:p w14:paraId="27FBD15D">
            <w:pPr>
              <w:pStyle w:val="2"/>
              <w:bidi w:val="0"/>
            </w:pPr>
            <w:r>
              <w:rPr>
                <w:rFonts w:hint="eastAsia"/>
              </w:rPr>
              <w:t>危险化学品道路运输是一个复杂的动态系统，风险因素众多且相互作用关系不确定。本研究旨在构建一个基于贝叶斯网络的风险评估模型。将静态的风险评估与动态的、不确定性的推理相结合，丰富和发展了危险品运输风险管理的理论方法体系。通过结构学习或专家知识构建风险因素间的因果网络，能够揭示各风险因子（如人为失误、车辆状况、天气、道路环境等）对事故发生的贡献度及其传导路径，深化对事故致因机理的理解。相较于传统评估方法（如层次分析法），贝叶斯网络能够进行双向推理，既能预测事故概率，也能在事故发生后进行原因诊断，为风险评估领域提供了一种更智能、更灵活的分析工具。</w:t>
            </w:r>
          </w:p>
          <w:p w14:paraId="78D930F3">
            <w:pPr>
              <w:pStyle w:val="2"/>
              <w:bidi w:val="0"/>
            </w:pPr>
            <w:r>
              <w:rPr>
                <w:rFonts w:hint="eastAsia"/>
              </w:rPr>
              <w:t>(2)实践意义</w:t>
            </w:r>
          </w:p>
          <w:p w14:paraId="56C2DB3B">
            <w:pPr>
              <w:pStyle w:val="2"/>
              <w:bidi w:val="0"/>
            </w:pPr>
            <w:r>
              <w:rPr>
                <w:rFonts w:hint="eastAsia"/>
              </w:rPr>
              <w:t>可为危化品运输企业提供一套科学的风险评估工具，帮助企业识别关键风险环节，有针对性地加强驾驶员培训、车辆维护和路线规划，实现从“事后应急”到“事前预防”的转变，降低事故发生率和运营成本。能为交通、应急管理等部门的监管决策提供数据支持，例如，针对高风险路段或时段实施重点监控，优化区域性的危化品运输路线，提升公共安全水平。有效降低危化品道路运输事故发生的概率及其可能造成的生命、财产损失和环境污染，保障社会公共安全，具有重大的社会效益。</w:t>
            </w:r>
          </w:p>
          <w:p w14:paraId="4ADC61F8">
            <w:pPr>
              <w:pStyle w:val="2"/>
              <w:bidi w:val="0"/>
              <w:rPr>
                <w:rFonts w:hint="eastAsia"/>
              </w:rPr>
            </w:pPr>
            <w:r>
              <w:rPr>
                <w:rFonts w:hint="eastAsia"/>
                <w:lang w:val="en-US" w:eastAsia="zh-CN"/>
              </w:rPr>
              <w:t>2.</w:t>
            </w:r>
            <w:r>
              <w:rPr>
                <w:rFonts w:hint="eastAsia"/>
              </w:rPr>
              <w:t>研究现状</w:t>
            </w:r>
          </w:p>
          <w:p w14:paraId="4B701751">
            <w:pPr>
              <w:pStyle w:val="2"/>
              <w:bidi w:val="0"/>
              <w:rPr>
                <w:rFonts w:hint="eastAsia"/>
              </w:rPr>
            </w:pPr>
            <w:r>
              <w:rPr>
                <w:rFonts w:hint="eastAsia"/>
              </w:rPr>
              <w:t>（1）贝叶斯网络在风险评估中的研究现状</w:t>
            </w:r>
          </w:p>
          <w:p w14:paraId="6926CF31">
            <w:pPr>
              <w:pStyle w:val="2"/>
              <w:bidi w:val="0"/>
              <w:rPr>
                <w:rFonts w:hint="eastAsia"/>
              </w:rPr>
            </w:pPr>
            <w:r>
              <w:rPr>
                <w:rFonts w:hint="eastAsia"/>
              </w:rPr>
              <w:t>贝叶斯网络作为一种强大的概率图模型，能够有效处理不确定性信息并进行复杂的因果推理，现已成为安全科学与风险评估领域的关键工具。在危险化学品道路运输这一特定风险场景中，贝叶斯网络的应用日益深入和多样化。朱婷、赵来军等人较早地系统应用贝叶斯网络对危化品道路运输事故进行综合分析，构建了能够揭示多因素耦合致因机制的网络模型[1]。在模型构建方法上，曹闰烽、刘瑞贤创新性地将故障树与贝叶斯网络相结合，对危化品罐式运输车整个道路运输系统进行了可靠性分析，展现了贝叶斯网络在处理复杂系统逻辑关系方面的强大能力[</w:t>
            </w:r>
            <w:r>
              <w:rPr>
                <w:rFonts w:hint="eastAsia"/>
                <w:lang w:val="en-US" w:eastAsia="zh-CN"/>
              </w:rPr>
              <w:t>2</w:t>
            </w:r>
            <w:r>
              <w:rPr>
                <w:rFonts w:hint="eastAsia"/>
              </w:rPr>
              <w:t>]。而鲁义、伍江乐等人则专注于事故后环节，构建了基于贝叶斯网络的危化品道路运输事故推理模型，为事故调查和责任认定提供了科学的智能化工具[</w:t>
            </w:r>
            <w:r>
              <w:rPr>
                <w:rFonts w:hint="eastAsia"/>
                <w:lang w:val="en-US" w:eastAsia="zh-CN"/>
              </w:rPr>
              <w:t>3</w:t>
            </w:r>
            <w:r>
              <w:rPr>
                <w:rFonts w:hint="eastAsia"/>
              </w:rPr>
              <w:t>]。近年来，为克服风险评估中数据不精确、知识不完备等挑战，学者们进一步将贝叶斯网络与其他理论融合。贾进章、陈怡诺等人引入了模糊集和改进的D-S证据理论，构建了模糊贝叶斯网络风险分析模型，有效处理了评估过程中的主观不确定性问题[</w:t>
            </w:r>
            <w:r>
              <w:rPr>
                <w:rFonts w:hint="eastAsia"/>
                <w:lang w:val="en-US" w:eastAsia="zh-CN"/>
              </w:rPr>
              <w:t>4</w:t>
            </w:r>
            <w:r>
              <w:rPr>
                <w:rFonts w:hint="eastAsia"/>
              </w:rPr>
              <w:t>]。同样，王菲、姚爽等人也探讨了基于贝叶斯网络的危化品运输风险模糊综合评估，证明了该方法在整合多源不确定信息时的有效性[</w:t>
            </w:r>
            <w:r>
              <w:rPr>
                <w:rFonts w:hint="eastAsia"/>
                <w:lang w:val="en-US" w:eastAsia="zh-CN"/>
              </w:rPr>
              <w:t>5</w:t>
            </w:r>
            <w:r>
              <w:rPr>
                <w:rFonts w:hint="eastAsia"/>
              </w:rPr>
              <w:t>]。国际研究趋势与此呼应，如Wang H等人基于扎根理论提取风险因子，再通过贝叶斯网络进行量化分析，为构建贴合实际的风险模型提供了新思路[</w:t>
            </w:r>
            <w:r>
              <w:rPr>
                <w:rFonts w:hint="eastAsia"/>
                <w:lang w:val="en-US" w:eastAsia="zh-CN"/>
              </w:rPr>
              <w:t>6</w:t>
            </w:r>
            <w:r>
              <w:rPr>
                <w:rFonts w:hint="eastAsia"/>
              </w:rPr>
              <w:t>]；而Ren C等人则强调了风险评估的动态性，利用贝叶斯网络对事故前、中、后全过程的风险进行了分段评估[</w:t>
            </w:r>
            <w:r>
              <w:rPr>
                <w:rFonts w:hint="eastAsia"/>
                <w:lang w:val="en-US" w:eastAsia="zh-CN"/>
              </w:rPr>
              <w:t>7</w:t>
            </w:r>
            <w:r>
              <w:rPr>
                <w:rFonts w:hint="eastAsia"/>
              </w:rPr>
              <w:t>]。</w:t>
            </w:r>
          </w:p>
          <w:p w14:paraId="7C52A05C">
            <w:pPr>
              <w:pStyle w:val="2"/>
              <w:bidi w:val="0"/>
              <w:rPr>
                <w:rFonts w:hint="eastAsia"/>
                <w:lang w:val="en-US" w:eastAsia="zh-CN"/>
              </w:rPr>
            </w:pPr>
            <w:r>
              <w:rPr>
                <w:rFonts w:hint="eastAsia"/>
              </w:rPr>
              <w:t>（2）危险化学品道路运输风险评估的数据基础与影响因素研究</w:t>
            </w:r>
            <w:r>
              <w:rPr>
                <w:rFonts w:hint="eastAsia"/>
                <w:lang w:val="en-US" w:eastAsia="zh-CN"/>
              </w:rPr>
              <w:t>现状</w:t>
            </w:r>
          </w:p>
          <w:p w14:paraId="40C9F366">
            <w:pPr>
              <w:pStyle w:val="2"/>
              <w:bidi w:val="0"/>
              <w:rPr>
                <w:rFonts w:hint="eastAsia"/>
              </w:rPr>
            </w:pPr>
            <w:r>
              <w:rPr>
                <w:rFonts w:hint="eastAsia"/>
              </w:rPr>
              <w:t>可靠的风险评估建立在扎实的事故数据与深刻的致因分析之上。曹建、施式亮等人通过对2013-2018年罐车公路运输危化品事故的系统分析，详细揭示了此类事故的时间、空间、车型及形态分布特征，为后续研究提供了宝贵的数据基础和关键风险因素的洞察[</w:t>
            </w:r>
            <w:r>
              <w:rPr>
                <w:rFonts w:hint="eastAsia"/>
                <w:lang w:val="en-US" w:eastAsia="zh-CN"/>
              </w:rPr>
              <w:t>8</w:t>
            </w:r>
            <w:r>
              <w:rPr>
                <w:rFonts w:hint="eastAsia"/>
              </w:rPr>
              <w:t>]。伍江乐、鲁义等人则从宏观管理视角出发，全面分析了危化品道路运输风险管控的现状与存在的问题，指出从“人、车、路、环境、管理”等多个维度构建系统性风险管控体系的必要性[</w:t>
            </w:r>
            <w:r>
              <w:rPr>
                <w:rFonts w:hint="eastAsia"/>
                <w:lang w:val="en-US" w:eastAsia="zh-CN"/>
              </w:rPr>
              <w:t>9</w:t>
            </w:r>
            <w:r>
              <w:rPr>
                <w:rFonts w:hint="eastAsia"/>
              </w:rPr>
              <w:t>]。在具体的风险预测模型构建方面，陈文瑛、王影等人专门针对危险化学品道路运输风险预测模型展开研究，为量化风险提供了重要的方法论支持[</w:t>
            </w:r>
            <w:r>
              <w:rPr>
                <w:rFonts w:hint="eastAsia"/>
                <w:lang w:val="en-US" w:eastAsia="zh-CN"/>
              </w:rPr>
              <w:t>10</w:t>
            </w:r>
            <w:r>
              <w:rPr>
                <w:rFonts w:hint="eastAsia"/>
              </w:rPr>
              <w:t>]。张永辉、刘子云等人的研究则将贝叶斯网络的应用范围拓展至更一般的公路运输风险评估，验证了该方法在交通领域的普适性[</w:t>
            </w:r>
            <w:r>
              <w:rPr>
                <w:rFonts w:hint="eastAsia"/>
                <w:lang w:val="en-US" w:eastAsia="zh-CN"/>
              </w:rPr>
              <w:t>11</w:t>
            </w:r>
            <w:r>
              <w:rPr>
                <w:rFonts w:hint="eastAsia"/>
              </w:rPr>
              <w:t>]。同时，潘洁探索了将TOPSIS-事故树与模糊贝叶斯网络相结合的评估方法，展现了多方法融合在提升评估精度方面的潜力[1</w:t>
            </w:r>
            <w:r>
              <w:rPr>
                <w:rFonts w:hint="eastAsia"/>
                <w:lang w:val="en-US" w:eastAsia="zh-CN"/>
              </w:rPr>
              <w:t>2</w:t>
            </w:r>
            <w:r>
              <w:rPr>
                <w:rFonts w:hint="eastAsia"/>
              </w:rPr>
              <w:t>]。值得注意的是，贝叶斯网络的应用已不局限于道路运输。Yusheng Z等人将其应用于集装箱航运服务的整体风险评估[1</w:t>
            </w:r>
            <w:r>
              <w:rPr>
                <w:rFonts w:hint="eastAsia"/>
                <w:lang w:val="en-US" w:eastAsia="zh-CN"/>
              </w:rPr>
              <w:t>3</w:t>
            </w:r>
            <w:r>
              <w:rPr>
                <w:rFonts w:hint="eastAsia"/>
              </w:rPr>
              <w:t>]，Jiang X等人将其用于评估滚装客船运输电动汽车的火灾风险[14]，Zhang F等人则将其应用于水路易燃液体运输风险评估[15]。这些跨领域的研究成果，为危化品道路运输风险评估提供了丰富的理论借鉴和技术交叉融合的可能性。</w:t>
            </w:r>
          </w:p>
          <w:p w14:paraId="653B5E4B">
            <w:pPr>
              <w:pStyle w:val="2"/>
              <w:bidi w:val="0"/>
              <w:rPr>
                <w:rFonts w:hint="eastAsia"/>
                <w:lang w:val="en-US" w:eastAsia="zh-CN"/>
              </w:rPr>
            </w:pPr>
            <w:r>
              <w:rPr>
                <w:rFonts w:hint="eastAsia"/>
              </w:rPr>
              <w:t>（3）基于贝叶斯网络的风险评估模型优化与前沿发展</w:t>
            </w:r>
            <w:r>
              <w:rPr>
                <w:rFonts w:hint="eastAsia"/>
                <w:lang w:val="en-US" w:eastAsia="zh-CN"/>
              </w:rPr>
              <w:t>现状</w:t>
            </w:r>
          </w:p>
          <w:p w14:paraId="63A3D29F">
            <w:pPr>
              <w:pStyle w:val="2"/>
              <w:bidi w:val="0"/>
              <w:rPr>
                <w:rFonts w:hint="eastAsia"/>
              </w:rPr>
            </w:pPr>
            <w:r>
              <w:rPr>
                <w:rFonts w:hint="eastAsia"/>
              </w:rPr>
              <w:t>当前，基于贝叶斯网络的危险化学品道路运输风险评估研究呈现出从静态评估向动态评估、从单一模型向混合模型发展的明显趋势。早期的研究多为静态分析，而近期的学位论文研究则更注重动态性。例如，王亚坤在其研究中聚焦于危险化学品道路运输事故的动态风险评估与应急处置[1</w:t>
            </w:r>
            <w:r>
              <w:rPr>
                <w:rFonts w:hint="eastAsia"/>
                <w:lang w:val="en-US" w:eastAsia="zh-CN"/>
              </w:rPr>
              <w:t>6</w:t>
            </w:r>
            <w:r>
              <w:rPr>
                <w:rFonts w:hint="eastAsia"/>
              </w:rPr>
              <w:t>]，任轶华则直接以危险品道路运输动态风险评估为研究对象[</w:t>
            </w:r>
            <w:r>
              <w:rPr>
                <w:rFonts w:hint="eastAsia"/>
                <w:lang w:val="en-US" w:eastAsia="zh-CN"/>
              </w:rPr>
              <w:t>17</w:t>
            </w:r>
            <w:r>
              <w:rPr>
                <w:rFonts w:hint="eastAsia"/>
              </w:rPr>
              <w:t>]，这标志着该领域研究的不断深化。在模型优化方面，学者们致力于通过算法改进和模型结构优化来提升贝叶斯网络的性能。李启华在其博士论文中深入研究了基于贝叶斯网络的危化品道路运输风险预测模型[1</w:t>
            </w:r>
            <w:r>
              <w:rPr>
                <w:rFonts w:hint="eastAsia"/>
                <w:lang w:val="en-US" w:eastAsia="zh-CN"/>
              </w:rPr>
              <w:t>8</w:t>
            </w:r>
            <w:r>
              <w:rPr>
                <w:rFonts w:hint="eastAsia"/>
              </w:rPr>
              <w:t>]。随后的研究者，如李雅静，进一步对基于贝叶斯网络的危险化学品运输安全风险评估方法进行了专项研究[19]。伍江乐在其硕士论文中，不仅分析了事故特征，还深入探讨了推理模型的构建[20]。这些系统性的学位论文工作，极大地推动了贝叶斯网络在该领域的理论基础和应用深度。</w:t>
            </w:r>
          </w:p>
          <w:p w14:paraId="28458AA0">
            <w:pPr>
              <w:pStyle w:val="2"/>
              <w:bidi w:val="0"/>
              <w:rPr>
                <w:rFonts w:hint="eastAsia"/>
              </w:rPr>
            </w:pPr>
            <w:r>
              <w:rPr>
                <w:rFonts w:hint="eastAsia"/>
              </w:rPr>
              <w:t>现有研究仍存在可深化之处。首先，多数研究的数据来源相对单一，主要依赖于历史事故报告，缺乏与宏观经济、区域路网状况等外部动态数据的融合分析[</w:t>
            </w:r>
            <w:r>
              <w:rPr>
                <w:rFonts w:hint="eastAsia"/>
                <w:lang w:val="en-US" w:eastAsia="zh-CN"/>
              </w:rPr>
              <w:t>21</w:t>
            </w:r>
            <w:r>
              <w:rPr>
                <w:rFonts w:hint="eastAsia"/>
              </w:rPr>
              <w:t>]。其次，在构建贝叶斯网络节点和结构时，虽有一定的事故数据支撑，但如何更系统、更客观地从海量多源数据（包括近实时数据）中挖掘和验证风险因素间的因果关系，仍是值得探索的方向。因此，本研究拟整合中国经济社会大数据研究平台与专业的化学品事故数据库，旨在构建一个数据驱动、更具时效性和适应性的贝叶斯网络风险评估模型，以期在风险评估的准确性和实用性上实现突破。</w:t>
            </w:r>
          </w:p>
          <w:p w14:paraId="13CFACCC">
            <w:pPr>
              <w:pStyle w:val="2"/>
              <w:bidi w:val="0"/>
            </w:pPr>
            <w:r>
              <w:rPr>
                <w:rFonts w:hint="eastAsia"/>
              </w:rPr>
              <w:t>(</w:t>
            </w:r>
            <w:r>
              <w:rPr>
                <w:rFonts w:hint="eastAsia"/>
                <w:lang w:val="en-US" w:eastAsia="zh-CN"/>
              </w:rPr>
              <w:t>4</w:t>
            </w:r>
            <w:r>
              <w:rPr>
                <w:rFonts w:hint="eastAsia"/>
              </w:rPr>
              <w:t>)文献评述</w:t>
            </w:r>
          </w:p>
          <w:p w14:paraId="7ED607F5">
            <w:pPr>
              <w:pStyle w:val="2"/>
              <w:bidi w:val="0"/>
            </w:pPr>
            <w:r>
              <w:rPr>
                <w:rFonts w:hint="eastAsia"/>
              </w:rPr>
              <w:t>综合分析现有研究可以发现</w:t>
            </w:r>
            <w:r>
              <w:rPr>
                <w:rFonts w:hint="eastAsia"/>
                <w:lang w:eastAsia="zh-CN"/>
              </w:rPr>
              <w:t>，</w:t>
            </w:r>
            <w:r>
              <w:rPr>
                <w:rFonts w:hint="eastAsia"/>
              </w:rPr>
              <w:t>基础统计分析明确了风险特征与规律；贝叶斯网络及其改进模型已成为主流的评估工具；模型融合与动态评估代表着发展趋势。然而，现有研究在如何有效利用客观数据驱动模型、如何充分发挥贝叶斯网络的双向推理功能等方面仍存在提升空间。国际期刊中强调的贝叶斯网络在决策分析中的潜力尚未在危险化学品道路运输领域得到充分挖掘。</w:t>
            </w:r>
          </w:p>
          <w:p w14:paraId="086F4D7D">
            <w:pPr>
              <w:pStyle w:val="2"/>
              <w:bidi w:val="0"/>
            </w:pPr>
            <w:r>
              <w:rPr>
                <w:rFonts w:hint="eastAsia"/>
              </w:rPr>
              <w:t>3.可行性分析</w:t>
            </w:r>
          </w:p>
          <w:p w14:paraId="64C68235">
            <w:pPr>
              <w:pStyle w:val="2"/>
              <w:bidi w:val="0"/>
            </w:pPr>
            <w:r>
              <w:rPr>
                <w:rFonts w:hint="eastAsia"/>
              </w:rPr>
              <w:t>(1) 理论基础可行</w:t>
            </w:r>
          </w:p>
          <w:p w14:paraId="15A35837">
            <w:pPr>
              <w:pStyle w:val="2"/>
              <w:bidi w:val="0"/>
            </w:pPr>
            <w:r>
              <w:rPr>
                <w:rFonts w:hint="eastAsia"/>
              </w:rPr>
              <w:t>本研究具备充分的理论与方法论基础。贝叶斯网络作为一种成熟的不确定性推理方法，在风险评估领域已有广泛应用和验证。数据驱动与知识驱动相结合的研究范式在相关领域已有成功实践，动态风险评估的理论框架也已相对成熟。危险化学品运输风险评估领域的前期研究成果丰硕，为本研究提供了坚实的理论基础。</w:t>
            </w:r>
          </w:p>
          <w:p w14:paraId="3E324850">
            <w:pPr>
              <w:pStyle w:val="2"/>
              <w:bidi w:val="0"/>
            </w:pPr>
            <w:r>
              <w:rPr>
                <w:rFonts w:hint="eastAsia"/>
              </w:rPr>
              <w:t>(2) 研究方法可行</w:t>
            </w:r>
          </w:p>
          <w:p w14:paraId="03607E3C">
            <w:pPr>
              <w:pStyle w:val="2"/>
              <w:bidi w:val="0"/>
            </w:pPr>
            <w:r>
              <w:rPr>
                <w:rFonts w:hint="eastAsia"/>
              </w:rPr>
              <w:t>本研究设计的技术路线清晰且具有可操作性。数据处理阶段采用SPSS软件进行统计分析，该软件在数据处理方面的稳定性和普及性为研究提供了保障。在模型构建方面，贝叶斯网络已有成熟的实现工具，包括多种开源或商业软件可供选择。整个研究流程"数据收集→预处理→模型构建→验证分析"环环相扣，逻辑严密，具备良好的可实施性。</w:t>
            </w:r>
          </w:p>
          <w:p w14:paraId="70916A00">
            <w:pPr>
              <w:pStyle w:val="2"/>
              <w:bidi w:val="0"/>
            </w:pPr>
            <w:r>
              <w:rPr>
                <w:rFonts w:hint="eastAsia"/>
              </w:rPr>
              <w:t>(3) 数据来源可行</w:t>
            </w:r>
          </w:p>
          <w:p w14:paraId="34EBE9EA">
            <w:pPr>
              <w:pStyle w:val="2"/>
              <w:bidi w:val="0"/>
              <w:rPr>
                <w:rFonts w:hint="eastAsia"/>
              </w:rPr>
            </w:pPr>
            <w:r>
              <w:rPr>
                <w:rFonts w:hint="eastAsia"/>
              </w:rPr>
              <w:t>本研究所需的数据来源明确且可获得。具体包括：事故数据可从相关管理部门官网公布的事故调查报告中获取（例如化学品事故信息网</w:t>
            </w:r>
            <w:r>
              <w:rPr>
                <w:rFonts w:hint="eastAsia"/>
                <w:lang w:eastAsia="zh-CN"/>
              </w:rPr>
              <w:t>、中国经济社会大数据研究平台</w:t>
            </w:r>
            <w:r>
              <w:rPr>
                <w:rFonts w:hint="eastAsia"/>
                <w:lang w:val="en-US" w:eastAsia="zh-CN"/>
              </w:rPr>
              <w:t>等</w:t>
            </w:r>
            <w:r>
              <w:rPr>
                <w:rFonts w:hint="eastAsia"/>
              </w:rPr>
              <w:t>）；运输基础数据可从国家统计部门和交通运输部门发布的统计年鉴中获得；道路环境数据可通过电子地图开放平台获取；气象数据可从专业气象数据平台获取。这些数据源具有权威性、公开性和持续性的特点，能够满足本研究对数据质量和数量的要求。</w:t>
            </w:r>
          </w:p>
          <w:p w14:paraId="04E9598F">
            <w:pPr>
              <w:pStyle w:val="2"/>
              <w:numPr>
                <w:ilvl w:val="0"/>
                <w:numId w:val="1"/>
              </w:numPr>
              <w:bidi w:val="0"/>
              <w:rPr>
                <w:rFonts w:hint="eastAsia"/>
              </w:rPr>
            </w:pPr>
            <w:r>
              <w:rPr>
                <w:rFonts w:hint="eastAsia"/>
              </w:rPr>
              <w:t>技术可行性</w:t>
            </w:r>
          </w:p>
          <w:p w14:paraId="11569E90">
            <w:pPr>
              <w:pStyle w:val="2"/>
              <w:bidi w:val="0"/>
              <w:rPr>
                <w:rFonts w:hint="eastAsia"/>
              </w:rPr>
            </w:pPr>
            <w:r>
              <w:rPr>
                <w:rFonts w:hint="eastAsia"/>
              </w:rPr>
              <w:t>研究者已具备运用SPSS进行数据处理的基础，对于贝叶斯网络的理论原理有较好理解。相关的建模软件学习资源丰富，通过短期内的针对性学习与实践，可以掌握模型构建所需的核心技能。</w:t>
            </w:r>
          </w:p>
          <w:p w14:paraId="323FD95A">
            <w:pPr>
              <w:pStyle w:val="2"/>
              <w:bidi w:val="0"/>
              <w:rPr>
                <w:rFonts w:hint="eastAsia"/>
              </w:rPr>
            </w:pPr>
          </w:p>
          <w:p w14:paraId="2900287A">
            <w:pPr>
              <w:pStyle w:val="2"/>
              <w:bidi w:val="0"/>
              <w:rPr>
                <w:rFonts w:hint="eastAsia"/>
              </w:rPr>
            </w:pPr>
          </w:p>
          <w:p w14:paraId="111A2304">
            <w:pPr>
              <w:pStyle w:val="2"/>
              <w:bidi w:val="0"/>
              <w:ind w:left="0" w:leftChars="0" w:firstLine="0" w:firstLineChars="0"/>
              <w:rPr>
                <w:rFonts w:hint="eastAsia"/>
              </w:rPr>
            </w:pPr>
          </w:p>
          <w:p w14:paraId="058A850C">
            <w:pPr>
              <w:pStyle w:val="2"/>
              <w:bidi w:val="0"/>
              <w:ind w:left="0" w:leftChars="0" w:firstLine="0" w:firstLineChars="0"/>
              <w:rPr>
                <w:rFonts w:hint="eastAsia"/>
              </w:rPr>
            </w:pPr>
          </w:p>
          <w:p w14:paraId="2CB1EA6A">
            <w:pPr>
              <w:pStyle w:val="2"/>
              <w:bidi w:val="0"/>
              <w:ind w:left="0" w:leftChars="0" w:firstLine="0" w:firstLineChars="0"/>
              <w:rPr>
                <w:rFonts w:hint="eastAsia"/>
              </w:rPr>
            </w:pPr>
          </w:p>
        </w:tc>
      </w:tr>
      <w:tr w14:paraId="2343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6"/>
            <w:shd w:val="clear" w:color="auto" w:fill="auto"/>
          </w:tcPr>
          <w:p w14:paraId="2B019744">
            <w:pPr>
              <w:snapToGrid w:val="0"/>
              <w:spacing w:line="360" w:lineRule="auto"/>
              <w:rPr>
                <w:rFonts w:ascii="黑体" w:hAnsi="黑体" w:eastAsia="黑体"/>
              </w:rPr>
            </w:pPr>
            <w:r>
              <w:rPr>
                <w:rFonts w:ascii="黑体" w:hAnsi="黑体" w:eastAsia="黑体"/>
                <w:b/>
              </w:rPr>
              <w:t>基本内容、目标、拟采用的方案</w:t>
            </w:r>
          </w:p>
          <w:p w14:paraId="717F3F7B">
            <w:pPr>
              <w:pStyle w:val="2"/>
              <w:bidi w:val="0"/>
              <w:rPr>
                <w:rFonts w:hint="eastAsia"/>
              </w:rPr>
            </w:pPr>
            <w:r>
              <w:rPr>
                <w:rFonts w:hint="eastAsia"/>
              </w:rPr>
              <w:t>1.基本内容</w:t>
            </w:r>
          </w:p>
          <w:p w14:paraId="2FB646C6">
            <w:pPr>
              <w:pStyle w:val="2"/>
              <w:bidi w:val="0"/>
              <w:rPr>
                <w:rFonts w:hint="eastAsia"/>
              </w:rPr>
            </w:pPr>
            <w:r>
              <w:rPr>
                <w:rFonts w:hint="eastAsia"/>
              </w:rPr>
              <w:t>(1) 危险化学品道路运输风险系统分析</w:t>
            </w:r>
          </w:p>
          <w:p w14:paraId="4CB74B22">
            <w:pPr>
              <w:pStyle w:val="2"/>
              <w:bidi w:val="0"/>
              <w:rPr>
                <w:rFonts w:hint="eastAsia"/>
              </w:rPr>
            </w:pPr>
            <w:r>
              <w:rPr>
                <w:rFonts w:hint="eastAsia"/>
              </w:rPr>
              <w:t>全面辨识和梳理影响危化品道路运输安全的关键风险因素，涵盖人员、车辆、货物、道路环境、管理与应急等多个维度。系统分析各风险因素之间的相互作用与因果关系，为后续模型构建奠定基础。</w:t>
            </w:r>
          </w:p>
          <w:p w14:paraId="14D90A21">
            <w:pPr>
              <w:pStyle w:val="2"/>
              <w:bidi w:val="0"/>
              <w:rPr>
                <w:rFonts w:hint="eastAsia"/>
              </w:rPr>
            </w:pPr>
            <w:r>
              <w:rPr>
                <w:rFonts w:hint="eastAsia"/>
              </w:rPr>
              <w:t>(</w:t>
            </w:r>
            <w:r>
              <w:rPr>
                <w:rFonts w:hint="eastAsia"/>
                <w:lang w:val="en-US" w:eastAsia="zh-CN"/>
              </w:rPr>
              <w:t>2</w:t>
            </w:r>
            <w:r>
              <w:rPr>
                <w:rFonts w:hint="eastAsia"/>
              </w:rPr>
              <w:t>) 贝叶斯网络风险评估模型构建</w:t>
            </w:r>
          </w:p>
          <w:p w14:paraId="2E353557">
            <w:pPr>
              <w:pStyle w:val="2"/>
              <w:bidi w:val="0"/>
              <w:rPr>
                <w:rFonts w:hint="eastAsia"/>
              </w:rPr>
            </w:pPr>
            <w:r>
              <w:rPr>
                <w:rFonts w:hint="eastAsia"/>
              </w:rPr>
              <w:t>基于风险系统分析结果与数据处理成果，构建危险化学品道路运输风险评估贝叶斯网络模型。具体包括：确定网络节点变量及其状态空间；结合领域知识、文献分析与数据挖掘结果，确定节点间的条件依赖关系，完成网络结构学习；利用样本数据与先验知识，完成网络参数学习，确定各节点的条件概率分布。</w:t>
            </w:r>
          </w:p>
          <w:p w14:paraId="77E8D826">
            <w:pPr>
              <w:pStyle w:val="2"/>
              <w:bidi w:val="0"/>
              <w:rPr>
                <w:rFonts w:hint="eastAsia"/>
              </w:rPr>
            </w:pPr>
            <w:r>
              <w:rPr>
                <w:rFonts w:hint="eastAsia"/>
              </w:rPr>
              <w:t>(</w:t>
            </w:r>
            <w:r>
              <w:rPr>
                <w:rFonts w:hint="eastAsia"/>
                <w:lang w:val="en-US" w:eastAsia="zh-CN"/>
              </w:rPr>
              <w:t>3</w:t>
            </w:r>
            <w:r>
              <w:rPr>
                <w:rFonts w:hint="eastAsia"/>
              </w:rPr>
              <w:t>) 模型应用、验证与结果分析</w:t>
            </w:r>
          </w:p>
          <w:p w14:paraId="298EBD61">
            <w:pPr>
              <w:pStyle w:val="2"/>
              <w:bidi w:val="0"/>
              <w:rPr>
                <w:rFonts w:hint="eastAsia"/>
              </w:rPr>
            </w:pPr>
            <w:r>
              <w:rPr>
                <w:rFonts w:hint="eastAsia"/>
              </w:rPr>
              <w:t>应用构建的贝叶斯网络模型进行实例分析，包括：进行风险预测（正向推理），计算特定情境下的事故发生概率；进行风险诊断（反向推理），识别导致高风险状态的关键因素与路径。通过历史案例回代、灵敏度分析等方法验证模型的准确性与有效性，并对风险评估结果进行深入分析与讨论。</w:t>
            </w:r>
          </w:p>
          <w:p w14:paraId="1936E721">
            <w:pPr>
              <w:pStyle w:val="2"/>
              <w:bidi w:val="0"/>
            </w:pPr>
            <w:r>
              <w:rPr>
                <w:rFonts w:hint="eastAsia"/>
              </w:rPr>
              <w:t>2.研究目标</w:t>
            </w:r>
          </w:p>
          <w:p w14:paraId="643BA61B">
            <w:pPr>
              <w:pStyle w:val="2"/>
              <w:bidi w:val="0"/>
            </w:pPr>
            <w:r>
              <w:rPr>
                <w:rFonts w:hint="eastAsia"/>
              </w:rPr>
              <w:t>构建一个科学、实用、基于贝叶斯网络的危险化学品道路运输动态风险评估模型，能够有效处理风险评估中的不确定性问题。系统揭示危险化学品道路运输系统中各风险因素间的复杂因果关系及其对整体风险水平的贡献度，识别关键风险节点与传导路径。实现模型的双向推理功能，既能对特定运输场景下的风险概率进行预测预警，也能在事故或异常状态下进行原因追溯与诊断</w:t>
            </w:r>
            <w:r>
              <w:rPr>
                <w:rFonts w:hint="eastAsia"/>
                <w:lang w:eastAsia="zh-CN"/>
              </w:rPr>
              <w:t>。</w:t>
            </w:r>
            <w:r>
              <w:rPr>
                <w:rFonts w:hint="eastAsia"/>
              </w:rPr>
              <w:t>为危险化学品运输企业的风险管理与政府部门的安全监管提供定量化的决策依据与理论工具，并提出有针对性的风险管控对策建议。</w:t>
            </w:r>
          </w:p>
          <w:p w14:paraId="63190F6B">
            <w:pPr>
              <w:pStyle w:val="2"/>
              <w:bidi w:val="0"/>
            </w:pPr>
            <w:r>
              <w:rPr>
                <w:rFonts w:hint="eastAsia"/>
              </w:rPr>
              <w:t>3.拟采用的方案</w:t>
            </w:r>
          </w:p>
          <w:p w14:paraId="55EF1B8C">
            <w:pPr>
              <w:pStyle w:val="2"/>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研究思路与技术路线</w:t>
            </w:r>
          </w:p>
          <w:p w14:paraId="79ED6092">
            <w:pPr>
              <w:pStyle w:val="2"/>
              <w:bidi w:val="0"/>
              <w:rPr>
                <w:rFonts w:hint="eastAsia"/>
                <w:lang w:val="en-US" w:eastAsia="zh-CN"/>
              </w:rPr>
            </w:pPr>
            <w:r>
              <w:rPr>
                <w:rFonts w:hint="eastAsia"/>
              </w:rPr>
              <w:t>本研究旨在构建一个科学、实用的危险化学品道路运输风险评估模型。首先，通过文献研究法，系统梳理危险化学品道路运输事故的致因机理与风险评估理论，确立以“人-车-路-环境-管理”为核心的分析框架。其次，采用多源数据收集法，从“化学品事故信息网”及“中国经济社会大数据研究平台”获取历史事故案例与宏观环境数据。随后，运用SPSS对数据进行清洗、归类与编码等预处理，为模型构建做好准备。然后，综合运用贝叶斯网络方法，进行网络结构学习与参数学习，建立风险评估模型，并通过案例进行模型验证与应用分析，实现风险预测与关键致因诊断。最后，根据模型分析结果，提炼核心结论并提出针对性的风险管控对策建议。</w:t>
            </w:r>
          </w:p>
          <w:p w14:paraId="47D9897A">
            <w:pPr>
              <w:pStyle w:val="2"/>
              <w:bidi w:val="0"/>
              <w:rPr>
                <w:rFonts w:hint="eastAsia"/>
              </w:rPr>
            </w:pPr>
            <w:r>
              <w:rPr>
                <w:rFonts w:hint="eastAsia"/>
                <w:lang w:val="en-US" w:eastAsia="zh-CN"/>
              </w:rPr>
              <w:t>（2）</w:t>
            </w:r>
            <w:r>
              <w:rPr>
                <w:rFonts w:hint="eastAsia"/>
              </w:rPr>
              <w:t>研究方法</w:t>
            </w:r>
          </w:p>
          <w:p w14:paraId="248AAECF">
            <w:pPr>
              <w:pStyle w:val="2"/>
              <w:bidi w:val="0"/>
              <w:rPr>
                <w:rFonts w:hint="eastAsia"/>
              </w:rPr>
            </w:pPr>
            <w:r>
              <w:rPr>
                <w:rFonts w:hint="eastAsia"/>
              </w:rPr>
              <w:t>本研究主要采用文献研究法、案例数据分析法和模型构建法相结合的研究方法。</w:t>
            </w:r>
          </w:p>
          <w:p w14:paraId="5419F6AC">
            <w:pPr>
              <w:pStyle w:val="2"/>
              <w:numPr>
                <w:ilvl w:val="0"/>
                <w:numId w:val="2"/>
              </w:numPr>
              <w:bidi w:val="0"/>
              <w:rPr>
                <w:rFonts w:hint="eastAsia"/>
              </w:rPr>
            </w:pPr>
            <w:r>
              <w:rPr>
                <w:rFonts w:hint="eastAsia"/>
              </w:rPr>
              <w:t>文献研究法</w:t>
            </w:r>
          </w:p>
          <w:p w14:paraId="7B8B0B17">
            <w:pPr>
              <w:pStyle w:val="2"/>
              <w:numPr>
                <w:numId w:val="0"/>
              </w:numPr>
              <w:bidi w:val="0"/>
              <w:ind w:firstLine="420" w:firstLineChars="200"/>
              <w:rPr>
                <w:rFonts w:hint="eastAsia"/>
              </w:rPr>
            </w:pPr>
            <w:r>
              <w:rPr>
                <w:rFonts w:hint="eastAsia"/>
              </w:rPr>
              <w:t>主要用于系统梳理与界定危险化学品道路运输领域的核心风险因素，为本研究构建全面且贴合实际的风险评估指标体系提供理论基础。</w:t>
            </w:r>
          </w:p>
          <w:p w14:paraId="5DC7FC29">
            <w:pPr>
              <w:pStyle w:val="2"/>
              <w:numPr>
                <w:ilvl w:val="0"/>
                <w:numId w:val="2"/>
              </w:numPr>
              <w:bidi w:val="0"/>
              <w:ind w:left="0" w:leftChars="0" w:firstLine="420" w:firstLineChars="200"/>
              <w:rPr>
                <w:rFonts w:hint="eastAsia"/>
              </w:rPr>
            </w:pPr>
            <w:r>
              <w:rPr>
                <w:rFonts w:hint="eastAsia"/>
              </w:rPr>
              <w:t>案例数据分析法</w:t>
            </w:r>
          </w:p>
          <w:p w14:paraId="2A26CFAC">
            <w:pPr>
              <w:pStyle w:val="2"/>
              <w:bidi w:val="0"/>
              <w:rPr>
                <w:rFonts w:hint="eastAsia"/>
              </w:rPr>
            </w:pPr>
            <w:r>
              <w:rPr>
                <w:rFonts w:hint="eastAsia"/>
              </w:rPr>
              <w:t>本研究的核心数据来源方法。选择该方法是因为历史事故案例是对真实风险事件的客观记录，其中蕴含了大量风险演化规律，能够为贝叶斯网络模型的构建与验证提供坚实、可靠的数据基础。</w:t>
            </w:r>
          </w:p>
          <w:p w14:paraId="2FD9D6E5">
            <w:pPr>
              <w:pStyle w:val="2"/>
              <w:numPr>
                <w:numId w:val="0"/>
              </w:numPr>
              <w:bidi w:val="0"/>
              <w:ind w:firstLine="420" w:firstLineChars="200"/>
              <w:rPr>
                <w:rFonts w:hint="eastAsia"/>
              </w:rPr>
            </w:pPr>
            <w:r>
              <w:rPr>
                <w:rFonts w:hint="eastAsia"/>
              </w:rPr>
              <w:t>3）模型构建法（贝叶斯网络）</w:t>
            </w:r>
          </w:p>
          <w:p w14:paraId="09D11D07">
            <w:pPr>
              <w:pStyle w:val="2"/>
              <w:bidi w:val="0"/>
              <w:rPr>
                <w:rFonts w:hint="eastAsia"/>
              </w:rPr>
            </w:pPr>
            <w:r>
              <w:rPr>
                <w:rFonts w:hint="eastAsia"/>
              </w:rPr>
              <w:t>本研究的核心分析方法。选择该方法是因为贝叶斯网络能够直观地表达变量间的复杂因果关系，并处理风险评估中的不确定性信息，其强大的概率推理能力特别适合进行事故风险的概率预测和事故发生后的原因诊断。</w:t>
            </w:r>
          </w:p>
          <w:p w14:paraId="579A5B86">
            <w:pPr>
              <w:pStyle w:val="2"/>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数据收集方案</w:t>
            </w:r>
          </w:p>
          <w:p w14:paraId="73D8B7C0">
            <w:pPr>
              <w:pStyle w:val="2"/>
              <w:bidi w:val="0"/>
              <w:rPr>
                <w:rFonts w:hint="eastAsia"/>
              </w:rPr>
            </w:pPr>
            <w:r>
              <w:rPr>
                <w:rFonts w:hint="eastAsia"/>
              </w:rPr>
              <w:t>本研究的数据收集主要通过权威网络数据平台进行。</w:t>
            </w:r>
          </w:p>
          <w:p w14:paraId="146E92DC">
            <w:pPr>
              <w:pStyle w:val="2"/>
              <w:numPr>
                <w:ilvl w:val="0"/>
                <w:numId w:val="3"/>
              </w:numPr>
              <w:bidi w:val="0"/>
              <w:rPr>
                <w:rFonts w:hint="eastAsia"/>
              </w:rPr>
            </w:pPr>
            <w:r>
              <w:rPr>
                <w:rFonts w:hint="eastAsia"/>
              </w:rPr>
              <w:t>研究对象与数据来源</w:t>
            </w:r>
          </w:p>
          <w:p w14:paraId="1CCABC36">
            <w:pPr>
              <w:pStyle w:val="2"/>
              <w:bidi w:val="0"/>
              <w:rPr>
                <w:rFonts w:hint="eastAsia"/>
              </w:rPr>
            </w:pPr>
            <w:r>
              <w:rPr>
                <w:rFonts w:hint="eastAsia"/>
              </w:rPr>
              <w:t>本研究以“化学品事故信息网”公开发布的危险化学品道路运输事故调查报告为核心研究对象，并辅以“中国经济社会大数据研究平台”中相关的区域经济、路网密度及天气等宏观环境数据。采用目的性抽样，计划系统收集近</w:t>
            </w:r>
            <w:r>
              <w:rPr>
                <w:rFonts w:hint="eastAsia"/>
                <w:lang w:val="en-US" w:eastAsia="zh-CN"/>
              </w:rPr>
              <w:t>几</w:t>
            </w:r>
            <w:r>
              <w:rPr>
                <w:rFonts w:hint="eastAsia"/>
              </w:rPr>
              <w:t>年内不少于200起有效事故案例数据。</w:t>
            </w:r>
          </w:p>
          <w:p w14:paraId="2E4A3772">
            <w:pPr>
              <w:pStyle w:val="2"/>
              <w:numPr>
                <w:ilvl w:val="0"/>
                <w:numId w:val="3"/>
              </w:numPr>
              <w:bidi w:val="0"/>
              <w:ind w:left="0" w:leftChars="0" w:firstLine="420" w:firstLineChars="200"/>
              <w:rPr>
                <w:rFonts w:hint="eastAsia"/>
              </w:rPr>
            </w:pPr>
            <w:r>
              <w:rPr>
                <w:rFonts w:hint="eastAsia"/>
              </w:rPr>
              <w:t>变量设计与数据预处理</w:t>
            </w:r>
          </w:p>
          <w:p w14:paraId="161069EF">
            <w:pPr>
              <w:pStyle w:val="2"/>
              <w:bidi w:val="0"/>
              <w:rPr>
                <w:rFonts w:hint="eastAsia"/>
              </w:rPr>
            </w:pPr>
            <w:r>
              <w:rPr>
                <w:rFonts w:hint="eastAsia"/>
              </w:rPr>
              <w:t>根据理论框架，将风险变量操作化为人员资质、车辆状况、货物属性、道路条件、天气环境及企业管理体系等多个可度量的指标。使用SPSS软件对收集到的原始数据进行清洗、整合与离散化处理，将其转化为适合贝叶斯网络建模的标准化数据格式。</w:t>
            </w:r>
          </w:p>
          <w:p w14:paraId="06BA1FC8">
            <w:pPr>
              <w:pStyle w:val="2"/>
              <w:numPr>
                <w:ilvl w:val="0"/>
                <w:numId w:val="3"/>
              </w:numPr>
              <w:bidi w:val="0"/>
              <w:ind w:left="0" w:leftChars="0" w:firstLine="420" w:firstLineChars="200"/>
              <w:rPr>
                <w:rFonts w:hint="eastAsia"/>
              </w:rPr>
            </w:pPr>
            <w:r>
              <w:rPr>
                <w:rFonts w:hint="eastAsia"/>
              </w:rPr>
              <w:t>实施过程</w:t>
            </w:r>
          </w:p>
          <w:p w14:paraId="344849C6">
            <w:pPr>
              <w:pStyle w:val="2"/>
              <w:bidi w:val="0"/>
              <w:rPr>
                <w:rFonts w:hint="eastAsia"/>
              </w:rPr>
            </w:pPr>
            <w:r>
              <w:rPr>
                <w:rFonts w:hint="eastAsia"/>
              </w:rPr>
              <w:t>计划于研究前期集中进行线上数据采集、下载与初步整理工作。</w:t>
            </w:r>
          </w:p>
          <w:p w14:paraId="5F8407AA">
            <w:pPr>
              <w:pStyle w:val="2"/>
              <w:numPr>
                <w:ilvl w:val="0"/>
                <w:numId w:val="4"/>
              </w:numPr>
              <w:bidi w:val="0"/>
              <w:rPr>
                <w:rFonts w:hint="eastAsia"/>
                <w:lang w:val="en-US" w:eastAsia="zh-CN"/>
              </w:rPr>
            </w:pPr>
            <w:r>
              <w:rPr>
                <w:rFonts w:hint="eastAsia"/>
                <w:lang w:val="en-US" w:eastAsia="zh-CN"/>
              </w:rPr>
              <w:t>数据分析方案</w:t>
            </w:r>
          </w:p>
          <w:p w14:paraId="3A4B65E9">
            <w:pPr>
              <w:pStyle w:val="2"/>
              <w:bidi w:val="0"/>
              <w:rPr>
                <w:rFonts w:hint="default"/>
                <w:lang w:val="en-US" w:eastAsia="zh-CN"/>
              </w:rPr>
            </w:pPr>
            <w:r>
              <w:rPr>
                <w:rFonts w:hint="eastAsia"/>
              </w:rPr>
              <w:t>本研究的数据分析将采用 SPSS 进行描述性统计，并运用 GeNIe Modeler 或 Python相关库 进行贝叶斯网络建模。</w:t>
            </w:r>
          </w:p>
          <w:p w14:paraId="07E0EF40">
            <w:pPr>
              <w:pStyle w:val="2"/>
              <w:bidi w:val="0"/>
              <w:rPr>
                <w:rFonts w:hint="eastAsia"/>
              </w:rPr>
            </w:pPr>
            <w:r>
              <w:rPr>
                <w:rFonts w:hint="eastAsia"/>
                <w:lang w:val="en-US" w:eastAsia="zh-CN"/>
              </w:rPr>
              <w:t>1</w:t>
            </w:r>
            <w:r>
              <w:rPr>
                <w:rFonts w:hint="eastAsia"/>
              </w:rPr>
              <w:t>）描述性统计分析：对事故的类型、时空分布、涉及的危险化学品类别等基本情况进行统计，形成对数据集的整体认识。</w:t>
            </w:r>
          </w:p>
          <w:p w14:paraId="1D0D77C1">
            <w:pPr>
              <w:pStyle w:val="2"/>
              <w:bidi w:val="0"/>
              <w:rPr>
                <w:rFonts w:hint="eastAsia"/>
              </w:rPr>
            </w:pPr>
            <w:r>
              <w:rPr>
                <w:rFonts w:hint="eastAsia"/>
                <w:lang w:val="en-US" w:eastAsia="zh-CN"/>
              </w:rPr>
              <w:t>2</w:t>
            </w:r>
            <w:r>
              <w:rPr>
                <w:rFonts w:hint="eastAsia"/>
              </w:rPr>
              <w:t>）数据质量检验：通过数据交叉比对与逻辑一致性检查，确保用于建模的数据真实、有效。</w:t>
            </w:r>
          </w:p>
          <w:p w14:paraId="5E6788E7">
            <w:pPr>
              <w:pStyle w:val="2"/>
              <w:bidi w:val="0"/>
              <w:rPr>
                <w:rFonts w:hint="eastAsia"/>
              </w:rPr>
            </w:pPr>
            <w:r>
              <w:rPr>
                <w:rFonts w:hint="eastAsia"/>
                <w:lang w:val="en-US" w:eastAsia="zh-CN"/>
              </w:rPr>
              <w:t>3</w:t>
            </w:r>
            <w:r>
              <w:rPr>
                <w:rFonts w:hint="eastAsia"/>
              </w:rPr>
              <w:t>）贝叶斯网络建模与推理分析：</w:t>
            </w:r>
          </w:p>
          <w:p w14:paraId="3BF6D166">
            <w:pPr>
              <w:pStyle w:val="2"/>
              <w:bidi w:val="0"/>
              <w:rPr>
                <w:rFonts w:hint="eastAsia"/>
              </w:rPr>
            </w:pPr>
            <w:r>
              <w:rPr>
                <w:rFonts w:hint="eastAsia"/>
              </w:rPr>
              <w:t>结构学习</w:t>
            </w:r>
            <w:r>
              <w:rPr>
                <w:rFonts w:hint="eastAsia"/>
                <w:lang w:eastAsia="zh-CN"/>
              </w:rPr>
              <w:t>，</w:t>
            </w:r>
            <w:r>
              <w:rPr>
                <w:rFonts w:hint="eastAsia"/>
              </w:rPr>
              <w:t>结合理论框架与数据挖掘算法，确定各风险节点之间的因果关系，构建网络拓扑结构。参数学习</w:t>
            </w:r>
            <w:r>
              <w:rPr>
                <w:rFonts w:hint="eastAsia"/>
                <w:lang w:eastAsia="zh-CN"/>
              </w:rPr>
              <w:t>，</w:t>
            </w:r>
            <w:r>
              <w:rPr>
                <w:rFonts w:hint="eastAsia"/>
              </w:rPr>
              <w:t>利用预处理后的数据，计算网络中每个节点的条件概率表，完成模型的量化。模型应用与验证</w:t>
            </w:r>
            <w:r>
              <w:rPr>
                <w:rFonts w:hint="eastAsia"/>
                <w:lang w:eastAsia="zh-CN"/>
              </w:rPr>
              <w:t>，</w:t>
            </w:r>
            <w:r>
              <w:rPr>
                <w:rFonts w:hint="eastAsia"/>
              </w:rPr>
              <w:t>利用构建好的模型进行概率预测、诊断推理和敏感性分析，并通过历史案例回代来验证模型的准确性与有效性。</w:t>
            </w:r>
          </w:p>
          <w:p w14:paraId="3E7DC56C">
            <w:pPr>
              <w:pStyle w:val="2"/>
              <w:bidi w:val="0"/>
              <w:ind w:left="0" w:leftChars="0" w:firstLine="0" w:firstLineChars="0"/>
              <w:rPr>
                <w:rFonts w:hint="eastAsia"/>
              </w:rPr>
            </w:pPr>
          </w:p>
        </w:tc>
      </w:tr>
      <w:tr w14:paraId="19DD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6"/>
            <w:shd w:val="clear" w:color="auto" w:fill="auto"/>
          </w:tcPr>
          <w:p w14:paraId="70147119">
            <w:pPr>
              <w:widowControl/>
              <w:snapToGrid w:val="0"/>
              <w:spacing w:line="360" w:lineRule="auto"/>
              <w:rPr>
                <w:rFonts w:ascii="黑体" w:hAnsi="黑体" w:eastAsia="黑体"/>
                <w:b/>
              </w:rPr>
            </w:pPr>
            <w:r>
              <w:rPr>
                <w:rFonts w:ascii="黑体" w:hAnsi="黑体" w:eastAsia="黑体"/>
                <w:b/>
              </w:rPr>
              <w:t>进度安排</w:t>
            </w:r>
          </w:p>
          <w:p w14:paraId="7AEAF036">
            <w:pPr>
              <w:pStyle w:val="2"/>
              <w:bidi w:val="0"/>
            </w:pPr>
            <w:r>
              <w:rPr>
                <w:rFonts w:hint="eastAsia"/>
              </w:rPr>
              <w:t>202</w:t>
            </w:r>
            <w:r>
              <w:rPr>
                <w:rFonts w:hint="eastAsia"/>
                <w:lang w:val="en-US" w:eastAsia="zh-CN"/>
              </w:rPr>
              <w:t>5</w:t>
            </w:r>
            <w:r>
              <w:rPr>
                <w:rFonts w:hint="eastAsia"/>
              </w:rPr>
              <w:t>年09月01日-202</w:t>
            </w:r>
            <w:r>
              <w:rPr>
                <w:rFonts w:hint="eastAsia"/>
                <w:lang w:val="en-US" w:eastAsia="zh-CN"/>
              </w:rPr>
              <w:t>5</w:t>
            </w:r>
            <w:r>
              <w:rPr>
                <w:rFonts w:hint="eastAsia"/>
              </w:rPr>
              <w:t>年09月30日 完成相关资料查阅，确定论文选题，下达论文任务。</w:t>
            </w:r>
          </w:p>
          <w:p w14:paraId="03294596">
            <w:pPr>
              <w:pStyle w:val="2"/>
              <w:bidi w:val="0"/>
            </w:pPr>
            <w:r>
              <w:rPr>
                <w:rFonts w:hint="eastAsia"/>
              </w:rPr>
              <w:t>202</w:t>
            </w:r>
            <w:r>
              <w:rPr>
                <w:rFonts w:hint="eastAsia"/>
                <w:lang w:val="en-US" w:eastAsia="zh-CN"/>
              </w:rPr>
              <w:t>5</w:t>
            </w:r>
            <w:r>
              <w:rPr>
                <w:rFonts w:hint="eastAsia"/>
              </w:rPr>
              <w:t>年10月01日-202</w:t>
            </w:r>
            <w:r>
              <w:rPr>
                <w:rFonts w:hint="eastAsia"/>
                <w:lang w:val="en-US" w:eastAsia="zh-CN"/>
              </w:rPr>
              <w:t>5</w:t>
            </w:r>
            <w:r>
              <w:rPr>
                <w:rFonts w:hint="eastAsia"/>
              </w:rPr>
              <w:t>年10月1</w:t>
            </w:r>
            <w:r>
              <w:rPr>
                <w:rFonts w:hint="eastAsia"/>
                <w:lang w:val="en-US" w:eastAsia="zh-CN"/>
              </w:rPr>
              <w:t>7</w:t>
            </w:r>
            <w:r>
              <w:rPr>
                <w:rFonts w:hint="eastAsia"/>
              </w:rPr>
              <w:t>日 完成开题报告撰写。</w:t>
            </w:r>
          </w:p>
          <w:p w14:paraId="63F1CBB5">
            <w:pPr>
              <w:pStyle w:val="2"/>
              <w:bidi w:val="0"/>
            </w:pPr>
            <w:r>
              <w:rPr>
                <w:rFonts w:hint="eastAsia"/>
              </w:rPr>
              <w:t>202</w:t>
            </w:r>
            <w:r>
              <w:rPr>
                <w:rFonts w:hint="eastAsia"/>
                <w:lang w:val="en-US" w:eastAsia="zh-CN"/>
              </w:rPr>
              <w:t>5</w:t>
            </w:r>
            <w:r>
              <w:rPr>
                <w:rFonts w:hint="eastAsia"/>
              </w:rPr>
              <w:t>年10月</w:t>
            </w:r>
            <w:r>
              <w:rPr>
                <w:rFonts w:hint="eastAsia"/>
                <w:lang w:val="en-US" w:eastAsia="zh-CN"/>
              </w:rPr>
              <w:t>17</w:t>
            </w:r>
            <w:r>
              <w:rPr>
                <w:rFonts w:hint="eastAsia"/>
              </w:rPr>
              <w:t>日-202</w:t>
            </w:r>
            <w:r>
              <w:rPr>
                <w:rFonts w:hint="eastAsia"/>
                <w:lang w:val="en-US" w:eastAsia="zh-CN"/>
              </w:rPr>
              <w:t>5</w:t>
            </w:r>
            <w:r>
              <w:rPr>
                <w:rFonts w:hint="eastAsia"/>
              </w:rPr>
              <w:t>年10月26日 完成论文开题答辩。</w:t>
            </w:r>
          </w:p>
          <w:p w14:paraId="32A6CB4D">
            <w:pPr>
              <w:pStyle w:val="2"/>
              <w:bidi w:val="0"/>
            </w:pPr>
            <w:r>
              <w:rPr>
                <w:rFonts w:hint="eastAsia"/>
              </w:rPr>
              <w:t>202</w:t>
            </w:r>
            <w:r>
              <w:rPr>
                <w:rFonts w:hint="eastAsia"/>
                <w:lang w:val="en-US" w:eastAsia="zh-CN"/>
              </w:rPr>
              <w:t>5</w:t>
            </w:r>
            <w:r>
              <w:rPr>
                <w:rFonts w:hint="eastAsia"/>
              </w:rPr>
              <w:t>年10月27日-202</w:t>
            </w:r>
            <w:r>
              <w:rPr>
                <w:rFonts w:hint="eastAsia"/>
                <w:lang w:val="en-US" w:eastAsia="zh-CN"/>
              </w:rPr>
              <w:t>6</w:t>
            </w:r>
            <w:r>
              <w:rPr>
                <w:rFonts w:hint="eastAsia"/>
              </w:rPr>
              <w:t>年01月04日 完成论文总体设计，按计划撰写论文内容。</w:t>
            </w:r>
          </w:p>
          <w:p w14:paraId="4BD69FED">
            <w:pPr>
              <w:pStyle w:val="2"/>
              <w:bidi w:val="0"/>
            </w:pPr>
            <w:r>
              <w:rPr>
                <w:rFonts w:hint="eastAsia"/>
              </w:rPr>
              <w:t>202</w:t>
            </w:r>
            <w:r>
              <w:rPr>
                <w:rFonts w:hint="eastAsia"/>
                <w:lang w:val="en-US" w:eastAsia="zh-CN"/>
              </w:rPr>
              <w:t>6</w:t>
            </w:r>
            <w:r>
              <w:rPr>
                <w:rFonts w:hint="eastAsia"/>
              </w:rPr>
              <w:t>年01月05日-202</w:t>
            </w:r>
            <w:r>
              <w:rPr>
                <w:rFonts w:hint="eastAsia"/>
                <w:lang w:val="en-US" w:eastAsia="zh-CN"/>
              </w:rPr>
              <w:t>6</w:t>
            </w:r>
            <w:r>
              <w:rPr>
                <w:rFonts w:hint="eastAsia"/>
              </w:rPr>
              <w:t>年01月10日 完成中期检查。</w:t>
            </w:r>
          </w:p>
          <w:p w14:paraId="01E36B4E">
            <w:pPr>
              <w:pStyle w:val="2"/>
              <w:bidi w:val="0"/>
            </w:pPr>
            <w:r>
              <w:rPr>
                <w:rFonts w:hint="eastAsia"/>
              </w:rPr>
              <w:t>202</w:t>
            </w:r>
            <w:r>
              <w:rPr>
                <w:rFonts w:hint="eastAsia"/>
                <w:lang w:val="en-US" w:eastAsia="zh-CN"/>
              </w:rPr>
              <w:t>6</w:t>
            </w:r>
            <w:r>
              <w:rPr>
                <w:rFonts w:hint="eastAsia"/>
              </w:rPr>
              <w:t>年01月11日-202</w:t>
            </w:r>
            <w:r>
              <w:rPr>
                <w:rFonts w:hint="eastAsia"/>
                <w:lang w:val="en-US" w:eastAsia="zh-CN"/>
              </w:rPr>
              <w:t>6</w:t>
            </w:r>
            <w:r>
              <w:rPr>
                <w:rFonts w:hint="eastAsia"/>
              </w:rPr>
              <w:t>年03月30日 完成论文初稿。</w:t>
            </w:r>
          </w:p>
          <w:p w14:paraId="53BF8924">
            <w:pPr>
              <w:pStyle w:val="2"/>
              <w:bidi w:val="0"/>
            </w:pPr>
            <w:r>
              <w:rPr>
                <w:rFonts w:hint="eastAsia"/>
              </w:rPr>
              <w:t>202</w:t>
            </w:r>
            <w:r>
              <w:rPr>
                <w:rFonts w:hint="eastAsia"/>
                <w:lang w:val="en-US" w:eastAsia="zh-CN"/>
              </w:rPr>
              <w:t>6</w:t>
            </w:r>
            <w:r>
              <w:rPr>
                <w:rFonts w:hint="eastAsia"/>
              </w:rPr>
              <w:t>年03月31日-202</w:t>
            </w:r>
            <w:r>
              <w:rPr>
                <w:rFonts w:hint="eastAsia"/>
                <w:lang w:val="en-US" w:eastAsia="zh-CN"/>
              </w:rPr>
              <w:t>6</w:t>
            </w:r>
            <w:r>
              <w:rPr>
                <w:rFonts w:hint="eastAsia"/>
              </w:rPr>
              <w:t>年05月05日 完成论文外审、论文评阅和论文修改。</w:t>
            </w:r>
          </w:p>
          <w:p w14:paraId="70674C9C">
            <w:pPr>
              <w:pStyle w:val="2"/>
              <w:bidi w:val="0"/>
            </w:pPr>
            <w:r>
              <w:rPr>
                <w:rFonts w:hint="eastAsia"/>
              </w:rPr>
              <w:t>202</w:t>
            </w:r>
            <w:r>
              <w:rPr>
                <w:rFonts w:hint="eastAsia"/>
                <w:lang w:val="en-US" w:eastAsia="zh-CN"/>
              </w:rPr>
              <w:t>6</w:t>
            </w:r>
            <w:r>
              <w:rPr>
                <w:rFonts w:hint="eastAsia"/>
              </w:rPr>
              <w:t>年05月06日-202</w:t>
            </w:r>
            <w:r>
              <w:rPr>
                <w:rFonts w:hint="eastAsia"/>
                <w:lang w:val="en-US" w:eastAsia="zh-CN"/>
              </w:rPr>
              <w:t>6</w:t>
            </w:r>
            <w:r>
              <w:rPr>
                <w:rFonts w:hint="eastAsia"/>
              </w:rPr>
              <w:t>年05月17日 完成论文定稿和答辩。</w:t>
            </w:r>
          </w:p>
        </w:tc>
      </w:tr>
      <w:tr w14:paraId="5CAB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296" w:type="dxa"/>
            <w:gridSpan w:val="6"/>
            <w:shd w:val="clear" w:color="auto" w:fill="auto"/>
          </w:tcPr>
          <w:p w14:paraId="186AFE60">
            <w:pPr>
              <w:widowControl/>
              <w:snapToGrid w:val="0"/>
              <w:spacing w:line="360" w:lineRule="auto"/>
              <w:rPr>
                <w:rFonts w:ascii="黑体" w:hAnsi="黑体" w:eastAsia="黑体"/>
                <w:b/>
              </w:rPr>
            </w:pPr>
            <w:r>
              <w:rPr>
                <w:rFonts w:hint="eastAsia" w:ascii="黑体" w:hAnsi="黑体" w:eastAsia="黑体"/>
                <w:b/>
              </w:rPr>
              <w:t>主要</w:t>
            </w:r>
            <w:r>
              <w:rPr>
                <w:rFonts w:ascii="黑体" w:hAnsi="黑体" w:eastAsia="黑体"/>
                <w:b/>
              </w:rPr>
              <w:t>参考文献</w:t>
            </w:r>
          </w:p>
          <w:p w14:paraId="3B627AED">
            <w:pPr>
              <w:pStyle w:val="2"/>
              <w:bidi w:val="0"/>
              <w:rPr>
                <w:rFonts w:hint="eastAsia"/>
              </w:rPr>
            </w:pPr>
            <w:r>
              <w:rPr>
                <w:rFonts w:hint="eastAsia"/>
              </w:rPr>
              <w:t>[1] 朱婷, 赵来军, 王旭磊. 基于贝叶斯网络的危险化学品道路运输事故分析[J]. 安全与环境学报, 2016, 16(02): 53-60.</w:t>
            </w:r>
          </w:p>
          <w:p w14:paraId="3A0B5CE1">
            <w:pPr>
              <w:pStyle w:val="2"/>
              <w:bidi w:val="0"/>
              <w:rPr>
                <w:rFonts w:hint="eastAsia"/>
              </w:rPr>
            </w:pPr>
            <w:r>
              <w:rPr>
                <w:rFonts w:hint="eastAsia"/>
              </w:rPr>
              <w:t>[2] 曹闰烽, 刘瑞贤, 刘婧. 基于故障树和贝叶斯网络的危化品罐式运输车道路运输系统的可靠性分析[J]. 山东大学学报(理学版), 2022, 57(01): 20-29.</w:t>
            </w:r>
          </w:p>
          <w:p w14:paraId="533AA357">
            <w:pPr>
              <w:pStyle w:val="2"/>
              <w:bidi w:val="0"/>
              <w:rPr>
                <w:rFonts w:hint="eastAsia"/>
              </w:rPr>
            </w:pPr>
            <w:r>
              <w:rPr>
                <w:rFonts w:hint="eastAsia"/>
              </w:rPr>
              <w:t>[3] 鲁义, 伍江乐, 邵淑珍, 等. 基于贝叶斯网络的危化品道路运输事故推理模型[J]. 中国安全科学学报, 2022, 32(03): 174-182.</w:t>
            </w:r>
          </w:p>
          <w:p w14:paraId="1AFF708A">
            <w:pPr>
              <w:pStyle w:val="2"/>
              <w:bidi w:val="0"/>
              <w:rPr>
                <w:rFonts w:hint="eastAsia"/>
              </w:rPr>
            </w:pPr>
            <w:r>
              <w:rPr>
                <w:rFonts w:hint="eastAsia"/>
              </w:rPr>
              <w:t>[4] 贾进章, 陈怡诺</w:t>
            </w:r>
            <w:bookmarkStart w:id="1" w:name="_GoBack"/>
            <w:bookmarkEnd w:id="1"/>
            <w:r>
              <w:rPr>
                <w:rFonts w:hint="eastAsia"/>
              </w:rPr>
              <w:t>, 柯丁琳. 基于模糊集和改进DS证据理论的危化品道路运输体系贝叶斯网络风险分析[J]. 北京化工大学学报(自然科学版), 2020, 47(01): 38-45.</w:t>
            </w:r>
          </w:p>
          <w:p w14:paraId="1EA7EEAA">
            <w:pPr>
              <w:pStyle w:val="2"/>
              <w:bidi w:val="0"/>
              <w:rPr>
                <w:rFonts w:hint="eastAsia"/>
              </w:rPr>
            </w:pPr>
            <w:r>
              <w:rPr>
                <w:rFonts w:hint="eastAsia"/>
              </w:rPr>
              <w:t>[5] 王菲, 姚爽, 张展. 基于贝叶斯网络的危化品运输风险模糊综合评估研究[J]. 物流科技, 2023, 46(21): 70-73+78.</w:t>
            </w:r>
          </w:p>
          <w:p w14:paraId="5CD937CB">
            <w:pPr>
              <w:pStyle w:val="2"/>
              <w:bidi w:val="0"/>
              <w:rPr>
                <w:rFonts w:hint="eastAsia"/>
              </w:rPr>
            </w:pPr>
            <w:r>
              <w:rPr>
                <w:rFonts w:hint="eastAsia"/>
              </w:rPr>
              <w:t>[6] Wang H, Zhang Y, Li R, et al. Analyzing the Risk Factors of Hazardous Chemical Road Transportation Accidents Based on Grounded Theory and a Bayesian Network[J]. Sustainability, 2023, 15(24).</w:t>
            </w:r>
          </w:p>
          <w:p w14:paraId="640DBE72">
            <w:pPr>
              <w:pStyle w:val="2"/>
              <w:bidi w:val="0"/>
              <w:rPr>
                <w:rFonts w:hint="eastAsia"/>
              </w:rPr>
            </w:pPr>
            <w:r>
              <w:rPr>
                <w:rFonts w:hint="eastAsia"/>
              </w:rPr>
              <w:t>[7] Ren C, Yang M. Risk assessment of hazmat road transportation accidents before, during, and after the accident using Bayesian network[J]. Process Safety and Environmental Protection, 2024, 190(PB): 760-779.</w:t>
            </w:r>
          </w:p>
          <w:p w14:paraId="0CAD5AA9">
            <w:pPr>
              <w:pStyle w:val="2"/>
              <w:bidi w:val="0"/>
              <w:rPr>
                <w:rFonts w:hint="eastAsia"/>
              </w:rPr>
            </w:pPr>
            <w:r>
              <w:rPr>
                <w:rFonts w:hint="eastAsia"/>
              </w:rPr>
              <w:t>[8] 曹建, 施式亮, 鲁义, 等. 2013—2018年罐车公路运输危化品事故分析[J]. 中国安全科学学报, 2020, 30(02): 119-126.</w:t>
            </w:r>
          </w:p>
          <w:p w14:paraId="0A68BC17">
            <w:pPr>
              <w:pStyle w:val="2"/>
              <w:bidi w:val="0"/>
              <w:rPr>
                <w:rFonts w:hint="eastAsia"/>
              </w:rPr>
            </w:pPr>
            <w:r>
              <w:rPr>
                <w:rFonts w:hint="eastAsia"/>
              </w:rPr>
              <w:t>[9] 伍江乐, 鲁义, 施式亮, 等. 危化品道路运输风险管控现状分析[J]. 能源与环保, 2021, 43(02): 5-9.</w:t>
            </w:r>
          </w:p>
          <w:p w14:paraId="7B927411">
            <w:pPr>
              <w:pStyle w:val="2"/>
              <w:bidi w:val="0"/>
              <w:rPr>
                <w:rFonts w:hint="eastAsia"/>
              </w:rPr>
            </w:pPr>
            <w:r>
              <w:rPr>
                <w:rFonts w:hint="eastAsia"/>
              </w:rPr>
              <w:t>[10] 陈文瑛, 王影, 李启华. 危险化学品道路运输风险预测模型研究[J]. 安全与环境学报, 2020, 20(05): 1683-1689.</w:t>
            </w:r>
          </w:p>
          <w:p w14:paraId="1A75B205">
            <w:pPr>
              <w:pStyle w:val="2"/>
              <w:bidi w:val="0"/>
              <w:rPr>
                <w:rFonts w:hint="eastAsia"/>
              </w:rPr>
            </w:pPr>
            <w:r>
              <w:rPr>
                <w:rFonts w:hint="eastAsia"/>
              </w:rPr>
              <w:t>[11] 张永辉, 刘子云, 杨靖芳, 等. 基于贝叶斯网络的公路运输风险评估[J]. 物流技术, 2022, 41(12): 27-31.</w:t>
            </w:r>
          </w:p>
          <w:p w14:paraId="6D2E7F69">
            <w:pPr>
              <w:pStyle w:val="2"/>
              <w:bidi w:val="0"/>
              <w:rPr>
                <w:rFonts w:hint="eastAsia"/>
              </w:rPr>
            </w:pPr>
            <w:r>
              <w:rPr>
                <w:rFonts w:hint="eastAsia"/>
              </w:rPr>
              <w:t>[12] 潘洁. 基于TOPSIS-事故树和模糊贝叶斯网络的危险品运输风险评估[J]. 中国储运, 2024, (12): 64-65.</w:t>
            </w:r>
          </w:p>
          <w:p w14:paraId="5D6D4122">
            <w:pPr>
              <w:pStyle w:val="2"/>
              <w:bidi w:val="0"/>
              <w:rPr>
                <w:rFonts w:hint="eastAsia"/>
              </w:rPr>
            </w:pPr>
            <w:r>
              <w:rPr>
                <w:rFonts w:hint="eastAsia"/>
              </w:rPr>
              <w:t>[13] Yusheng Z, Xue L, Fai K Y. Holistic risk assessment of container shipping service based on Bayesian Network Modelling[J]. Reliability Engineering &amp; System Safety, 2021, (prepublish): 108305-.</w:t>
            </w:r>
          </w:p>
          <w:p w14:paraId="2A0D84DE">
            <w:pPr>
              <w:pStyle w:val="2"/>
              <w:bidi w:val="0"/>
              <w:rPr>
                <w:rFonts w:hint="eastAsia"/>
              </w:rPr>
            </w:pPr>
            <w:r>
              <w:rPr>
                <w:rFonts w:hint="eastAsia"/>
              </w:rPr>
              <w:t>[14] Jiang X, Ren W, Xu H, et al. Mechanism-Based Fire Hazard Chain Risk Assessment for Roll-On/Roll-Off Passenger Vessels Transporting Electric Vehicles: A Fault Tree–Fuzzy Bayesian Network Approach[J]. Journal of Marine Science and Engineering, 2025, 13(2): 227-227.</w:t>
            </w:r>
          </w:p>
          <w:p w14:paraId="1307F6E4">
            <w:pPr>
              <w:pStyle w:val="2"/>
              <w:bidi w:val="0"/>
              <w:rPr>
                <w:rFonts w:hint="eastAsia"/>
              </w:rPr>
            </w:pPr>
            <w:r>
              <w:rPr>
                <w:rFonts w:hint="eastAsia"/>
              </w:rPr>
              <w:t>[15] Zhang F, Pu X, Huang X, et al. Risk assessment of flammable liquid transportation on waterways: An ontology-driven dynamic Bayesian network approach[J]. Journal of Loss Prevention in the Process Industries, 2025, 93: 105504.</w:t>
            </w:r>
          </w:p>
          <w:p w14:paraId="5A0C2527">
            <w:pPr>
              <w:pStyle w:val="2"/>
              <w:bidi w:val="0"/>
              <w:rPr>
                <w:rFonts w:hint="eastAsia"/>
              </w:rPr>
            </w:pPr>
            <w:r>
              <w:rPr>
                <w:rFonts w:hint="eastAsia"/>
              </w:rPr>
              <w:t>[16] 王亚坤. 危险化学品道路运输事故动态风险评估与应急处置研究[D]. 北京石油化工学院, 2021.</w:t>
            </w:r>
          </w:p>
          <w:p w14:paraId="77A88E43">
            <w:pPr>
              <w:pStyle w:val="2"/>
              <w:bidi w:val="0"/>
              <w:rPr>
                <w:rFonts w:hint="eastAsia"/>
              </w:rPr>
            </w:pPr>
            <w:r>
              <w:rPr>
                <w:rFonts w:hint="eastAsia"/>
              </w:rPr>
              <w:t>[17] 任轶华. 危险品道路运输动态风险评估[D]. 大连交通大学, 2024.</w:t>
            </w:r>
          </w:p>
          <w:p w14:paraId="38FB4C02">
            <w:pPr>
              <w:pStyle w:val="2"/>
              <w:bidi w:val="0"/>
              <w:rPr>
                <w:rFonts w:hint="eastAsia"/>
              </w:rPr>
            </w:pPr>
            <w:r>
              <w:rPr>
                <w:rFonts w:hint="eastAsia"/>
              </w:rPr>
              <w:t>[18] 李启华. 基于贝叶斯网络的危化品道路运输风险预测模型[D]. 首都经济贸易大学, 2020.</w:t>
            </w:r>
          </w:p>
          <w:p w14:paraId="1CECE3E0">
            <w:pPr>
              <w:pStyle w:val="2"/>
              <w:bidi w:val="0"/>
              <w:rPr>
                <w:rFonts w:hint="eastAsia"/>
              </w:rPr>
            </w:pPr>
            <w:r>
              <w:rPr>
                <w:rFonts w:hint="eastAsia"/>
              </w:rPr>
              <w:t>[19] 李雅静. 基于贝叶斯网络的危险化学品运输安全风险评估研究[D]. 首都经济贸易大学, 2021.</w:t>
            </w:r>
          </w:p>
          <w:p w14:paraId="67132AEC">
            <w:pPr>
              <w:pStyle w:val="2"/>
              <w:bidi w:val="0"/>
              <w:rPr>
                <w:rFonts w:hint="eastAsia"/>
              </w:rPr>
            </w:pPr>
            <w:r>
              <w:rPr>
                <w:rFonts w:hint="eastAsia"/>
              </w:rPr>
              <w:t>[20] 伍江乐. 危险化学品道路运输事故特征分析与推理模型研究[D]. 湖南科技大学, 2023.</w:t>
            </w:r>
          </w:p>
          <w:p w14:paraId="3981F5BF">
            <w:pPr>
              <w:pStyle w:val="2"/>
              <w:bidi w:val="0"/>
              <w:rPr>
                <w:rFonts w:hint="eastAsia"/>
              </w:rPr>
            </w:pPr>
            <w:r>
              <w:rPr>
                <w:rFonts w:hint="eastAsia"/>
              </w:rPr>
              <w:t>[21] 张芮博. 危险化学品道路运输事故率计算方法研究[D]. 北京化工大学, 2017.</w:t>
            </w:r>
          </w:p>
          <w:p w14:paraId="397DF7CC">
            <w:pPr>
              <w:pStyle w:val="2"/>
              <w:bidi w:val="0"/>
              <w:rPr>
                <w:rFonts w:hint="eastAsia"/>
              </w:rPr>
            </w:pPr>
          </w:p>
          <w:p w14:paraId="31722601">
            <w:pPr>
              <w:pStyle w:val="2"/>
              <w:bidi w:val="0"/>
              <w:rPr>
                <w:rFonts w:hint="eastAsia"/>
              </w:rPr>
            </w:pPr>
          </w:p>
          <w:p w14:paraId="788585FA">
            <w:pPr>
              <w:pStyle w:val="2"/>
              <w:bidi w:val="0"/>
              <w:rPr>
                <w:rFonts w:hint="eastAsia"/>
              </w:rPr>
            </w:pPr>
          </w:p>
          <w:p w14:paraId="6C1B6444">
            <w:pPr>
              <w:pStyle w:val="2"/>
              <w:bidi w:val="0"/>
              <w:rPr>
                <w:rFonts w:hint="eastAsia"/>
              </w:rPr>
            </w:pPr>
          </w:p>
          <w:p w14:paraId="6BED016F">
            <w:pPr>
              <w:pStyle w:val="2"/>
              <w:bidi w:val="0"/>
              <w:rPr>
                <w:rFonts w:hint="eastAsia"/>
              </w:rPr>
            </w:pPr>
          </w:p>
          <w:p w14:paraId="3F6B9361">
            <w:pPr>
              <w:pStyle w:val="2"/>
              <w:bidi w:val="0"/>
              <w:rPr>
                <w:rFonts w:hint="eastAsia"/>
              </w:rPr>
            </w:pPr>
          </w:p>
          <w:p w14:paraId="71783F20">
            <w:pPr>
              <w:pStyle w:val="2"/>
              <w:bidi w:val="0"/>
              <w:rPr>
                <w:rFonts w:hint="eastAsia"/>
              </w:rPr>
            </w:pPr>
          </w:p>
          <w:p w14:paraId="1AF6E22E">
            <w:pPr>
              <w:pStyle w:val="2"/>
              <w:bidi w:val="0"/>
              <w:rPr>
                <w:rFonts w:hint="eastAsia"/>
              </w:rPr>
            </w:pPr>
          </w:p>
          <w:p w14:paraId="61E7AECA">
            <w:pPr>
              <w:pStyle w:val="2"/>
              <w:bidi w:val="0"/>
              <w:rPr>
                <w:rFonts w:hint="eastAsia"/>
              </w:rPr>
            </w:pPr>
          </w:p>
          <w:p w14:paraId="091CBF17">
            <w:pPr>
              <w:pStyle w:val="2"/>
              <w:bidi w:val="0"/>
              <w:ind w:left="0" w:leftChars="0" w:firstLine="0" w:firstLineChars="0"/>
              <w:rPr>
                <w:rFonts w:hint="eastAsia"/>
              </w:rPr>
            </w:pPr>
          </w:p>
          <w:p w14:paraId="7DE7A210">
            <w:pPr>
              <w:pStyle w:val="2"/>
              <w:bidi w:val="0"/>
              <w:rPr>
                <w:rFonts w:hint="eastAsia"/>
              </w:rPr>
            </w:pPr>
          </w:p>
        </w:tc>
      </w:tr>
      <w:tr w14:paraId="334E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3" w:hRule="atLeast"/>
        </w:trPr>
        <w:tc>
          <w:tcPr>
            <w:tcW w:w="8296" w:type="dxa"/>
            <w:gridSpan w:val="6"/>
            <w:shd w:val="clear" w:color="auto" w:fill="auto"/>
          </w:tcPr>
          <w:p w14:paraId="243CC745">
            <w:pPr>
              <w:snapToGrid w:val="0"/>
              <w:spacing w:line="360" w:lineRule="auto"/>
              <w:rPr>
                <w:rFonts w:ascii="黑体" w:hAnsi="黑体" w:eastAsia="黑体"/>
                <w:b/>
              </w:rPr>
            </w:pPr>
            <w:r>
              <w:rPr>
                <w:rFonts w:ascii="黑体" w:hAnsi="黑体" w:eastAsia="黑体"/>
                <w:b/>
              </w:rPr>
              <w:t>指导教师意见</w:t>
            </w:r>
            <w:r>
              <w:rPr>
                <w:rFonts w:hint="eastAsia" w:ascii="黑体" w:hAnsi="黑体" w:eastAsia="黑体"/>
                <w:b/>
              </w:rPr>
              <w:t>：</w:t>
            </w:r>
          </w:p>
          <w:p w14:paraId="6B34A801">
            <w:pPr>
              <w:snapToGrid w:val="0"/>
              <w:spacing w:line="360" w:lineRule="auto"/>
              <w:ind w:firstLine="5280" w:firstLineChars="2200"/>
              <w:rPr>
                <w:rFonts w:ascii="宋体" w:hAnsi="宋体"/>
              </w:rPr>
            </w:pPr>
          </w:p>
          <w:p w14:paraId="7E5ECAEE">
            <w:pPr>
              <w:snapToGrid w:val="0"/>
              <w:spacing w:line="360" w:lineRule="auto"/>
              <w:ind w:firstLine="5280" w:firstLineChars="2200"/>
              <w:rPr>
                <w:rFonts w:ascii="宋体" w:hAnsi="宋体"/>
              </w:rPr>
            </w:pPr>
          </w:p>
          <w:p w14:paraId="377DFB36">
            <w:pPr>
              <w:snapToGrid w:val="0"/>
              <w:spacing w:line="360" w:lineRule="auto"/>
              <w:ind w:firstLine="5280" w:firstLineChars="2200"/>
              <w:rPr>
                <w:rFonts w:ascii="宋体" w:hAnsi="宋体"/>
              </w:rPr>
            </w:pPr>
          </w:p>
          <w:p w14:paraId="6B72CDFB">
            <w:pPr>
              <w:snapToGrid w:val="0"/>
              <w:spacing w:line="360" w:lineRule="auto"/>
              <w:ind w:firstLine="5280" w:firstLineChars="2200"/>
              <w:rPr>
                <w:rFonts w:ascii="宋体" w:hAnsi="宋体"/>
              </w:rPr>
            </w:pPr>
          </w:p>
          <w:p w14:paraId="3DBD4FB0">
            <w:pPr>
              <w:snapToGrid w:val="0"/>
              <w:spacing w:line="360" w:lineRule="auto"/>
              <w:ind w:firstLine="5280" w:firstLineChars="2200"/>
              <w:rPr>
                <w:rFonts w:ascii="宋体" w:hAnsi="宋体"/>
              </w:rPr>
            </w:pPr>
          </w:p>
          <w:p w14:paraId="6918BFF3">
            <w:pPr>
              <w:snapToGrid w:val="0"/>
              <w:spacing w:line="360" w:lineRule="auto"/>
              <w:ind w:firstLine="5280" w:firstLineChars="2200"/>
              <w:rPr>
                <w:rFonts w:ascii="宋体" w:hAnsi="宋体"/>
              </w:rPr>
            </w:pPr>
          </w:p>
          <w:p w14:paraId="2719A470">
            <w:pPr>
              <w:snapToGrid w:val="0"/>
              <w:spacing w:line="360" w:lineRule="auto"/>
              <w:ind w:firstLine="5280" w:firstLineChars="2200"/>
              <w:rPr>
                <w:rFonts w:ascii="宋体" w:hAnsi="宋体"/>
              </w:rPr>
            </w:pPr>
          </w:p>
          <w:p w14:paraId="71FEE888">
            <w:pPr>
              <w:snapToGrid w:val="0"/>
              <w:spacing w:line="360" w:lineRule="auto"/>
              <w:ind w:firstLine="5280" w:firstLineChars="2200"/>
              <w:rPr>
                <w:rFonts w:ascii="宋体" w:hAnsi="宋体"/>
                <w:szCs w:val="24"/>
              </w:rPr>
            </w:pPr>
            <w:r>
              <w:rPr>
                <w:rFonts w:ascii="宋体" w:hAnsi="宋体"/>
              </w:rPr>
              <w:t xml:space="preserve">指导教师： </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 xml:space="preserve">                       </w:t>
            </w:r>
            <w:r>
              <w:rPr>
                <w:rFonts w:ascii="宋体" w:hAnsi="宋体"/>
                <w:szCs w:val="24"/>
              </w:rPr>
              <w:t xml:space="preserve">          </w:t>
            </w:r>
          </w:p>
          <w:p w14:paraId="349A7997">
            <w:pPr>
              <w:snapToGrid w:val="0"/>
              <w:spacing w:line="240" w:lineRule="auto"/>
              <w:ind w:firstLine="480" w:firstLineChars="200"/>
              <w:jc w:val="right"/>
            </w:pPr>
            <w:r>
              <w:rPr>
                <w:rFonts w:hint="eastAsia" w:ascii="宋体" w:hAnsi="宋体"/>
                <w:szCs w:val="24"/>
                <w:lang w:val="en-US" w:eastAsia="zh-CN"/>
              </w:rPr>
              <w:t xml:space="preserve">  </w:t>
            </w:r>
            <w:r>
              <w:rPr>
                <w:rFonts w:hint="eastAsia" w:ascii="宋体" w:hAnsi="宋体"/>
                <w:szCs w:val="24"/>
              </w:rPr>
              <w:t>年</w:t>
            </w:r>
            <w:r>
              <w:rPr>
                <w:rFonts w:hint="eastAsia" w:ascii="宋体" w:hAnsi="宋体"/>
                <w:szCs w:val="24"/>
                <w:lang w:val="en-US" w:eastAsia="zh-CN"/>
              </w:rPr>
              <w:t xml:space="preserve">  </w:t>
            </w:r>
            <w:r>
              <w:rPr>
                <w:rFonts w:hint="eastAsia" w:ascii="宋体" w:hAnsi="宋体"/>
                <w:szCs w:val="24"/>
              </w:rPr>
              <w:t>月</w:t>
            </w:r>
            <w:r>
              <w:rPr>
                <w:rFonts w:hint="eastAsia" w:ascii="宋体" w:hAnsi="宋体"/>
                <w:szCs w:val="24"/>
                <w:lang w:val="en-US" w:eastAsia="zh-CN"/>
              </w:rPr>
              <w:t xml:space="preserve">  </w:t>
            </w:r>
            <w:r>
              <w:rPr>
                <w:rFonts w:hint="eastAsia" w:ascii="宋体" w:hAnsi="宋体"/>
                <w:szCs w:val="24"/>
              </w:rPr>
              <w:t>日</w:t>
            </w:r>
          </w:p>
        </w:tc>
      </w:tr>
      <w:tr w14:paraId="2275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6"/>
            <w:shd w:val="clear" w:color="auto" w:fill="auto"/>
          </w:tcPr>
          <w:p w14:paraId="60136A6F">
            <w:pPr>
              <w:snapToGrid w:val="0"/>
              <w:spacing w:line="360" w:lineRule="auto"/>
              <w:rPr>
                <w:rFonts w:ascii="黑体" w:hAnsi="黑体" w:eastAsia="黑体"/>
                <w:b/>
              </w:rPr>
            </w:pPr>
            <w:r>
              <w:rPr>
                <w:rFonts w:hint="eastAsia" w:ascii="黑体" w:hAnsi="黑体" w:eastAsia="黑体"/>
                <w:b/>
              </w:rPr>
              <w:t>专业</w:t>
            </w:r>
            <w:r>
              <w:rPr>
                <w:rFonts w:ascii="黑体" w:hAnsi="黑体" w:eastAsia="黑体"/>
                <w:b/>
              </w:rPr>
              <w:t>负责人</w:t>
            </w:r>
            <w:r>
              <w:rPr>
                <w:rFonts w:hint="eastAsia" w:ascii="黑体" w:hAnsi="黑体" w:eastAsia="黑体"/>
                <w:b/>
              </w:rPr>
              <w:t>意见</w:t>
            </w:r>
            <w:r>
              <w:rPr>
                <w:rFonts w:ascii="黑体" w:hAnsi="黑体" w:eastAsia="黑体"/>
                <w:b/>
              </w:rPr>
              <w:t>：</w:t>
            </w:r>
          </w:p>
          <w:p w14:paraId="3417B35E">
            <w:pPr>
              <w:tabs>
                <w:tab w:val="left" w:pos="5760"/>
                <w:tab w:val="left" w:pos="6060"/>
              </w:tabs>
              <w:snapToGrid w:val="0"/>
              <w:spacing w:line="360" w:lineRule="auto"/>
              <w:ind w:firstLine="480" w:firstLineChars="200"/>
            </w:pPr>
            <w:r>
              <w:br w:type="textWrapping"/>
            </w:r>
          </w:p>
          <w:p w14:paraId="515BB67C">
            <w:pPr>
              <w:tabs>
                <w:tab w:val="left" w:pos="5760"/>
                <w:tab w:val="left" w:pos="6060"/>
              </w:tabs>
              <w:snapToGrid w:val="0"/>
              <w:spacing w:line="360" w:lineRule="auto"/>
              <w:ind w:firstLine="480" w:firstLineChars="200"/>
            </w:pPr>
          </w:p>
          <w:p w14:paraId="733926E8">
            <w:pPr>
              <w:tabs>
                <w:tab w:val="left" w:pos="5760"/>
                <w:tab w:val="left" w:pos="6060"/>
              </w:tabs>
              <w:snapToGrid w:val="0"/>
              <w:spacing w:line="360" w:lineRule="auto"/>
              <w:ind w:firstLine="480" w:firstLineChars="200"/>
            </w:pPr>
          </w:p>
          <w:p w14:paraId="5AD49CEF">
            <w:pPr>
              <w:tabs>
                <w:tab w:val="left" w:pos="5760"/>
                <w:tab w:val="left" w:pos="6060"/>
              </w:tabs>
              <w:snapToGrid w:val="0"/>
              <w:spacing w:line="360" w:lineRule="auto"/>
              <w:ind w:firstLine="480" w:firstLineChars="200"/>
            </w:pPr>
          </w:p>
          <w:p w14:paraId="4B11BA62">
            <w:pPr>
              <w:tabs>
                <w:tab w:val="left" w:pos="5760"/>
                <w:tab w:val="left" w:pos="6060"/>
              </w:tabs>
              <w:snapToGrid w:val="0"/>
              <w:spacing w:line="360" w:lineRule="auto"/>
              <w:ind w:firstLine="480" w:firstLineChars="200"/>
            </w:pPr>
          </w:p>
          <w:p w14:paraId="11D83BEE">
            <w:pPr>
              <w:tabs>
                <w:tab w:val="left" w:pos="5760"/>
                <w:tab w:val="left" w:pos="6060"/>
              </w:tabs>
              <w:snapToGrid w:val="0"/>
              <w:spacing w:line="360" w:lineRule="auto"/>
              <w:ind w:firstLine="480" w:firstLineChars="200"/>
            </w:pPr>
          </w:p>
          <w:p w14:paraId="166B093B">
            <w:pPr>
              <w:tabs>
                <w:tab w:val="left" w:pos="5760"/>
                <w:tab w:val="left" w:pos="6060"/>
              </w:tabs>
              <w:snapToGrid w:val="0"/>
              <w:spacing w:line="360" w:lineRule="auto"/>
              <w:ind w:firstLine="480" w:firstLineChars="200"/>
              <w:rPr>
                <w:rFonts w:ascii="宋体" w:hAnsi="宋体"/>
                <w:szCs w:val="24"/>
              </w:rPr>
            </w:pPr>
            <w:r>
              <w:rPr>
                <w:rFonts w:hint="eastAsia" w:ascii="宋体" w:hAnsi="宋体"/>
              </w:rPr>
              <w:t xml:space="preserve">                              </w:t>
            </w:r>
            <w:r>
              <w:rPr>
                <w:rFonts w:hint="eastAsia" w:ascii="宋体" w:hAnsi="宋体"/>
                <w:lang w:val="en-US" w:eastAsia="zh-CN"/>
              </w:rPr>
              <w:t xml:space="preserve">        </w:t>
            </w:r>
            <w:r>
              <w:rPr>
                <w:rFonts w:hint="eastAsia" w:ascii="宋体" w:hAnsi="宋体"/>
              </w:rPr>
              <w:t xml:space="preserve"> 专业负责人：</w:t>
            </w:r>
          </w:p>
          <w:p w14:paraId="310C53E7">
            <w:pPr>
              <w:tabs>
                <w:tab w:val="left" w:pos="5760"/>
                <w:tab w:val="left" w:pos="6060"/>
              </w:tabs>
              <w:snapToGrid w:val="0"/>
              <w:spacing w:line="360" w:lineRule="auto"/>
              <w:ind w:firstLine="480" w:firstLineChars="200"/>
              <w:jc w:val="right"/>
              <w:rPr>
                <w:rFonts w:ascii="宋体" w:hAnsi="宋体"/>
                <w:szCs w:val="24"/>
              </w:rPr>
            </w:pPr>
            <w:r>
              <w:rPr>
                <w:rFonts w:hint="eastAsia"/>
                <w:lang w:val="en-US" w:eastAsia="zh-CN"/>
              </w:rPr>
              <w:t xml:space="preserve">  </w:t>
            </w:r>
            <w:r>
              <w:rPr>
                <w:rFonts w:hint="eastAsia" w:ascii="宋体" w:hAnsi="宋体"/>
                <w:szCs w:val="24"/>
              </w:rPr>
              <w:t>年</w:t>
            </w:r>
            <w:r>
              <w:rPr>
                <w:rFonts w:hint="eastAsia" w:ascii="宋体" w:hAnsi="宋体"/>
                <w:szCs w:val="24"/>
                <w:lang w:val="en-US" w:eastAsia="zh-CN"/>
              </w:rPr>
              <w:t xml:space="preserve">  </w:t>
            </w:r>
            <w:r>
              <w:rPr>
                <w:rFonts w:hint="eastAsia" w:ascii="宋体" w:hAnsi="宋体"/>
                <w:szCs w:val="24"/>
              </w:rPr>
              <w:t>月</w:t>
            </w:r>
            <w:r>
              <w:rPr>
                <w:rFonts w:hint="eastAsia" w:ascii="宋体" w:hAnsi="宋体"/>
                <w:szCs w:val="24"/>
                <w:lang w:val="en-US" w:eastAsia="zh-CN"/>
              </w:rPr>
              <w:t xml:space="preserve">  </w:t>
            </w:r>
            <w:r>
              <w:rPr>
                <w:rFonts w:hint="eastAsia" w:ascii="宋体" w:hAnsi="宋体"/>
                <w:szCs w:val="24"/>
              </w:rPr>
              <w:t>日</w:t>
            </w:r>
          </w:p>
        </w:tc>
      </w:tr>
      <w:tr w14:paraId="36DB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3" w:hRule="atLeast"/>
        </w:trPr>
        <w:tc>
          <w:tcPr>
            <w:tcW w:w="8296" w:type="dxa"/>
            <w:gridSpan w:val="6"/>
            <w:shd w:val="clear" w:color="auto" w:fill="auto"/>
          </w:tcPr>
          <w:p w14:paraId="44337EB6">
            <w:pPr>
              <w:snapToGrid w:val="0"/>
              <w:spacing w:line="360" w:lineRule="auto"/>
              <w:rPr>
                <w:rFonts w:ascii="黑体" w:hAnsi="黑体" w:eastAsia="黑体"/>
                <w:b/>
              </w:rPr>
            </w:pPr>
            <w:r>
              <w:rPr>
                <w:rFonts w:hint="eastAsia" w:ascii="黑体" w:hAnsi="黑体" w:eastAsia="黑体"/>
                <w:b/>
              </w:rPr>
              <w:t>学院</w:t>
            </w:r>
            <w:r>
              <w:rPr>
                <w:rFonts w:ascii="黑体" w:hAnsi="黑体" w:eastAsia="黑体"/>
                <w:b/>
              </w:rPr>
              <w:t>意见：</w:t>
            </w:r>
          </w:p>
          <w:p w14:paraId="028FCA69">
            <w:pPr>
              <w:snapToGrid w:val="0"/>
              <w:spacing w:line="360" w:lineRule="auto"/>
              <w:ind w:firstLine="480" w:firstLineChars="200"/>
            </w:pPr>
          </w:p>
          <w:p w14:paraId="2B054F21">
            <w:pPr>
              <w:snapToGrid w:val="0"/>
              <w:spacing w:line="360" w:lineRule="auto"/>
              <w:ind w:firstLine="5280" w:firstLineChars="2200"/>
              <w:rPr>
                <w:rFonts w:hint="eastAsia" w:ascii="宋体" w:hAnsi="宋体"/>
              </w:rPr>
            </w:pPr>
          </w:p>
          <w:p w14:paraId="359DF6D5">
            <w:pPr>
              <w:snapToGrid w:val="0"/>
              <w:spacing w:line="360" w:lineRule="auto"/>
              <w:ind w:firstLine="5280" w:firstLineChars="2200"/>
              <w:rPr>
                <w:rFonts w:hint="eastAsia" w:ascii="宋体" w:hAnsi="宋体"/>
              </w:rPr>
            </w:pPr>
          </w:p>
          <w:p w14:paraId="3E5BA422">
            <w:pPr>
              <w:snapToGrid w:val="0"/>
              <w:spacing w:line="360" w:lineRule="auto"/>
              <w:rPr>
                <w:rFonts w:hint="eastAsia" w:ascii="宋体" w:hAnsi="宋体" w:eastAsia="宋体"/>
                <w:lang w:val="en-US" w:eastAsia="zh-CN"/>
              </w:rPr>
            </w:pPr>
          </w:p>
          <w:p w14:paraId="2BC660E6">
            <w:pPr>
              <w:snapToGrid w:val="0"/>
              <w:spacing w:line="360" w:lineRule="auto"/>
              <w:rPr>
                <w:rFonts w:hint="eastAsia" w:ascii="宋体" w:hAnsi="宋体" w:eastAsia="宋体"/>
                <w:lang w:val="en-US" w:eastAsia="zh-CN"/>
              </w:rPr>
            </w:pPr>
          </w:p>
          <w:p w14:paraId="33ED73AE">
            <w:pPr>
              <w:snapToGrid w:val="0"/>
              <w:spacing w:line="360" w:lineRule="auto"/>
              <w:ind w:firstLine="5280" w:firstLineChars="2200"/>
              <w:rPr>
                <w:rFonts w:hint="eastAsia" w:ascii="宋体" w:hAnsi="宋体"/>
              </w:rPr>
            </w:pPr>
          </w:p>
          <w:p w14:paraId="36D03148">
            <w:pPr>
              <w:tabs>
                <w:tab w:val="left" w:pos="6120"/>
              </w:tabs>
              <w:snapToGrid w:val="0"/>
              <w:spacing w:after="312" w:afterLines="100" w:line="360" w:lineRule="auto"/>
              <w:ind w:right="1920" w:firstLine="480" w:firstLineChars="200"/>
              <w:jc w:val="right"/>
              <w:rPr>
                <w:rFonts w:ascii="宋体" w:hAnsi="宋体"/>
                <w:szCs w:val="24"/>
              </w:rPr>
            </w:pPr>
            <w:r>
              <w:rPr>
                <w:rFonts w:hint="eastAsia" w:ascii="宋体" w:hAnsi="宋体"/>
              </w:rPr>
              <w:br w:type="textWrapping"/>
            </w:r>
            <w:r>
              <w:rPr>
                <w:rFonts w:hint="eastAsia" w:ascii="宋体" w:hAnsi="宋体"/>
              </w:rPr>
              <w:t>教学院长</w:t>
            </w:r>
            <w:r>
              <w:rPr>
                <w:rFonts w:ascii="宋体" w:hAnsi="宋体"/>
              </w:rPr>
              <w:t>：</w:t>
            </w:r>
          </w:p>
          <w:p w14:paraId="543B9FD9">
            <w:pPr>
              <w:tabs>
                <w:tab w:val="left" w:pos="6120"/>
              </w:tabs>
              <w:snapToGrid w:val="0"/>
              <w:spacing w:line="240" w:lineRule="auto"/>
              <w:ind w:firstLine="480" w:firstLineChars="200"/>
              <w:jc w:val="right"/>
            </w:pPr>
            <w:r>
              <w:rPr>
                <w:rFonts w:hint="eastAsia" w:ascii="宋体" w:hAnsi="宋体"/>
                <w:szCs w:val="24"/>
                <w:lang w:val="en-US" w:eastAsia="zh-CN"/>
              </w:rPr>
              <w:t xml:space="preserve">  </w:t>
            </w:r>
            <w:r>
              <w:rPr>
                <w:rFonts w:hint="eastAsia" w:ascii="宋体" w:hAnsi="宋体"/>
                <w:szCs w:val="24"/>
              </w:rPr>
              <w:t>年</w:t>
            </w:r>
            <w:r>
              <w:rPr>
                <w:rFonts w:hint="eastAsia" w:ascii="宋体" w:hAnsi="宋体"/>
                <w:szCs w:val="24"/>
                <w:lang w:val="en-US" w:eastAsia="zh-CN"/>
              </w:rPr>
              <w:t xml:space="preserve">  </w:t>
            </w:r>
            <w:r>
              <w:rPr>
                <w:rFonts w:hint="eastAsia" w:ascii="宋体" w:hAnsi="宋体"/>
                <w:szCs w:val="24"/>
              </w:rPr>
              <w:t>月</w:t>
            </w:r>
            <w:r>
              <w:rPr>
                <w:rFonts w:hint="eastAsia" w:ascii="宋体" w:hAnsi="宋体"/>
                <w:szCs w:val="24"/>
                <w:lang w:val="en-US" w:eastAsia="zh-CN"/>
              </w:rPr>
              <w:t xml:space="preserve">  </w:t>
            </w:r>
            <w:r>
              <w:rPr>
                <w:rFonts w:hint="eastAsia" w:ascii="宋体" w:hAnsi="宋体"/>
                <w:szCs w:val="24"/>
              </w:rPr>
              <w:t>日</w:t>
            </w:r>
          </w:p>
        </w:tc>
      </w:tr>
    </w:tbl>
    <w:p w14:paraId="5A6336C6">
      <w:pPr>
        <w:widowControl/>
        <w:adjustRightInd/>
        <w:spacing w:line="240" w:lineRule="auto"/>
        <w:textAlignment w:val="auto"/>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62375">
    <w:pPr>
      <w:pStyle w:val="4"/>
      <w:jc w:val="center"/>
    </w:pPr>
  </w:p>
  <w:p w14:paraId="243DBB98">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2CAFD"/>
    <w:multiLevelType w:val="singleLevel"/>
    <w:tmpl w:val="85C2CAFD"/>
    <w:lvl w:ilvl="0" w:tentative="0">
      <w:start w:val="1"/>
      <w:numFmt w:val="decimal"/>
      <w:suff w:val="nothing"/>
      <w:lvlText w:val="%1）"/>
      <w:lvlJc w:val="left"/>
    </w:lvl>
  </w:abstractNum>
  <w:abstractNum w:abstractNumId="1">
    <w:nsid w:val="D3524905"/>
    <w:multiLevelType w:val="singleLevel"/>
    <w:tmpl w:val="D3524905"/>
    <w:lvl w:ilvl="0" w:tentative="0">
      <w:start w:val="1"/>
      <w:numFmt w:val="decimal"/>
      <w:suff w:val="nothing"/>
      <w:lvlText w:val="%1）"/>
      <w:lvlJc w:val="left"/>
    </w:lvl>
  </w:abstractNum>
  <w:abstractNum w:abstractNumId="2">
    <w:nsid w:val="DDAB1911"/>
    <w:multiLevelType w:val="singleLevel"/>
    <w:tmpl w:val="DDAB1911"/>
    <w:lvl w:ilvl="0" w:tentative="0">
      <w:start w:val="4"/>
      <w:numFmt w:val="decimal"/>
      <w:suff w:val="nothing"/>
      <w:lvlText w:val="（%1）"/>
      <w:lvlJc w:val="left"/>
    </w:lvl>
  </w:abstractNum>
  <w:abstractNum w:abstractNumId="3">
    <w:nsid w:val="297116AD"/>
    <w:multiLevelType w:val="singleLevel"/>
    <w:tmpl w:val="297116AD"/>
    <w:lvl w:ilvl="0" w:tentative="0">
      <w:start w:val="4"/>
      <w:numFmt w:val="decimal"/>
      <w:suff w:val="nothing"/>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01D25"/>
    <w:rsid w:val="000739BC"/>
    <w:rsid w:val="0009196C"/>
    <w:rsid w:val="000D7E1A"/>
    <w:rsid w:val="00101D25"/>
    <w:rsid w:val="0012646F"/>
    <w:rsid w:val="00162394"/>
    <w:rsid w:val="00196EE4"/>
    <w:rsid w:val="001C21AD"/>
    <w:rsid w:val="001C6D8C"/>
    <w:rsid w:val="00205F2B"/>
    <w:rsid w:val="002A235B"/>
    <w:rsid w:val="002B006F"/>
    <w:rsid w:val="002E4325"/>
    <w:rsid w:val="002F5BE7"/>
    <w:rsid w:val="003041AB"/>
    <w:rsid w:val="003618CC"/>
    <w:rsid w:val="00366563"/>
    <w:rsid w:val="003E47E0"/>
    <w:rsid w:val="004343DD"/>
    <w:rsid w:val="00445CB0"/>
    <w:rsid w:val="004B3D06"/>
    <w:rsid w:val="004C2FEF"/>
    <w:rsid w:val="004E2FCB"/>
    <w:rsid w:val="004F5475"/>
    <w:rsid w:val="00527DA0"/>
    <w:rsid w:val="00533BEA"/>
    <w:rsid w:val="00540C21"/>
    <w:rsid w:val="00542CC6"/>
    <w:rsid w:val="0058138C"/>
    <w:rsid w:val="005877F5"/>
    <w:rsid w:val="005D542B"/>
    <w:rsid w:val="005F0B5C"/>
    <w:rsid w:val="006952AA"/>
    <w:rsid w:val="006B2393"/>
    <w:rsid w:val="00764AE6"/>
    <w:rsid w:val="00767CD6"/>
    <w:rsid w:val="007B51B1"/>
    <w:rsid w:val="00817A8E"/>
    <w:rsid w:val="008316AE"/>
    <w:rsid w:val="00862E7D"/>
    <w:rsid w:val="00870A70"/>
    <w:rsid w:val="0093751B"/>
    <w:rsid w:val="00966173"/>
    <w:rsid w:val="009764E2"/>
    <w:rsid w:val="009A7BC2"/>
    <w:rsid w:val="00A21D57"/>
    <w:rsid w:val="00A226C7"/>
    <w:rsid w:val="00A52AD3"/>
    <w:rsid w:val="00A576EB"/>
    <w:rsid w:val="00A67ED0"/>
    <w:rsid w:val="00AA3E6E"/>
    <w:rsid w:val="00AA4ECE"/>
    <w:rsid w:val="00AF1E67"/>
    <w:rsid w:val="00AF53EE"/>
    <w:rsid w:val="00B022FB"/>
    <w:rsid w:val="00B04998"/>
    <w:rsid w:val="00B15639"/>
    <w:rsid w:val="00B50C59"/>
    <w:rsid w:val="00BA369E"/>
    <w:rsid w:val="00BD0588"/>
    <w:rsid w:val="00BD0756"/>
    <w:rsid w:val="00BE701C"/>
    <w:rsid w:val="00C26485"/>
    <w:rsid w:val="00C51565"/>
    <w:rsid w:val="00C56F65"/>
    <w:rsid w:val="00CA2261"/>
    <w:rsid w:val="00D01209"/>
    <w:rsid w:val="00D258AA"/>
    <w:rsid w:val="00D53C54"/>
    <w:rsid w:val="00D65A3B"/>
    <w:rsid w:val="00D80A7B"/>
    <w:rsid w:val="00D80B11"/>
    <w:rsid w:val="00DC0C00"/>
    <w:rsid w:val="00E130E5"/>
    <w:rsid w:val="00E47E28"/>
    <w:rsid w:val="00E72209"/>
    <w:rsid w:val="00E838E7"/>
    <w:rsid w:val="00E849BD"/>
    <w:rsid w:val="00EA49C3"/>
    <w:rsid w:val="00EB7419"/>
    <w:rsid w:val="00EB7C41"/>
    <w:rsid w:val="00ED01EE"/>
    <w:rsid w:val="00EE2A0B"/>
    <w:rsid w:val="00EF600E"/>
    <w:rsid w:val="00EF6123"/>
    <w:rsid w:val="00F042B8"/>
    <w:rsid w:val="00F42A51"/>
    <w:rsid w:val="00F50F0B"/>
    <w:rsid w:val="00F64EB8"/>
    <w:rsid w:val="00F70C34"/>
    <w:rsid w:val="00FC3583"/>
    <w:rsid w:val="055927F6"/>
    <w:rsid w:val="0C0005B1"/>
    <w:rsid w:val="0D2374C1"/>
    <w:rsid w:val="16A62408"/>
    <w:rsid w:val="1EB3600A"/>
    <w:rsid w:val="263A6586"/>
    <w:rsid w:val="30817235"/>
    <w:rsid w:val="3855263A"/>
    <w:rsid w:val="405E245F"/>
    <w:rsid w:val="45D65FB6"/>
    <w:rsid w:val="4ABA431B"/>
    <w:rsid w:val="54745C31"/>
    <w:rsid w:val="60FF67EE"/>
    <w:rsid w:val="64D15DDB"/>
    <w:rsid w:val="74351CCF"/>
    <w:rsid w:val="76780840"/>
    <w:rsid w:val="7C586D82"/>
    <w:rsid w:val="7EE051D4"/>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sz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spacing w:line="288" w:lineRule="auto"/>
      <w:ind w:firstLine="480" w:firstLineChars="200"/>
    </w:pPr>
    <w:rPr>
      <w:sz w:val="21"/>
    </w:rPr>
  </w:style>
  <w:style w:type="paragraph" w:styleId="3">
    <w:name w:val="Balloon Text"/>
    <w:basedOn w:val="1"/>
    <w:link w:val="15"/>
    <w:semiHidden/>
    <w:unhideWhenUsed/>
    <w:qFormat/>
    <w:uiPriority w:val="99"/>
    <w:pPr>
      <w:spacing w:line="240" w:lineRule="auto"/>
    </w:pPr>
    <w:rPr>
      <w:sz w:val="18"/>
      <w:szCs w:val="18"/>
    </w:rPr>
  </w:style>
  <w:style w:type="paragraph" w:styleId="4">
    <w:name w:val="footer"/>
    <w:basedOn w:val="1"/>
    <w:link w:val="12"/>
    <w:unhideWhenUsed/>
    <w:qFormat/>
    <w:uiPriority w:val="99"/>
    <w:pPr>
      <w:tabs>
        <w:tab w:val="center" w:pos="4153"/>
        <w:tab w:val="right" w:pos="8306"/>
      </w:tabs>
      <w:adjustRightInd/>
      <w:snapToGrid w:val="0"/>
      <w:spacing w:line="240" w:lineRule="auto"/>
      <w:textAlignment w:val="auto"/>
    </w:pPr>
    <w:rPr>
      <w:rFonts w:asciiTheme="minorHAnsi" w:hAnsiTheme="minorHAnsi" w:eastAsiaTheme="minorEastAsia" w:cstheme="minorBidi"/>
      <w:kern w:val="2"/>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adjustRightInd/>
      <w:snapToGrid w:val="0"/>
      <w:spacing w:line="240" w:lineRule="auto"/>
      <w:jc w:val="center"/>
      <w:textAlignment w:val="auto"/>
    </w:pPr>
    <w:rPr>
      <w:rFonts w:asciiTheme="minorHAnsi" w:hAnsiTheme="minorHAnsi" w:eastAsiaTheme="minorEastAsia" w:cstheme="minorBidi"/>
      <w:kern w:val="2"/>
      <w:sz w:val="18"/>
      <w:szCs w:val="18"/>
    </w:rPr>
  </w:style>
  <w:style w:type="paragraph" w:styleId="6">
    <w:name w:val="annotation subject"/>
    <w:basedOn w:val="2"/>
    <w:next w:val="2"/>
    <w:link w:val="14"/>
    <w:semiHidden/>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文字 字符"/>
    <w:basedOn w:val="9"/>
    <w:link w:val="2"/>
    <w:semiHidden/>
    <w:qFormat/>
    <w:uiPriority w:val="99"/>
    <w:rPr>
      <w:rFonts w:ascii="Times New Roman" w:hAnsi="Times New Roman" w:eastAsia="宋体" w:cs="Times New Roman"/>
      <w:kern w:val="0"/>
      <w:sz w:val="21"/>
      <w:szCs w:val="20"/>
    </w:rPr>
  </w:style>
  <w:style w:type="character" w:customStyle="1" w:styleId="14">
    <w:name w:val="批注主题 字符"/>
    <w:basedOn w:val="13"/>
    <w:link w:val="6"/>
    <w:semiHidden/>
    <w:qFormat/>
    <w:uiPriority w:val="99"/>
    <w:rPr>
      <w:rFonts w:ascii="Times New Roman" w:hAnsi="Times New Roman" w:eastAsia="宋体" w:cs="Times New Roman"/>
      <w:b/>
      <w:bCs/>
      <w:kern w:val="0"/>
      <w:sz w:val="24"/>
      <w:szCs w:val="20"/>
    </w:rPr>
  </w:style>
  <w:style w:type="character" w:customStyle="1" w:styleId="15">
    <w:name w:val="批注框文本 字符"/>
    <w:basedOn w:val="9"/>
    <w:link w:val="3"/>
    <w:semiHidden/>
    <w:qFormat/>
    <w:uiPriority w:val="99"/>
    <w:rPr>
      <w:rFonts w:ascii="Times New Roman" w:hAnsi="Times New Roman" w:eastAsia="宋体" w:cs="Times New Roman"/>
      <w:kern w:val="0"/>
      <w:sz w:val="18"/>
      <w:szCs w:val="18"/>
    </w:rPr>
  </w:style>
  <w:style w:type="paragraph" w:customStyle="1" w:styleId="16">
    <w:name w:val="任务书表格标题"/>
    <w:basedOn w:val="1"/>
    <w:next w:val="1"/>
    <w:qFormat/>
    <w:uiPriority w:val="0"/>
    <w:pPr>
      <w:adjustRightInd/>
      <w:spacing w:line="300" w:lineRule="auto"/>
      <w:jc w:val="center"/>
      <w:textAlignment w:val="auto"/>
    </w:pPr>
    <w:rPr>
      <w:rFonts w:ascii="黑体" w:eastAsia="黑体"/>
      <w:b/>
      <w:kern w:val="2"/>
      <w:sz w:val="30"/>
      <w:szCs w:val="30"/>
    </w:rPr>
  </w:style>
  <w:style w:type="paragraph" w:customStyle="1" w:styleId="17">
    <w:name w:val="任务书表格表头"/>
    <w:basedOn w:val="1"/>
    <w:next w:val="1"/>
    <w:qFormat/>
    <w:uiPriority w:val="0"/>
    <w:pPr>
      <w:adjustRightInd/>
      <w:spacing w:line="240" w:lineRule="auto"/>
      <w:jc w:val="center"/>
      <w:textAlignment w:val="auto"/>
    </w:pPr>
    <w:rPr>
      <w:b/>
      <w:kern w:val="2"/>
      <w:sz w:val="21"/>
      <w:szCs w:val="21"/>
    </w:rPr>
  </w:style>
  <w:style w:type="paragraph" w:customStyle="1" w:styleId="18">
    <w:name w:val="任务书表格内容"/>
    <w:basedOn w:val="1"/>
    <w:next w:val="1"/>
    <w:qFormat/>
    <w:uiPriority w:val="0"/>
    <w:pPr>
      <w:adjustRightInd/>
      <w:spacing w:line="240" w:lineRule="auto"/>
      <w:jc w:val="both"/>
      <w:textAlignment w:val="auto"/>
    </w:pPr>
    <w:rPr>
      <w:kern w:val="2"/>
      <w:sz w:val="21"/>
      <w:szCs w:val="24"/>
    </w:rPr>
  </w:style>
  <w:style w:type="paragraph" w:customStyle="1" w:styleId="19">
    <w:name w:val="任务书表格短文标题"/>
    <w:basedOn w:val="1"/>
    <w:next w:val="1"/>
    <w:qFormat/>
    <w:uiPriority w:val="0"/>
    <w:pPr>
      <w:adjustRightInd/>
      <w:spacing w:line="240" w:lineRule="auto"/>
      <w:jc w:val="both"/>
      <w:textAlignment w:val="auto"/>
    </w:pPr>
    <w:rPr>
      <w:b/>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6282</Words>
  <Characters>7596</Characters>
  <Lines>117</Lines>
  <Paragraphs>33</Paragraphs>
  <TotalTime>23</TotalTime>
  <ScaleCrop>false</ScaleCrop>
  <LinksUpToDate>false</LinksUpToDate>
  <CharactersWithSpaces>7978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2023-11-21T02:57:00Z</dcterms:created>
  <dc:creator>Ma Jun</dc:creator>
  <cp:lastModifiedBy>蒋维超</cp:lastModifiedBy>
  <dcterms:modified xsi:type="dcterms:W3CDTF">2025-10-17T01:17:06Z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2052-12.1.0.22529</vt:lpwstr>
  </property>
  <property fmtid="{D5CDD505-2E9C-101B-9397-08002B2CF9AE}" pid="5" name="KSOTemplateDocerSaveRecord">
    <vt:lpwstr>eyJoZGlkIjoiOTgzZGE3M2EyZGI2MzkxZjg4M2MyNzBmZTg1NTNkZDAiLCJ1c2VySWQiOiIxNDA3NDI4OTg3In0=</vt:lpwstr>
  </property>
  <property fmtid="{D5CDD505-2E9C-101B-9397-08002B2CF9AE}" pid="6" name="ICV">
    <vt:lpwstr>01BE063CD53844339FEC0F4CA38A745F_12</vt:lpwstr>
  </property>
</Properties>
</file>