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54.png" ContentType="image/png"/>
  <Override PartName="/word/media/rId59.png" ContentType="image/png"/>
  <Override PartName="/word/media/rId63.png" ContentType="image/png"/>
  <Override PartName="/word/media/rId67.png" ContentType="image/png"/>
  <Override PartName="/word/media/rId71.png" ContentType="image/png"/>
  <Override PartName="/word/media/rId76.png" ContentType="image/png"/>
  <Override PartName="/word/media/rId38.png" ContentType="image/png"/>
  <Override PartName="/word/media/rId41.png" ContentType="image/png"/>
  <Override PartName="/word/media/rId47.png" ContentType="image/png"/>
  <Override PartName="/word/media/rId79.png" ContentType="image/png"/>
  <Override PartName="/word/media/rId51.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Núcleo hidrorretentor orgânico como substrato para bioengenharia dos solos</w:t>
      </w:r>
    </w:p>
    <w:p>
      <w:pPr>
        <w:pStyle w:val="Subttulo"/>
      </w:pPr>
      <w:r>
        <w:t xml:space="preserve">Organic water-retaining core as a substrate for soil bioengineering</w:t>
      </w:r>
    </w:p>
    <w:bookmarkStart w:id="18" w:name="resumo"/>
    <w:p>
      <w:pPr>
        <w:pStyle w:val="Ttulo1"/>
      </w:pPr>
      <w:r>
        <w:t xml:space="preserve">Resumo</w:t>
      </w:r>
    </w:p>
    <w:p>
      <w:pPr>
        <w:pStyle w:val="FirstParagraph"/>
      </w:pPr>
      <w:r>
        <w:t xml:space="preserve">Geocompostos hidrorretentores biodegradáveis constituem uma alternativa de base natural para bioengenharia de solos, desde que o desempenho hidrofísico do núcleo não introduza risco de alelopatia e de supressão da fase inicial de estabelecimento. A aplicação de biomassa lignocelulósica em núcleos hidrorretentores ainda carece de validação conjunta que conecte retenção hídrica, estabilidade de matriz e bioatividade, permitindo separar modulação morfogênica de fitotoxicidade aguda. Esta pesquisa tem por objetivo avaliar um núcleo hidrorretentor orgânico produzido com fibras e resíduos de</w:t>
      </w:r>
      <w:r>
        <w:t xml:space="preserve"> </w:t>
      </w:r>
      <w:r>
        <w:rPr>
          <w:i/>
          <w:iCs/>
        </w:rPr>
        <w:t xml:space="preserve">Typha domingensis</w:t>
      </w:r>
      <w:r>
        <w:t xml:space="preserve"> </w:t>
      </w:r>
      <w:r>
        <w:t xml:space="preserve">como substrato para cultivo de rúcula (</w:t>
      </w:r>
      <w:r>
        <w:rPr>
          <w:i/>
          <w:iCs/>
        </w:rPr>
        <w:t xml:space="preserve">Eruca sativa</w:t>
      </w:r>
      <w:r>
        <w:t xml:space="preserve">), integrando caracterização tecnológica, triagem biológica e desempenho em microcosmo. Foram comparadas quatro formulações do núcleo, incluindo N1 (formulação completa), N2 (sem resina), N3 (resíduos vegetais) e N4 (resíduos e fibras), além de um controle, em delineamento inteiramente casualizado, com estatística baseada em ANOVA e comparações múltiplas. A formulação N1 atingiu 98.00% de germinação e superou o controle com 92.60%, concomitantemente ao aumento do comprimento do hipocótilo, que passou de 15.121 ± 2.685 mm no controle para 31.236 ± 4.490 mm em N1, correspondendo a 106.573 ± 29.692% na métrica relativa, e ao incremento de biomassa fresca de 0.159 ± 0.080 g no controle para 0.411 ± 0.280 g em N1, corroborando ganho funcional sob variabilidade biológica e sem assinatura de colapso de vigor. Conclui-se que os núcleos hidrorretentores orgânicos, em especial a formulação completa, apresentam potencial para aplicações em bioengenharia dos solos ao combinar desempenho de retenção hídrica com bioatividade compatível com o estabelecimento vegetal.</w:t>
      </w:r>
    </w:p>
    <w:bookmarkStart w:id="17" w:name="palavras-chave"/>
    <w:p>
      <w:pPr>
        <w:pStyle w:val="Ttulo2"/>
      </w:pPr>
      <w:r>
        <w:t xml:space="preserve">Palavras-chave</w:t>
      </w:r>
    </w:p>
    <w:p>
      <w:pPr>
        <w:pStyle w:val="FirstParagraph"/>
      </w:pPr>
      <w:r>
        <w:t xml:space="preserve">Conservação do solo; núcleo hidrorretentor; bioengenharia dos solos;</w:t>
      </w:r>
      <w:r>
        <w:t xml:space="preserve"> </w:t>
      </w:r>
      <w:r>
        <w:rPr>
          <w:i/>
          <w:iCs/>
        </w:rPr>
        <w:t xml:space="preserve">Eruca sativa</w:t>
      </w:r>
      <w:r>
        <w:t xml:space="preserve">.</w:t>
      </w:r>
    </w:p>
    <w:bookmarkEnd w:id="17"/>
    <w:bookmarkEnd w:id="18"/>
    <w:bookmarkStart w:id="19" w:name="introdução"/>
    <w:p>
      <w:pPr>
        <w:pStyle w:val="Ttulo1"/>
      </w:pPr>
      <w:r>
        <w:t xml:space="preserve">Introdução</w:t>
      </w:r>
    </w:p>
    <w:p>
      <w:pPr>
        <w:pStyle w:val="FirstParagraph"/>
      </w:pPr>
      <w:r>
        <w:t xml:space="preserve">Na engenharia geoambiental, a busca por soluções de base biológica tem se consolidado como resposta à necessidade de reduzir a dependência de componentes sintéticos e, concomitantemente, mitigar passivos de custo e de impacto associados ao ciclo de vida desses materiais</w:t>
      </w:r>
      <w:r>
        <w:t xml:space="preserve"> </w:t>
      </w:r>
      <w:r>
        <w:t xml:space="preserve">(</w:t>
      </w:r>
      <w:hyperlink w:anchor="ref-prambauer2019_biodegradable">
        <w:r>
          <w:rPr>
            <w:rStyle w:val="Hyperlink"/>
          </w:rPr>
          <w:t xml:space="preserve">Prambauer et al., 2019</w:t>
        </w:r>
      </w:hyperlink>
      <w:r>
        <w:t xml:space="preserve">)</w:t>
      </w:r>
      <w:r>
        <w:t xml:space="preserve">. Nesse enquadramento, compósitos orgânicos a partir de resíduos vegetais tornam-se particularmente relevantes quando o objetivo é revegetação, pois permitem estruturar um meio de suporte funcional sem recorrer de forma intensiva a fertilizantes altamente solúveis e insumos edáficos de alto custo, o que desloca o controle do processo para mecanismos hidrofísicos e de interface planta substrato</w:t>
      </w:r>
      <w:r>
        <w:t xml:space="preserve"> </w:t>
      </w:r>
      <w:r>
        <w:t xml:space="preserve">(</w:t>
      </w:r>
      <w:hyperlink w:anchor="ref-silva2017_reaproveitamento">
        <w:r>
          <w:rPr>
            <w:rStyle w:val="Hyperlink"/>
          </w:rPr>
          <w:t xml:space="preserve">Silva et al., 2017</w:t>
        </w:r>
      </w:hyperlink>
      <w:r>
        <w:t xml:space="preserve">)</w:t>
      </w:r>
      <w:r>
        <w:t xml:space="preserve">.</w:t>
      </w:r>
    </w:p>
    <w:p>
      <w:pPr>
        <w:pStyle w:val="Corpodetexto"/>
      </w:pPr>
      <w:r>
        <w:t xml:space="preserve">A premissa operacional é que a matriz consiga armazenar água e liberá-la sob gradiente de potencial hídrico, amortecendo pulsos de irrigação e reduzindo a variabilidade microambiental que governa o estabelecimento inicial</w:t>
      </w:r>
      <w:r>
        <w:t xml:space="preserve"> </w:t>
      </w:r>
      <w:r>
        <w:t xml:space="preserve">(</w:t>
      </w:r>
      <w:hyperlink w:anchor="ref-liu2020_borax">
        <w:r>
          <w:rPr>
            <w:rStyle w:val="Hyperlink"/>
          </w:rPr>
          <w:t xml:space="preserve">Liu et al., 2020</w:t>
        </w:r>
      </w:hyperlink>
      <w:r>
        <w:t xml:space="preserve">)</w:t>
      </w:r>
      <w:r>
        <w:t xml:space="preserve">. Uma vez que esse amortecimento hidrodinâmico se materializa, efeitos secundários emergem como maior uniformidade de crescimento e, em determinadas configurações, modulação de pressão de patógenos e estabilidade do sistema sob flutuações climáticas, mantendo coerência com discussões sobre supressão biológica e resiliência em microambientes condicionados</w:t>
      </w:r>
      <w:r>
        <w:t xml:space="preserve"> </w:t>
      </w:r>
      <w:r>
        <w:t xml:space="preserve">(</w:t>
      </w:r>
      <w:hyperlink w:anchor="ref-grimes2019_trichoderma">
        <w:r>
          <w:rPr>
            <w:rStyle w:val="Hyperlink"/>
          </w:rPr>
          <w:t xml:space="preserve">Grimes, 2019</w:t>
        </w:r>
      </w:hyperlink>
      <w:r>
        <w:t xml:space="preserve">;</w:t>
      </w:r>
      <w:r>
        <w:t xml:space="preserve"> </w:t>
      </w:r>
      <w:hyperlink w:anchor="ref-jimenez2021_soilphysical">
        <w:r>
          <w:rPr>
            <w:rStyle w:val="Hyperlink"/>
          </w:rPr>
          <w:t xml:space="preserve">Jimenez et al., 2021</w:t>
        </w:r>
      </w:hyperlink>
      <w:r>
        <w:t xml:space="preserve">;</w:t>
      </w:r>
      <w:r>
        <w:t xml:space="preserve"> </w:t>
      </w:r>
      <w:hyperlink w:anchor="ref-ulrich2017_substratos">
        <w:r>
          <w:rPr>
            <w:rStyle w:val="Hyperlink"/>
          </w:rPr>
          <w:t xml:space="preserve">Ulrich et al., 2017</w:t>
        </w:r>
      </w:hyperlink>
      <w:r>
        <w:t xml:space="preserve">)</w:t>
      </w:r>
      <w:r>
        <w:t xml:space="preserve">. Em paralelo, a própria biota associada ao sistema contribui para reconfigurar propriedades físicas e químicas, reforçando que o desempenho final não depende apenas do material, mas do acoplamento material micro-organismos substrato</w:t>
      </w:r>
      <w:r>
        <w:t xml:space="preserve"> </w:t>
      </w:r>
      <w:r>
        <w:t xml:space="preserve">(</w:t>
      </w:r>
      <w:hyperlink w:anchor="ref-abis2020_reduced">
        <w:r>
          <w:rPr>
            <w:rStyle w:val="Hyperlink"/>
          </w:rPr>
          <w:t xml:space="preserve">Abis et al., 2020</w:t>
        </w:r>
      </w:hyperlink>
      <w:r>
        <w:t xml:space="preserve">;</w:t>
      </w:r>
      <w:r>
        <w:t xml:space="preserve"> </w:t>
      </w:r>
      <w:hyperlink w:anchor="ref-haiming2020_microbial">
        <w:r>
          <w:rPr>
            <w:rStyle w:val="Hyperlink"/>
          </w:rPr>
          <w:t xml:space="preserve">Haiming et al., 2020</w:t>
        </w:r>
      </w:hyperlink>
      <w:r>
        <w:t xml:space="preserve">)</w:t>
      </w:r>
      <w:r>
        <w:t xml:space="preserve">.</w:t>
      </w:r>
    </w:p>
    <w:p>
      <w:pPr>
        <w:pStyle w:val="Corpodetexto"/>
      </w:pPr>
      <w:r>
        <w:t xml:space="preserve">Esse encadeamento conduz diretamente ao papel dos geocompostos hidrorretentores, cuja função tecnológica combina filtração, retenção de água e reforço mecânico, ampliando o controle de fluxo e o suporte estrutural em aplicações geoambientais em que a estabilidade do meio e a disponibilidade hídrica precisam ser otimizadas simultaneamente</w:t>
      </w:r>
      <w:r>
        <w:t xml:space="preserve"> </w:t>
      </w:r>
      <w:r>
        <w:t xml:space="preserve">(</w:t>
      </w:r>
      <w:hyperlink w:anchor="ref-cislaghi2020_biodegradable">
        <w:r>
          <w:rPr>
            <w:rStyle w:val="Hyperlink"/>
          </w:rPr>
          <w:t xml:space="preserve">Cislaghi et al., 2020</w:t>
        </w:r>
      </w:hyperlink>
      <w:r>
        <w:t xml:space="preserve">;</w:t>
      </w:r>
      <w:r>
        <w:t xml:space="preserve"> </w:t>
      </w:r>
      <w:hyperlink w:anchor="ref-koerner2012_designing">
        <w:r>
          <w:rPr>
            <w:rStyle w:val="Hyperlink"/>
          </w:rPr>
          <w:t xml:space="preserve">Koerner, 2012</w:t>
        </w:r>
      </w:hyperlink>
      <w:r>
        <w:t xml:space="preserve">)</w:t>
      </w:r>
      <w:r>
        <w:t xml:space="preserve">. Quando esses sistemas são baseados em frações sintéticas, o desempenho pode ser alcançado, porém o descarte e a persistência ambiental passam a integrar o problema de engenharia, deslocando a solução para outra escala de risco</w:t>
      </w:r>
      <w:r>
        <w:t xml:space="preserve"> </w:t>
      </w:r>
      <w:r>
        <w:t xml:space="preserve">(</w:t>
      </w:r>
      <w:hyperlink w:anchor="ref-daria2020_characteristics">
        <w:r>
          <w:rPr>
            <w:rStyle w:val="Hyperlink"/>
          </w:rPr>
          <w:t xml:space="preserve">Daria et al., 2020</w:t>
        </w:r>
      </w:hyperlink>
      <w:r>
        <w:t xml:space="preserve">)</w:t>
      </w:r>
      <w:r>
        <w:t xml:space="preserve">. Assim, a substituição por biopolímeros naturais e reforços vegetais torna-se uma escolha coerente com a lógica de bioengenharia, na qual se busca compatibilizar função e degradação sem romper a integridade operacional do sistema durante a janela crítica de estabelecimento</w:t>
      </w:r>
      <w:r>
        <w:t xml:space="preserve"> </w:t>
      </w:r>
      <w:r>
        <w:t xml:space="preserve">(</w:t>
      </w:r>
      <w:hyperlink w:anchor="ref-Giupponi2019HowProposals">
        <w:r>
          <w:rPr>
            <w:rStyle w:val="Hyperlink"/>
          </w:rPr>
          <w:t xml:space="preserve">Giupponi et al., 2019</w:t>
        </w:r>
      </w:hyperlink>
      <w:r>
        <w:t xml:space="preserve">)</w:t>
      </w:r>
      <w:r>
        <w:t xml:space="preserve">. Nesse contexto, fibras vegetais como as de</w:t>
      </w:r>
      <w:r>
        <w:t xml:space="preserve"> </w:t>
      </w:r>
      <w:r>
        <w:rPr>
          <w:i/>
          <w:iCs/>
        </w:rPr>
        <w:t xml:space="preserve">Typha domingensis</w:t>
      </w:r>
      <w:r>
        <w:t xml:space="preserve"> </w:t>
      </w:r>
      <w:r>
        <w:t xml:space="preserve">apresentam aderência tecnológica ao problema por reunirem disponibilidade de frações lignocelulósicas e aplicabilidade em manufatura de geotêxteis, o que favorece escalabilidade e controle de processo</w:t>
      </w:r>
      <w:r>
        <w:t xml:space="preserve"> </w:t>
      </w:r>
      <w:r>
        <w:t xml:space="preserve">(</w:t>
      </w:r>
      <w:hyperlink w:anchor="ref-ghosh2009_suitability">
        <w:r>
          <w:rPr>
            <w:rStyle w:val="Hyperlink"/>
          </w:rPr>
          <w:t xml:space="preserve">Ghosh et al., 2009</w:t>
        </w:r>
      </w:hyperlink>
      <w:r>
        <w:t xml:space="preserve">)</w:t>
      </w:r>
      <w:r>
        <w:t xml:space="preserve">.</w:t>
      </w:r>
    </w:p>
    <w:p>
      <w:pPr>
        <w:pStyle w:val="Corpodetexto"/>
      </w:pPr>
      <w:r>
        <w:t xml:space="preserve">A seleção de</w:t>
      </w:r>
      <w:r>
        <w:t xml:space="preserve"> </w:t>
      </w:r>
      <w:r>
        <w:rPr>
          <w:i/>
          <w:iCs/>
        </w:rPr>
        <w:t xml:space="preserve">Typha domingensis</w:t>
      </w:r>
      <w:r>
        <w:t xml:space="preserve"> </w:t>
      </w:r>
      <w:r>
        <w:t xml:space="preserve">também se justifica pelo comportamento ecofisiológico da espécie, uma macrófita emergente perene da família Typhaceae, amplamente distribuída em regiões tropicais e subtropicais das Américas e fortemente associada a ambientes úmidos e alagáveis, nos quais oscilações de oxigenação e saturação são a regra e não a exceção</w:t>
      </w:r>
      <w:r>
        <w:t xml:space="preserve"> </w:t>
      </w:r>
      <w:r>
        <w:t xml:space="preserve">(</w:t>
      </w:r>
      <w:hyperlink w:anchor="ref-bonanno2017_comparative">
        <w:r>
          <w:rPr>
            <w:rStyle w:val="Hyperlink"/>
          </w:rPr>
          <w:t xml:space="preserve">Bonanno &amp; Cirelli, 2017</w:t>
        </w:r>
      </w:hyperlink>
      <w:r>
        <w:t xml:space="preserve">;</w:t>
      </w:r>
      <w:r>
        <w:t xml:space="preserve"> </w:t>
      </w:r>
      <w:hyperlink w:anchor="ref-kamali2022_typha">
        <w:r>
          <w:rPr>
            <w:rStyle w:val="Hyperlink"/>
          </w:rPr>
          <w:t xml:space="preserve">Kamali Moghaddam, 2022</w:t>
        </w:r>
      </w:hyperlink>
      <w:r>
        <w:t xml:space="preserve">)</w:t>
      </w:r>
      <w:r>
        <w:t xml:space="preserve">. A organização morfológica com rizomas e folhas longas com bainha foliar, associada à presença de aerênquima, constitui uma adaptação anatômica que sustenta difusão interna de gases e preserva gradientes de O₂ e CO₂ mesmo sob hipóxia e saturação hídrica, mecanismo que sinaliza resiliência funcional em interfaces solo água</w:t>
      </w:r>
      <w:r>
        <w:t xml:space="preserve"> </w:t>
      </w:r>
      <w:r>
        <w:t xml:space="preserve">(</w:t>
      </w:r>
      <w:hyperlink w:anchor="ref-cunhacruzy2020_rootanatomy">
        <w:r>
          <w:rPr>
            <w:rStyle w:val="Hyperlink"/>
          </w:rPr>
          <w:t xml:space="preserve">Cunha Cruz et al., 2020</w:t>
        </w:r>
      </w:hyperlink>
      <w:r>
        <w:t xml:space="preserve">)</w:t>
      </w:r>
      <w:r>
        <w:t xml:space="preserve">.</w:t>
      </w:r>
    </w:p>
    <w:p>
      <w:pPr>
        <w:pStyle w:val="Corpodetexto"/>
      </w:pPr>
      <w:r>
        <w:t xml:space="preserve">Do ponto de vista de engenharia de materiais, o elevado teor de celulose e lignina confere rigidez e resistência à tração, favorecendo a integridade do reforço e a manutenção de arquitetura porosa quando incorporado em compósitos</w:t>
      </w:r>
      <w:r>
        <w:t xml:space="preserve"> </w:t>
      </w:r>
      <w:r>
        <w:t xml:space="preserve">(</w:t>
      </w:r>
      <w:hyperlink w:anchor="ref-rezig2023_typha">
        <w:r>
          <w:rPr>
            <w:rStyle w:val="Hyperlink"/>
          </w:rPr>
          <w:t xml:space="preserve">Rezig et al., 2023</w:t>
        </w:r>
      </w:hyperlink>
      <w:r>
        <w:t xml:space="preserve">;</w:t>
      </w:r>
      <w:r>
        <w:t xml:space="preserve"> </w:t>
      </w:r>
      <w:hyperlink w:anchor="ref-sujatha2022_cellulose">
        <w:r>
          <w:rPr>
            <w:rStyle w:val="Hyperlink"/>
          </w:rPr>
          <w:t xml:space="preserve">Sujatha &amp; Kannan, 2022</w:t>
        </w:r>
      </w:hyperlink>
      <w:r>
        <w:t xml:space="preserve">)</w:t>
      </w:r>
      <w:r>
        <w:t xml:space="preserve">. Em convergência, sua atuação em sistemas de fitorremediação, sua tolerância a estresses por metais pesados e sua plasticidade fenotípica reforçam a viabilidade do uso da biomassa em cenários de alta variabilidade e de múltiplas fontes de estresse, condição típica de ambientes alvo de bioengenharia</w:t>
      </w:r>
      <w:r>
        <w:t xml:space="preserve"> </w:t>
      </w:r>
      <w:r>
        <w:t xml:space="preserve">(</w:t>
      </w:r>
      <w:hyperlink w:anchor="ref-deguenon2022_influence">
        <w:r>
          <w:rPr>
            <w:rStyle w:val="Hyperlink"/>
          </w:rPr>
          <w:t xml:space="preserve">Deguenon et al., 2022</w:t>
        </w:r>
      </w:hyperlink>
      <w:r>
        <w:t xml:space="preserve">;</w:t>
      </w:r>
      <w:r>
        <w:t xml:space="preserve"> </w:t>
      </w:r>
      <w:hyperlink w:anchor="ref-hadad2018_longterm">
        <w:r>
          <w:rPr>
            <w:rStyle w:val="Hyperlink"/>
          </w:rPr>
          <w:t xml:space="preserve">Hadad et al., 2018</w:t>
        </w:r>
      </w:hyperlink>
      <w:r>
        <w:t xml:space="preserve">;</w:t>
      </w:r>
      <w:r>
        <w:t xml:space="preserve"> </w:t>
      </w:r>
      <w:hyperlink w:anchor="ref-oliveira2017_cadmium">
        <w:r>
          <w:rPr>
            <w:rStyle w:val="Hyperlink"/>
          </w:rPr>
          <w:t xml:space="preserve">Oliveira et al., 2017</w:t>
        </w:r>
      </w:hyperlink>
      <w:r>
        <w:t xml:space="preserve">;</w:t>
      </w:r>
      <w:r>
        <w:t xml:space="preserve"> </w:t>
      </w:r>
      <w:hyperlink w:anchor="ref-saleh2019_heavymetals">
        <w:r>
          <w:rPr>
            <w:rStyle w:val="Hyperlink"/>
          </w:rPr>
          <w:t xml:space="preserve">Saleh Muneera et al., 2019</w:t>
        </w:r>
      </w:hyperlink>
      <w:r>
        <w:t xml:space="preserve">)</w:t>
      </w:r>
      <w:r>
        <w:t xml:space="preserve">.</w:t>
      </w:r>
    </w:p>
    <w:p>
      <w:pPr>
        <w:pStyle w:val="Corpodetexto"/>
      </w:pPr>
      <w:r>
        <w:t xml:space="preserve">O uso de biocompósitos em bioengenharia demanda a validação de segurança química, uma vez que a matriz lignocelulósica pode liberar metabólitos secundários ativos. Em sistemas planta-solo, compostos das rotas do acetato (terpenoides) e do chiquimato (fenóis e ácidos fenólicos) podem ser exsudados ou lixiviados da biomassa, modulando o microambiente químico de germinação</w:t>
      </w:r>
      <w:r>
        <w:t xml:space="preserve"> </w:t>
      </w:r>
      <w:r>
        <w:t xml:space="preserve">(</w:t>
      </w:r>
      <w:hyperlink w:anchor="ref-cheng2015_research">
        <w:r>
          <w:rPr>
            <w:rStyle w:val="Hyperlink"/>
          </w:rPr>
          <w:t xml:space="preserve">Cheng &amp; Cheng, 2015</w:t>
        </w:r>
      </w:hyperlink>
      <w:r>
        <w:t xml:space="preserve">;</w:t>
      </w:r>
      <w:r>
        <w:t xml:space="preserve"> </w:t>
      </w:r>
      <w:hyperlink w:anchor="ref-inderjit1996_phenolics">
        <w:r>
          <w:rPr>
            <w:rStyle w:val="Hyperlink"/>
          </w:rPr>
          <w:t xml:space="preserve">Inderjit, 1996</w:t>
        </w:r>
      </w:hyperlink>
      <w:r>
        <w:t xml:space="preserve">)</w:t>
      </w:r>
      <w:r>
        <w:t xml:space="preserve">. Como a</w:t>
      </w:r>
      <w:r>
        <w:t xml:space="preserve"> </w:t>
      </w:r>
      <w:r>
        <w:rPr>
          <w:i/>
          <w:iCs/>
        </w:rPr>
        <w:t xml:space="preserve">Typha domingensis</w:t>
      </w:r>
      <w:r>
        <w:t xml:space="preserve"> </w:t>
      </w:r>
      <w:r>
        <w:t xml:space="preserve">sintetiza frações fenólicas e terpênicas em seus tecidos</w:t>
      </w:r>
      <w:r>
        <w:t xml:space="preserve"> </w:t>
      </w:r>
      <w:r>
        <w:t xml:space="preserve">(</w:t>
      </w:r>
      <w:hyperlink w:anchor="ref-morrow2017_allelochemicals">
        <w:r>
          <w:rPr>
            <w:rStyle w:val="Hyperlink"/>
          </w:rPr>
          <w:t xml:space="preserve">Morrow et al., 2017</w:t>
        </w:r>
      </w:hyperlink>
      <w:r>
        <w:t xml:space="preserve">)</w:t>
      </w:r>
      <w:r>
        <w:t xml:space="preserve">, sua aplicação como núcleo hidrorretentor exige dissociar o desempenho físico (retenção de água) do risco biológico (inibição de crescimento), assegurando que a funcionalidade hidráulica não veicule cargas químicas supressoras ao propágulo vegetal. Essa compreensão orienta o manejo sustentável</w:t>
      </w:r>
      <w:r>
        <w:t xml:space="preserve"> </w:t>
      </w:r>
      <w:r>
        <w:t xml:space="preserve">(</w:t>
      </w:r>
      <w:hyperlink w:anchor="ref-muzell2016_allelopathy">
        <w:r>
          <w:rPr>
            <w:rStyle w:val="Hyperlink"/>
          </w:rPr>
          <w:t xml:space="preserve">Muzell Trezzi et al., 2016</w:t>
        </w:r>
      </w:hyperlink>
      <w:r>
        <w:t xml:space="preserve">)</w:t>
      </w:r>
      <w:r>
        <w:t xml:space="preserve"> </w:t>
      </w:r>
      <w:r>
        <w:t xml:space="preserve">e permite otimizar o uso de macrófitas em sistemas de infraestrutura verde.</w:t>
      </w:r>
    </w:p>
    <w:p>
      <w:pPr>
        <w:pStyle w:val="Corpodetexto"/>
      </w:pPr>
      <w:r>
        <w:t xml:space="preserve">Apesar do avanço recente em geocompostos de base natural para retenção hídrica</w:t>
      </w:r>
      <w:r>
        <w:t xml:space="preserve"> </w:t>
      </w:r>
      <w:r>
        <w:t xml:space="preserve">(</w:t>
      </w:r>
      <w:hyperlink w:anchor="ref-akter2020_development">
        <w:r>
          <w:rPr>
            <w:rStyle w:val="Hyperlink"/>
          </w:rPr>
          <w:t xml:space="preserve">Akter et al., 2020</w:t>
        </w:r>
      </w:hyperlink>
      <w:r>
        <w:t xml:space="preserve">;</w:t>
      </w:r>
      <w:r>
        <w:t xml:space="preserve"> </w:t>
      </w:r>
      <w:hyperlink w:anchor="ref-santos2024_geogrid">
        <w:r>
          <w:rPr>
            <w:rStyle w:val="Hyperlink"/>
          </w:rPr>
          <w:t xml:space="preserve">Santos et al., 2024</w:t>
        </w:r>
      </w:hyperlink>
      <w:r>
        <w:t xml:space="preserve">)</w:t>
      </w:r>
      <w:r>
        <w:t xml:space="preserve"> </w:t>
      </w:r>
      <w:r>
        <w:t xml:space="preserve">e do uso consolidado de</w:t>
      </w:r>
      <w:r>
        <w:t xml:space="preserve"> </w:t>
      </w:r>
      <w:r>
        <w:rPr>
          <w:i/>
          <w:iCs/>
        </w:rPr>
        <w:t xml:space="preserve">Typha domingensis</w:t>
      </w:r>
      <w:r>
        <w:t xml:space="preserve"> </w:t>
      </w:r>
      <w:r>
        <w:t xml:space="preserve">como macrófita de alto desempenho em ambientes saturados e em contextos de fitorremediação</w:t>
      </w:r>
      <w:r>
        <w:t xml:space="preserve"> </w:t>
      </w:r>
      <w:r>
        <w:t xml:space="preserve">(</w:t>
      </w:r>
      <w:hyperlink w:anchor="ref-hegazy2011_phytoremediation">
        <w:r>
          <w:rPr>
            <w:rStyle w:val="Hyperlink"/>
          </w:rPr>
          <w:t xml:space="preserve">Hegazy et al., 2011</w:t>
        </w:r>
      </w:hyperlink>
      <w:r>
        <w:t xml:space="preserve">)</w:t>
      </w:r>
      <w:r>
        <w:t xml:space="preserve">, permanece uma lacuna metodológica quando se busca integrar desempenho hidrofísico e risco biológico em um mesmo protocolo. Em particular, a ausência de uma avaliação conjunta de germinação, crescimento inicial e indicadores de alelopatia limita a extrapolação para bioengenharia dos solos, onde o núcleo atua como reservatório de água e como matriz de contato com o propágulo vegetal.</w:t>
      </w:r>
    </w:p>
    <w:p>
      <w:pPr>
        <w:pStyle w:val="Corpodetexto"/>
      </w:pPr>
      <w:r>
        <w:t xml:space="preserve">Este trabalho investigou núcleos hidrorretentores à base de fibras de taboa como substrato para geotêxteis cultivados com rúcula, avaliando retenção de umidade por saturação prolongada e o efeito de extratos aquosos sobre germinação e crescimento inicial, com inferência estatística para identificar ausência de fitotoxicidade e presença de bioatividade compatível com revegetação.</w:t>
      </w:r>
    </w:p>
    <w:bookmarkEnd w:id="19"/>
    <w:bookmarkStart w:id="37" w:name="material-e-métodos"/>
    <w:p>
      <w:pPr>
        <w:pStyle w:val="Ttulo1"/>
      </w:pPr>
      <w:r>
        <w:t xml:space="preserve">Material e métodos</w:t>
      </w:r>
    </w:p>
    <w:bookmarkStart w:id="20" w:name="localização-e-condições-experimentais"/>
    <w:p>
      <w:pPr>
        <w:pStyle w:val="Ttulo2"/>
      </w:pPr>
      <w:r>
        <w:t xml:space="preserve">Localização e condições experimentais</w:t>
      </w:r>
    </w:p>
    <w:p>
      <w:pPr>
        <w:pStyle w:val="FirstParagraph"/>
      </w:pPr>
      <w:r>
        <w:t xml:space="preserve">O experimento foi conduzido em uma casa de vegetação do Departamento de Engenharia Agronômica da Universidade Federal de Sergipe (UFS), estado de Sergipe, Brasil. As coordenadas geográficas aproximadas do local são 10°55’29.2” S, 37°06’55.9” W, situado a uma altitude média de 50 metros acima do nível do mar. A região se enquadra em clima do tipo Aw conforme classificação de Köppen-Geiger</w:t>
      </w:r>
      <w:r>
        <w:t xml:space="preserve"> </w:t>
      </w:r>
      <w:r>
        <w:t xml:space="preserve">(</w:t>
      </w:r>
      <w:hyperlink w:anchor="ref-alvares2013_koppen">
        <w:r>
          <w:rPr>
            <w:rStyle w:val="Hyperlink"/>
          </w:rPr>
          <w:t xml:space="preserve">Alvares et al., 2013</w:t>
        </w:r>
      </w:hyperlink>
      <w:r>
        <w:t xml:space="preserve">;</w:t>
      </w:r>
      <w:r>
        <w:t xml:space="preserve"> </w:t>
      </w:r>
      <w:hyperlink w:anchor="ref-koppen1936_klimate">
        <w:r>
          <w:rPr>
            <w:rStyle w:val="Hyperlink"/>
          </w:rPr>
          <w:t xml:space="preserve">Koppen, 1936</w:t>
        </w:r>
      </w:hyperlink>
      <w:r>
        <w:t xml:space="preserve">)</w:t>
      </w:r>
      <w:r>
        <w:t xml:space="preserve">.</w:t>
      </w:r>
    </w:p>
    <w:bookmarkEnd w:id="20"/>
    <w:bookmarkStart w:id="21" w:name="características-das-sementes-de-rúcula"/>
    <w:p>
      <w:pPr>
        <w:pStyle w:val="Ttulo2"/>
      </w:pPr>
      <w:r>
        <w:t xml:space="preserve">Características das sementes de rúcula</w:t>
      </w:r>
    </w:p>
    <w:p>
      <w:pPr>
        <w:pStyle w:val="FirstParagraph"/>
      </w:pPr>
      <w:r>
        <w:t xml:space="preserve">As sementes de rúcula (</w:t>
      </w:r>
      <w:r>
        <w:rPr>
          <w:i/>
          <w:iCs/>
        </w:rPr>
        <w:t xml:space="preserve">Eruca sativa</w:t>
      </w:r>
      <w:r>
        <w:t xml:space="preserve">) utilizadas foram da cultivar Folha Larga, conforme registro no Registro Nacional de Cultivares do MAPA nº 0448</w:t>
      </w:r>
      <w:r>
        <w:t xml:space="preserve"> </w:t>
      </w:r>
      <w:r>
        <w:t xml:space="preserve">(</w:t>
      </w:r>
      <w:hyperlink w:anchor="ref-mapa2012_rnc_rucula">
        <w:r>
          <w:rPr>
            <w:rStyle w:val="Hyperlink"/>
          </w:rPr>
          <w:t xml:space="preserve">MAPA, 2012</w:t>
        </w:r>
      </w:hyperlink>
      <w:r>
        <w:t xml:space="preserve">)</w:t>
      </w:r>
      <w:r>
        <w:t xml:space="preserve">. Apresentavam pureza física de 98%, germinação padrão de 85%, umidade máxima de 10%, e comportamento germinativo típico com emergência entre 3 a 5 dias em condições ótimas</w:t>
      </w:r>
      <w:r>
        <w:t xml:space="preserve"> </w:t>
      </w:r>
      <w:r>
        <w:t xml:space="preserve">(</w:t>
      </w:r>
      <w:hyperlink w:anchor="ref-vieira2011_qualidade">
        <w:r>
          <w:rPr>
            <w:rStyle w:val="Hyperlink"/>
          </w:rPr>
          <w:t xml:space="preserve">Vieira et al., 2011</w:t>
        </w:r>
      </w:hyperlink>
      <w:r>
        <w:t xml:space="preserve">)</w:t>
      </w:r>
      <w:r>
        <w:t xml:space="preserve">.</w:t>
      </w:r>
    </w:p>
    <w:p>
      <w:pPr>
        <w:pStyle w:val="Corpodetexto"/>
      </w:pPr>
      <w:r>
        <w:t xml:space="preserve">Essa cultivar é reportada como responsiva a condições de manejo e disponibilidade hídrica em estágio inicial, o que justifica seu uso como espécie indicadora em triagens de bioatividade</w:t>
      </w:r>
      <w:r>
        <w:t xml:space="preserve"> </w:t>
      </w:r>
      <w:r>
        <w:t xml:space="preserve">(</w:t>
      </w:r>
      <w:hyperlink w:anchor="ref-dijkstra2017_cultivo">
        <w:r>
          <w:rPr>
            <w:rStyle w:val="Hyperlink"/>
          </w:rPr>
          <w:t xml:space="preserve">Dijkstra et al., 2017</w:t>
        </w:r>
      </w:hyperlink>
      <w:r>
        <w:t xml:space="preserve">)</w:t>
      </w:r>
      <w:r>
        <w:t xml:space="preserve">.</w:t>
      </w:r>
    </w:p>
    <w:bookmarkEnd w:id="21"/>
    <w:bookmarkStart w:id="25" w:name="Xfcff2a1ac903ac3a5a16948f9c1bec0a1e77e15"/>
    <w:p>
      <w:pPr>
        <w:pStyle w:val="Ttulo2"/>
      </w:pPr>
      <w:r>
        <w:t xml:space="preserve">Confecção dos geocompostos hidrorretentores</w:t>
      </w:r>
    </w:p>
    <w:p>
      <w:pPr>
        <w:pStyle w:val="FirstParagraph"/>
      </w:pPr>
      <w:r>
        <w:t xml:space="preserve">Folhas de taboa (</w:t>
      </w:r>
      <w:r>
        <w:rPr>
          <w:i/>
          <w:iCs/>
        </w:rPr>
        <w:t xml:space="preserve">Typha domingensis</w:t>
      </w:r>
      <w:r>
        <w:t xml:space="preserve">) foram colhidas mantendo o rizoma no solo. O limbo e a bainha foliar foram separados, cortados em guilhotina e as fibras lavadas em água corrente e secas ao ar por 72 h, com o fluxo operacional sintetizado na Figura 1. O limbo foi moído em moinho de martelos para gerar resíduo vegetal fino. Em materiais lignocelulósicos, parâmetros dimensionais e resistência mecânica exibem variabilidade relevante em função de espécie, fração anatômica e processamento, o que afeta molhabilidade, sorção e integridade estrutural em compósitos</w:t>
      </w:r>
      <w:r>
        <w:t xml:space="preserve"> </w:t>
      </w:r>
      <w:r>
        <w:t xml:space="preserve">(</w:t>
      </w:r>
      <w:hyperlink w:anchor="ref-betene2020_physicochemical">
        <w:r>
          <w:rPr>
            <w:rStyle w:val="Hyperlink"/>
          </w:rPr>
          <w:t xml:space="preserve">Betene et al., 2020</w:t>
        </w:r>
      </w:hyperlink>
      <w:r>
        <w:t xml:space="preserve">;</w:t>
      </w:r>
      <w:r>
        <w:t xml:space="preserve"> </w:t>
      </w:r>
      <w:hyperlink w:anchor="ref-cesar2015_cellulose">
        <w:r>
          <w:rPr>
            <w:rStyle w:val="Hyperlink"/>
          </w:rPr>
          <w:t xml:space="preserve">César et al., 2015</w:t>
        </w:r>
      </w:hyperlink>
      <w:r>
        <w:t xml:space="preserve">)</w:t>
      </w:r>
      <w:r>
        <w:t xml:space="preserve">.</w:t>
      </w:r>
    </w:p>
    <w:p>
      <w:pPr>
        <w:pStyle w:val="Corpodetexto"/>
      </w:pPr>
      <w:r>
        <w:t xml:space="preserve">As fibras e resíduos receberam tratamento químico com resina vegetal de óleo de mamona, solvente D-limoneno e espessantes naturais (Amida 90% e extrato de</w:t>
      </w:r>
      <w:r>
        <w:t xml:space="preserve"> </w:t>
      </w:r>
      <w:r>
        <w:rPr>
          <w:i/>
          <w:iCs/>
        </w:rPr>
        <w:t xml:space="preserve">Aloe vera</w:t>
      </w:r>
      <w:r>
        <w:t xml:space="preserve">), considerando que agentes hidrocoloides e extratos vegetais podem alterar o regime de retenção hídrica e a disponibilidade de solutos no microambiente do propágulo vegetal em ensaios de triagem</w:t>
      </w:r>
      <w:r>
        <w:t xml:space="preserve"> </w:t>
      </w:r>
      <w:r>
        <w:t xml:space="preserve">(</w:t>
      </w:r>
      <w:hyperlink w:anchor="ref-luligo2024_aloevera">
        <w:r>
          <w:rPr>
            <w:rStyle w:val="Hyperlink"/>
          </w:rPr>
          <w:t xml:space="preserve">Luligo-Montealegre et al., 2024</w:t>
        </w:r>
      </w:hyperlink>
      <w:r>
        <w:t xml:space="preserve">;</w:t>
      </w:r>
      <w:r>
        <w:t xml:space="preserve"> </w:t>
      </w:r>
      <w:hyperlink w:anchor="ref-priolo2024_duckweed">
        <w:r>
          <w:rPr>
            <w:rStyle w:val="Hyperlink"/>
          </w:rPr>
          <w:t xml:space="preserve">Priolo et al., 2024</w:t>
        </w:r>
      </w:hyperlink>
      <w:r>
        <w:t xml:space="preserve">)</w:t>
      </w:r>
      <w:r>
        <w:t xml:space="preserve">.</w:t>
      </w:r>
    </w:p>
    <w:p>
      <w:pPr>
        <w:pStyle w:val="Corpodetexto"/>
      </w:pPr>
      <w:r>
        <w:t xml:space="preserve">A resina bicomponente foi formulada em proporção 2:1 (pré-polímero, isocianato e poliol), permitindo reação de poliadição controlada em matriz de poliuretano de base renovável</w:t>
      </w:r>
      <w:r>
        <w:t xml:space="preserve"> </w:t>
      </w:r>
      <w:r>
        <w:t xml:space="preserve">(</w:t>
      </w:r>
      <w:hyperlink w:anchor="ref-botvinova2020_bicomponent">
        <w:r>
          <w:rPr>
            <w:rStyle w:val="Hyperlink"/>
          </w:rPr>
          <w:t xml:space="preserve">Botvinova et al., 2020</w:t>
        </w:r>
      </w:hyperlink>
      <w:r>
        <w:t xml:space="preserve">;</w:t>
      </w:r>
      <w:r>
        <w:t xml:space="preserve"> </w:t>
      </w:r>
      <w:hyperlink w:anchor="ref-cardoso2013_resinasmamona">
        <w:r>
          <w:rPr>
            <w:rStyle w:val="Hyperlink"/>
          </w:rPr>
          <w:t xml:space="preserve">Cardoso &amp; Balaban, 2013</w:t>
        </w:r>
      </w:hyperlink>
      <w:r>
        <w:t xml:space="preserve">)</w:t>
      </w:r>
      <w:r>
        <w:t xml:space="preserve">. Após homogeneização em encoladeira por cinco minutos até distribuição uniforme das frações líquidas, o material foi prensado a 1 tonelada por 24 h em molde metálico, conforme representado na Figura 1. Os núcleos absorventes têm espessura de 50 mm com densidade de 0,625 g/cm³ e o geocomposto hidrorretensor completo 100 mm com densidade de 1,432 g/cm³.</w:t>
      </w:r>
    </w:p>
    <w:p>
      <w:pPr>
        <w:pStyle w:val="Corpodetexto"/>
      </w:pPr>
      <w:r>
        <w:t xml:space="preserve">Figura 1. Extração de fibras, tratamento químico e processo de desenvolvimento dos geocompostos naturais.</w:t>
      </w:r>
    </w:p>
    <w:p>
      <w:pPr>
        <w:pStyle w:val="Figure"/>
      </w:pPr>
      <w:r>
        <w:drawing>
          <wp:inline>
            <wp:extent cx="4391025" cy="2276475"/>
            <wp:effectExtent b="0" l="0" r="0" t="0"/>
            <wp:docPr descr="Figura 1. Extração de fibras, tratamento químico e processo de desenvolvimento dos geocompostos naturais." title="" id="23" name="Picture"/>
            <a:graphic>
              <a:graphicData uri="http://schemas.openxmlformats.org/drawingml/2006/picture">
                <pic:pic>
                  <pic:nvPicPr>
                    <pic:cNvPr descr="../2-IMG/Fig_001.png" id="24" name="Picture"/>
                    <pic:cNvPicPr>
                      <a:picLocks noChangeArrowheads="1" noChangeAspect="1"/>
                    </pic:cNvPicPr>
                  </pic:nvPicPr>
                  <pic:blipFill>
                    <a:blip r:embed="rId22"/>
                    <a:stretch>
                      <a:fillRect/>
                    </a:stretch>
                  </pic:blipFill>
                  <pic:spPr bwMode="auto">
                    <a:xfrm>
                      <a:off x="0" y="0"/>
                      <a:ext cx="4391025" cy="2276475"/>
                    </a:xfrm>
                    <a:prstGeom prst="rect">
                      <a:avLst/>
                    </a:prstGeom>
                    <a:noFill/>
                    <a:ln w="9525">
                      <a:noFill/>
                      <a:headEnd/>
                      <a:tailEnd/>
                    </a:ln>
                  </pic:spPr>
                </pic:pic>
              </a:graphicData>
            </a:graphic>
          </wp:inline>
        </w:drawing>
      </w:r>
    </w:p>
    <w:p>
      <w:pPr>
        <w:pStyle w:val="FirstParagraph"/>
      </w:pPr>
      <w:r>
        <w:t xml:space="preserve">Foram produzidas quatro formulações. A formulação N1 (formulação completa) foi composta por 24% de limbo, 20% de fibras, 20% de resina, 6% de solvente e 30% de espessante. A formulação N2 (sem resina) foi composta por 44% de limbo, 20% de água destilada, 6% de solvente e 30% de espessante, sem resina. A formulação N3 (resíduos vegetais) foi composta por 44% de limbo, 20% de resina, 6% de solvente e 30% de espessante. A formulação N4 (resíduos e fibras) foi composta por 24% de limbo, 20% de fibras, 26% de resina e 30% de espessante, sem solvente. A homogeneização foi feita em encoladeira por cinco minutos até distribuição uniforme das frações líquidas.</w:t>
      </w:r>
    </w:p>
    <w:bookmarkEnd w:id="25"/>
    <w:bookmarkStart w:id="26" w:name="caracterização-das-fibras"/>
    <w:p>
      <w:pPr>
        <w:pStyle w:val="Ttulo2"/>
      </w:pPr>
      <w:r>
        <w:t xml:space="preserve">Caracterização das Fibras</w:t>
      </w:r>
    </w:p>
    <w:p>
      <w:pPr>
        <w:pStyle w:val="FirstParagraph"/>
      </w:pPr>
      <w:r>
        <w:t xml:space="preserve">A caracterização química e morfológica das fibras de</w:t>
      </w:r>
      <w:r>
        <w:t xml:space="preserve"> </w:t>
      </w:r>
      <w:r>
        <w:rPr>
          <w:i/>
          <w:iCs/>
        </w:rPr>
        <w:t xml:space="preserve">Typha domingensis</w:t>
      </w:r>
      <w:r>
        <w:t xml:space="preserve"> </w:t>
      </w:r>
      <w:r>
        <w:t xml:space="preserve">foi realizada para verificar a integridade estrutural e a funcionalidade química do substrato fibroso após o processamento mecânico. A espectroscopia de infravermelho com transformada de Fourier (FTIR) foi conduzida para identificar grupos funcionais superficiais responsáveis pela hidrofilicidade e interação com a matriz polimérica. As análises foram realizadas em um espectrômetro PerkinElmer Spectrum Two, operando na faixa espectral de 4000 a 400 cm⁻¹ com resolução de 4 cm⁻¹ e 32 varreduras por amostra, utilizando pastilhas de KBr prensadas contendo 2 mg de fibra moída e seca a 60 °C.</w:t>
      </w:r>
    </w:p>
    <w:p>
      <w:pPr>
        <w:pStyle w:val="Corpodetexto"/>
      </w:pPr>
      <w:r>
        <w:t xml:space="preserve">A morfologia de superfície, crítica para a adesão interfacial no compósito, foi examinada por microscopia eletrônica de varredura (MEV) em um microscópio HITACHI TM 3000, operando com feixe de elétrons de 15 keV. As amostras foram previamente metalizadas com ouro para garantir condutividade elétrica. A estabilidade térmica do reforço fibroso, parâmetro determinante para o processamento de cura da resina, foi avaliada por termogravimetria (TGA) utilizando um analisador Shimadzu TGA-50. As amostras (aproximadamente 5 mg) foram aquecidas de 25 a 600 °C a uma taxa de 10 °C min⁻¹, sob atmosfera inerte de nitrogênio (fluxo de 100 mL min⁻¹).</w:t>
      </w:r>
    </w:p>
    <w:bookmarkEnd w:id="26"/>
    <w:bookmarkStart w:id="27" w:name="caracterização-química-das-formulações"/>
    <w:p>
      <w:pPr>
        <w:pStyle w:val="Ttulo2"/>
      </w:pPr>
      <w:r>
        <w:t xml:space="preserve">Caracterização Química das Formulações</w:t>
      </w:r>
    </w:p>
    <w:p>
      <w:pPr>
        <w:pStyle w:val="FirstParagraph"/>
      </w:pPr>
      <w:r>
        <w:t xml:space="preserve">O perfil nutricional e químico dos núcleos hidrorretentores (N1-N4) foi determinado para validar o potencial de aporte de macronutrientes e a reação do meio (pH). As análises foram conduzidas pelo Instituto Tecnológico e de Pesquisas do Estado de Sergipe (ITPS), adotando protocolos oficiais do Ministério da Agricultura, Pecuária e Abastecimento (MAPA) para fertilizantes orgânicos.</w:t>
      </w:r>
    </w:p>
    <w:p>
      <w:pPr>
        <w:pStyle w:val="Corpodetexto"/>
      </w:pPr>
      <w:r>
        <w:t xml:space="preserve">Foram quantificados os teores de Nitrogênio Total, Fósforo (solúvel em CNA + água e Total), Potássio (K⁺), Cálcio (Ca²⁺) e Magnésio (Mg²⁺), além do pH em suspensão aquosa. Esta caracterização visa dissociar o efeito físico de retenção hídrica do potencial efeito químico de fertilização de base conferido pela decomposição da matriz orgânica.</w:t>
      </w:r>
    </w:p>
    <w:bookmarkEnd w:id="27"/>
    <w:bookmarkStart w:id="36" w:name="avaliação-da-fitotoxicidade"/>
    <w:p>
      <w:pPr>
        <w:pStyle w:val="Ttulo2"/>
      </w:pPr>
      <w:r>
        <w:t xml:space="preserve">Avaliação da fitotoxicidade</w:t>
      </w:r>
    </w:p>
    <w:bookmarkStart w:id="28" w:name="preparação-dos-extratos-e-montagem"/>
    <w:p>
      <w:pPr>
        <w:pStyle w:val="Ttulo3"/>
      </w:pPr>
      <w:r>
        <w:t xml:space="preserve">Preparação dos extratos e montagem</w:t>
      </w:r>
    </w:p>
    <w:p>
      <w:pPr>
        <w:pStyle w:val="FirstParagraph"/>
      </w:pPr>
      <w:r>
        <w:t xml:space="preserve">Os extratos (N1-N4) e o controle (água destilada) foram preparados em proporção 1:10 (20 g para 180 mL de água destilada). O material foi submetido a agitação mecânica por 5 minutos em agitador orbital, seguido de repouso de 15 minutos em temperatura ambiente e filtração em papel filtro qualitativo para remoção de partículas sólidas. O pH de cada extrato foi determinado conforme método Embrapa</w:t>
      </w:r>
      <w:r>
        <w:t xml:space="preserve"> </w:t>
      </w:r>
      <w:r>
        <w:t xml:space="preserve">(</w:t>
      </w:r>
      <w:hyperlink w:anchor="ref-embrapa2009_ph">
        <w:r>
          <w:rPr>
            <w:rStyle w:val="Hyperlink"/>
          </w:rPr>
          <w:t xml:space="preserve">Embrapa, 2009</w:t>
        </w:r>
      </w:hyperlink>
      <w:r>
        <w:t xml:space="preserve">)</w:t>
      </w:r>
      <w:r>
        <w:t xml:space="preserve"> </w:t>
      </w:r>
      <w:r>
        <w:t xml:space="preserve">utilizando potenciômetro digital calibrado.</w:t>
      </w:r>
    </w:p>
    <w:p>
      <w:pPr>
        <w:pStyle w:val="Corpodetexto"/>
      </w:pPr>
      <w:r>
        <w:t xml:space="preserve">As sementes de rúcula foram submetidas a processo de assepsia rigorosa para eliminar contaminações fúngicas, com imersão em álcool etílico 70% por 1 minuto, seguida de imersão em solução de hipoclorito de sódio 0,2% por 1 minuto e três lavagens sucessivas em água destilada autoclavada de 1 minuto cada, utilizando pinça flambada para transferência entre soluções. Após a assepsia, as sementes foram dispostas em caixas Gerbox (acrílico transparente 11 × 11 × 3,5 cm) contendo papel filtro tipo qualitativo previamente autoclavado, umedecido com os extratos preparados na proporção de 2,5 vezes o peso seco do substrato. Cada tratamento utilizou 100 sementes distribuídas em cinco caixas Gerbox (20 sementes por caixa). As caixas foram mantidas em incubadora (câmara de crescimento) BOD a temperatura controlada de 20 °C, sob fotoperíodo de 8/16 h (luz/escuro) por período total de 10 dias.</w:t>
      </w:r>
    </w:p>
    <w:bookmarkEnd w:id="28"/>
    <w:bookmarkStart w:id="32" w:name="efeito-dos-extratos-sobre-a-germinação"/>
    <w:p>
      <w:pPr>
        <w:pStyle w:val="Ttulo3"/>
      </w:pPr>
      <w:r>
        <w:t xml:space="preserve">Efeito dos extratos sobre a germinação</w:t>
      </w:r>
    </w:p>
    <w:p>
      <w:pPr>
        <w:pStyle w:val="FirstParagraph"/>
      </w:pPr>
      <w:r>
        <w:t xml:space="preserve">A cinética germinativa foi parametrizada pelo Índice de Velocidade de Germinação (IVG), calculado pelo somatório da razão entre germinação diária e tempo (Eq. 1), conforme metodologia de Maguire</w:t>
      </w:r>
      <w:r>
        <w:t xml:space="preserve"> </w:t>
      </w:r>
      <w:r>
        <w:t xml:space="preserve">(</w:t>
      </w:r>
      <w:hyperlink w:anchor="ref-maguire1962_speed">
        <w:r>
          <w:rPr>
            <w:rStyle w:val="Hyperlink"/>
          </w:rPr>
          <w:t xml:space="preserve">Maguire, 1962</w:t>
        </w:r>
      </w:hyperlink>
      <w:r>
        <w:t xml:space="preserve">)</w:t>
      </w:r>
      <w:r>
        <w:t xml:space="preserve">:</w:t>
      </w:r>
    </w:p>
    <w:p>
      <w:pPr>
        <w:pStyle w:val="Corpodetexto"/>
      </w:pPr>
      <m:oMathPara>
        <m:oMathParaPr>
          <m:jc m:val="center"/>
        </m:oMathParaPr>
        <m:oMath>
          <m:r>
            <m:t>I</m:t>
          </m:r>
          <m:r>
            <m:t>V</m:t>
          </m:r>
          <m:r>
            <m:t>G</m:t>
          </m:r>
          <m:r>
            <m:rPr>
              <m:sty m:val="p"/>
            </m:rPr>
            <m:t>=</m:t>
          </m:r>
          <m:nary>
            <m:naryPr>
              <m:chr m:val="∑"/>
              <m:limLoc m:val="undOvr"/>
              <m:subHide m:val="off"/>
              <m:supHide m:val="off"/>
            </m:naryPr>
            <m:sub>
              <m:r>
                <m:t>i</m:t>
              </m:r>
              <m:r>
                <m:rPr>
                  <m:sty m:val="p"/>
                </m:rPr>
                <m:t>=</m:t>
              </m:r>
              <m:r>
                <m:t>1</m:t>
              </m:r>
            </m:sub>
            <m:sup>
              <m:r>
                <m:t>n</m:t>
              </m:r>
            </m:sup>
            <m:e>
              <m:f>
                <m:fPr>
                  <m:type m:val="bar"/>
                </m:fPr>
                <m:num>
                  <m:sSub>
                    <m:e>
                      <m:r>
                        <m:t>G</m:t>
                      </m:r>
                    </m:e>
                    <m:sub>
                      <m:r>
                        <m:t>i</m:t>
                      </m:r>
                    </m:sub>
                  </m:sSub>
                </m:num>
                <m:den>
                  <m:sSub>
                    <m:e>
                      <m:r>
                        <m:t>N</m:t>
                      </m:r>
                    </m:e>
                    <m:sub>
                      <m:r>
                        <m:t>i</m:t>
                      </m:r>
                    </m:sub>
                  </m:sSub>
                </m:den>
              </m:f>
            </m:e>
          </m:nary>
        </m:oMath>
      </m:oMathPara>
    </w:p>
    <w:p>
      <w:pPr>
        <w:pStyle w:val="FirstParagraph"/>
      </w:pPr>
      <w:r>
        <w:t xml:space="preserve">Simultaneamente, a uniformidade do processo foi aferida pelo Tempo Médio de Germinação (TMG), definido pela média ponderada dos eventos germinativos (Eq. 2), segundo Labouriau</w:t>
      </w:r>
      <w:r>
        <w:t xml:space="preserve"> </w:t>
      </w:r>
      <w:r>
        <w:t xml:space="preserve">(</w:t>
      </w:r>
      <w:hyperlink w:anchor="ref-labouriau1983_germinacao">
        <w:r>
          <w:rPr>
            <w:rStyle w:val="Hyperlink"/>
          </w:rPr>
          <w:t xml:space="preserve">Labouriau, 1983</w:t>
        </w:r>
      </w:hyperlink>
      <w:r>
        <w:t xml:space="preserve">)</w:t>
      </w:r>
      <w:r>
        <w:t xml:space="preserve">:</w:t>
      </w:r>
    </w:p>
    <w:p>
      <w:pPr>
        <w:pStyle w:val="Corpodetexto"/>
      </w:pPr>
      <m:oMathPara>
        <m:oMathParaPr>
          <m:jc m:val="center"/>
        </m:oMathParaPr>
        <m:oMath>
          <m:r>
            <m:t>T</m:t>
          </m:r>
          <m:r>
            <m:t>M</m:t>
          </m:r>
          <m:r>
            <m:t>G</m:t>
          </m:r>
          <m:r>
            <m:rPr>
              <m:sty m:val="p"/>
            </m:rPr>
            <m:t>=</m:t>
          </m:r>
          <m:f>
            <m:fPr>
              <m:type m:val="bar"/>
            </m:fPr>
            <m:num>
              <m:r>
                <m:rPr>
                  <m:sty m:val="p"/>
                </m:rPr>
                <m:t>∑</m:t>
              </m:r>
              <m:sSub>
                <m:e>
                  <m:r>
                    <m:t>G</m:t>
                  </m:r>
                </m:e>
                <m:sub>
                  <m:r>
                    <m:t>i</m:t>
                  </m:r>
                </m:sub>
              </m:sSub>
              <m:sSub>
                <m:e>
                  <m:r>
                    <m:t>T</m:t>
                  </m:r>
                </m:e>
                <m:sub>
                  <m:r>
                    <m:t>i</m:t>
                  </m:r>
                </m:sub>
              </m:sSub>
            </m:num>
            <m:den>
              <m:r>
                <m:rPr>
                  <m:sty m:val="p"/>
                </m:rPr>
                <m:t>∑</m:t>
              </m:r>
              <m:sSub>
                <m:e>
                  <m:r>
                    <m:t>G</m:t>
                  </m:r>
                </m:e>
                <m:sub>
                  <m:r>
                    <m:t>i</m:t>
                  </m:r>
                </m:sub>
              </m:sSub>
            </m:den>
          </m:f>
        </m:oMath>
      </m:oMathPara>
    </w:p>
    <w:p>
      <w:pPr>
        <w:pStyle w:val="FirstParagraph"/>
      </w:pPr>
      <w:r>
        <w:t xml:space="preserve">A magnitude da interferência fitotóxica ou bioestimulante foi determinada pela variação percentual dos parâmetros biológicos em relação ao controle (Eq. 3), onde</w:t>
      </w:r>
      <w:r>
        <w:t xml:space="preserve"> </w:t>
      </w:r>
      <m:oMath>
        <m:sSub>
          <m:e>
            <m:r>
              <m:t>X</m:t>
            </m:r>
          </m:e>
          <m:sub>
            <m:r>
              <m:t>T</m:t>
            </m:r>
          </m:sub>
        </m:sSub>
      </m:oMath>
      <w:r>
        <w:t xml:space="preserve"> </w:t>
      </w:r>
      <w:r>
        <w:t xml:space="preserve">e</w:t>
      </w:r>
      <w:r>
        <w:t xml:space="preserve"> </w:t>
      </w:r>
      <m:oMath>
        <m:sSub>
          <m:e>
            <m:r>
              <m:t>X</m:t>
            </m:r>
          </m:e>
          <m:sub>
            <m:r>
              <m:t>C</m:t>
            </m:r>
          </m:sub>
        </m:sSub>
      </m:oMath>
      <w:r>
        <w:t xml:space="preserve"> </w:t>
      </w:r>
      <w:r>
        <w:t xml:space="preserve">representam os valores médios das variáveis resposta no tratamento e no controle, respectivamente:</w:t>
      </w:r>
    </w:p>
    <w:p>
      <w:pPr>
        <w:pStyle w:val="Corpodetexto"/>
      </w:pPr>
      <m:oMathPara>
        <m:oMathParaPr>
          <m:jc m:val="center"/>
        </m:oMathParaPr>
        <m:oMath>
          <m:r>
            <m:rPr>
              <m:nor/>
              <m:sty m:val="p"/>
            </m:rPr>
            <m:t>Inibição (%)</m:t>
          </m:r>
          <m:r>
            <m:rPr>
              <m:sty m:val="p"/>
            </m:rPr>
            <m:t>=</m:t>
          </m:r>
          <m:f>
            <m:fPr>
              <m:type m:val="bar"/>
            </m:fPr>
            <m:num>
              <m:sSub>
                <m:e>
                  <m:r>
                    <m:t>X</m:t>
                  </m:r>
                </m:e>
                <m:sub>
                  <m:r>
                    <m:t>T</m:t>
                  </m:r>
                </m:sub>
              </m:sSub>
              <m:r>
                <m:rPr>
                  <m:sty m:val="p"/>
                </m:rPr>
                <m:t>−</m:t>
              </m:r>
              <m:sSub>
                <m:e>
                  <m:r>
                    <m:t>X</m:t>
                  </m:r>
                </m:e>
                <m:sub>
                  <m:r>
                    <m:t>C</m:t>
                  </m:r>
                </m:sub>
              </m:sSub>
            </m:num>
            <m:den>
              <m:sSub>
                <m:e>
                  <m:r>
                    <m:t>X</m:t>
                  </m:r>
                </m:e>
                <m:sub>
                  <m:r>
                    <m:t>C</m:t>
                  </m:r>
                </m:sub>
              </m:sSub>
            </m:den>
          </m:f>
          <m:r>
            <m:rPr>
              <m:sty m:val="p"/>
            </m:rPr>
            <m:t>×</m:t>
          </m:r>
          <m:r>
            <m:t>100</m:t>
          </m:r>
        </m:oMath>
      </m:oMathPara>
    </w:p>
    <w:p>
      <w:pPr>
        <w:pStyle w:val="FirstParagraph"/>
      </w:pPr>
      <w:r>
        <w:t xml:space="preserve">Para paralisar o metabolismo e preservar a arquitetura tecidual visando a análise morfométrica digital, as plântulas foram submetidas ao congelamento (-10 °C; 24 h) imediatamente após o período experimental de 10 dias, sendo posteriormente mensuradas (raiz e parte aérea) via processamento de imagem no software ImageJ.</w:t>
      </w:r>
    </w:p>
    <w:p>
      <w:pPr>
        <w:pStyle w:val="Corpodetexto"/>
      </w:pPr>
      <w:r>
        <w:t xml:space="preserve">Figura 2. (a) Estruturas morfológicas avaliadas (raiz, tegumento e hipocótilo) das plântulas de rúcula (</w:t>
      </w:r>
      <w:r>
        <w:rPr>
          <w:i/>
          <w:iCs/>
        </w:rPr>
        <w:t xml:space="preserve">Eruca sativa</w:t>
      </w:r>
      <w:r>
        <w:t xml:space="preserve">) e (b) distribuição das sementes germinadas em caixas Gerbox submetidas aos diferentes tratamentos (N1, N2, N3, N4 e controle).</w:t>
      </w:r>
    </w:p>
    <w:p>
      <w:pPr>
        <w:pStyle w:val="Figure"/>
      </w:pPr>
      <w:r>
        <w:drawing>
          <wp:inline>
            <wp:extent cx="5010150" cy="1857375"/>
            <wp:effectExtent b="0" l="0" r="0" t="0"/>
            <wp:docPr descr="Figura 2. (a) Estruturas morfológicas avaliadas (raiz, tegumento e hipocótilo) das plântulas de rúcula (Eruca sativa) e (b) distribuição das sementes germinadas em caixas Gerbox submetidas aos diferentes tratamentos (N1, N2, N3, N4 e controle)." title="" id="30" name="Picture"/>
            <a:graphic>
              <a:graphicData uri="http://schemas.openxmlformats.org/drawingml/2006/picture">
                <pic:pic>
                  <pic:nvPicPr>
                    <pic:cNvPr descr="../2-IMG/Fig_002.png" id="31" name="Picture"/>
                    <pic:cNvPicPr>
                      <a:picLocks noChangeArrowheads="1" noChangeAspect="1"/>
                    </pic:cNvPicPr>
                  </pic:nvPicPr>
                  <pic:blipFill>
                    <a:blip r:embed="rId29"/>
                    <a:stretch>
                      <a:fillRect/>
                    </a:stretch>
                  </pic:blipFill>
                  <pic:spPr bwMode="auto">
                    <a:xfrm>
                      <a:off x="0" y="0"/>
                      <a:ext cx="5010150" cy="1857375"/>
                    </a:xfrm>
                    <a:prstGeom prst="rect">
                      <a:avLst/>
                    </a:prstGeom>
                    <a:noFill/>
                    <a:ln w="9525">
                      <a:noFill/>
                      <a:headEnd/>
                      <a:tailEnd/>
                    </a:ln>
                  </pic:spPr>
                </pic:pic>
              </a:graphicData>
            </a:graphic>
          </wp:inline>
        </w:drawing>
      </w:r>
    </w:p>
    <w:bookmarkEnd w:id="32"/>
    <w:bookmarkStart w:id="35" w:name="Xe06e0de3964ef3e8f05a9a9c4dbc7fb6d130821"/>
    <w:p>
      <w:pPr>
        <w:pStyle w:val="Ttulo3"/>
      </w:pPr>
      <w:r>
        <w:t xml:space="preserve">Avaliação do crescimento e da produção conduzidos em solo</w:t>
      </w:r>
    </w:p>
    <w:bookmarkStart w:id="33" w:name="primeiro-bioensaio-bandejas"/>
    <w:p>
      <w:pPr>
        <w:pStyle w:val="Ttulo4"/>
      </w:pPr>
      <w:r>
        <w:t xml:space="preserve">Primeiro bioensaio (bandejas)</w:t>
      </w:r>
    </w:p>
    <w:p>
      <w:pPr>
        <w:pStyle w:val="FirstParagraph"/>
      </w:pPr>
      <w:r>
        <w:t xml:space="preserve">A configuração experimental em mesocosmo adotou o Delineamento Inteiramente Casualizado (DIC), totalizando 20 repetições por tratamento (N1-N4 e controle). A matriz edáfica de suporte foi reconstituída através de uma mistura ternária equiproporcional (1:1:1 v/v) de Neossolo Quartzarênico, substrato orgânico comercial e húmus, com massa padronizada de 50 g por unidade experimental inoculada com o núcleo. O protocolo de estabelecimento da cultura envolveu semeadura em duplicata com raleio de ajuste populacional para um indivíduo remanescente no 8º dia após a emergência (DAE), mantendo-se regime de irrigação diária e suplementação nutricional via núcleo a cada 15 dias (início: 15º DAE). A fase de crescimento estendeu-se por 44 dias, após os quais um subgrupo (n=5) foi direcionado ao bioensaio subsequente.</w:t>
      </w:r>
    </w:p>
    <w:p>
      <w:pPr>
        <w:pStyle w:val="Corpodetexto"/>
      </w:pPr>
      <w:r>
        <w:t xml:space="preserve">A modelagem do crescimento vegetal baseou-se em índices adimensionais de performance relativa. A eficiência de elongação dos tecidos radiculares (Eq. 4) e da parte aérea (Eq. 5) foi determinada pela razão normalizada entre as médias biométricas dos tratamentos (</w:t>
      </w:r>
      <m:oMath>
        <m:sSub>
          <m:e>
            <m:r>
              <m:t>R</m:t>
            </m:r>
          </m:e>
          <m:sub>
            <m:r>
              <m:t>T</m:t>
            </m:r>
          </m:sub>
        </m:sSub>
        <m:r>
          <m:rPr>
            <m:sty m:val="p"/>
          </m:rPr>
          <m:t>,</m:t>
        </m:r>
        <m:sSub>
          <m:e>
            <m:r>
              <m:t>A</m:t>
            </m:r>
          </m:e>
          <m:sub>
            <m:r>
              <m:t>T</m:t>
            </m:r>
          </m:sub>
        </m:sSub>
      </m:oMath>
      <w:r>
        <w:t xml:space="preserve">) e do controle (</w:t>
      </w:r>
      <m:oMath>
        <m:sSub>
          <m:e>
            <m:r>
              <m:t>R</m:t>
            </m:r>
          </m:e>
          <m:sub>
            <m:r>
              <m:t>C</m:t>
            </m:r>
          </m:sub>
        </m:sSub>
        <m:r>
          <m:rPr>
            <m:sty m:val="p"/>
          </m:rPr>
          <m:t>,</m:t>
        </m:r>
        <m:sSub>
          <m:e>
            <m:r>
              <m:t>A</m:t>
            </m:r>
          </m:e>
          <m:sub>
            <m:r>
              <m:t>C</m:t>
            </m:r>
          </m:sub>
        </m:sSub>
      </m:oMath>
      <w:r>
        <w:t xml:space="preserve">):</w:t>
      </w:r>
    </w:p>
    <w:p>
      <w:pPr>
        <w:pStyle w:val="Corpodetexto"/>
      </w:pPr>
      <m:oMathPara>
        <m:oMathParaPr>
          <m:jc m:val="center"/>
        </m:oMathParaPr>
        <m:oMath>
          <m:r>
            <m:t>R</m:t>
          </m:r>
          <m:r>
            <m:rPr>
              <m:sty m:val="p"/>
            </m:rPr>
            <m:t>%</m:t>
          </m:r>
          <m:r>
            <m:rPr>
              <m:sty m:val="p"/>
            </m:rPr>
            <m:t>=</m:t>
          </m:r>
          <m:f>
            <m:fPr>
              <m:type m:val="bar"/>
            </m:fPr>
            <m:num>
              <m:sSub>
                <m:e>
                  <m:r>
                    <m:t>R</m:t>
                  </m:r>
                </m:e>
                <m:sub>
                  <m:r>
                    <m:t>T</m:t>
                  </m:r>
                </m:sub>
              </m:sSub>
            </m:num>
            <m:den>
              <m:sSub>
                <m:e>
                  <m:r>
                    <m:t>R</m:t>
                  </m:r>
                </m:e>
                <m:sub>
                  <m:r>
                    <m:t>C</m:t>
                  </m:r>
                </m:sub>
              </m:sSub>
            </m:den>
          </m:f>
          <m:r>
            <m:rPr>
              <m:sty m:val="p"/>
            </m:rPr>
            <m:t>×</m:t>
          </m:r>
          <m:r>
            <m:t>100</m:t>
          </m:r>
        </m:oMath>
      </m:oMathPara>
    </w:p>
    <w:p>
      <w:pPr>
        <w:pStyle w:val="FirstParagraph"/>
      </w:pPr>
      <m:oMathPara>
        <m:oMathParaPr>
          <m:jc m:val="center"/>
        </m:oMathParaPr>
        <m:oMath>
          <m:r>
            <m:t>C</m:t>
          </m:r>
          <m:r>
            <m:t>P</m:t>
          </m:r>
          <m:r>
            <m:t>A</m:t>
          </m:r>
          <m:r>
            <m:rPr>
              <m:sty m:val="p"/>
            </m:rPr>
            <m:t>%</m:t>
          </m:r>
          <m:r>
            <m:rPr>
              <m:sty m:val="p"/>
            </m:rPr>
            <m:t>=</m:t>
          </m:r>
          <m:f>
            <m:fPr>
              <m:type m:val="bar"/>
            </m:fPr>
            <m:num>
              <m:sSub>
                <m:e>
                  <m:r>
                    <m:t>A</m:t>
                  </m:r>
                </m:e>
                <m:sub>
                  <m:r>
                    <m:t>T</m:t>
                  </m:r>
                </m:sub>
              </m:sSub>
            </m:num>
            <m:den>
              <m:sSub>
                <m:e>
                  <m:r>
                    <m:t>A</m:t>
                  </m:r>
                </m:e>
                <m:sub>
                  <m:r>
                    <m:t>C</m:t>
                  </m:r>
                </m:sub>
              </m:sSub>
            </m:den>
          </m:f>
          <m:r>
            <m:rPr>
              <m:sty m:val="p"/>
            </m:rPr>
            <m:t>×</m:t>
          </m:r>
          <m:r>
            <m:t>100</m:t>
          </m:r>
        </m:oMath>
      </m:oMathPara>
    </w:p>
    <w:p>
      <w:pPr>
        <w:pStyle w:val="FirstParagraph"/>
      </w:pPr>
      <w:r>
        <w:t xml:space="preserve">O vigor global do lote (</w:t>
      </w:r>
      <m:oMath>
        <m:r>
          <m:t>I</m:t>
        </m:r>
        <m:r>
          <m:t>V</m:t>
        </m:r>
        <m:r>
          <m:t>P</m:t>
        </m:r>
        <m:r>
          <m:rPr>
            <m:sty m:val="p"/>
          </m:rPr>
          <m:t>%</m:t>
        </m:r>
      </m:oMath>
      <w:r>
        <w:t xml:space="preserve">) integrou a capacidade germinativa (</w:t>
      </w:r>
      <m:oMath>
        <m:r>
          <m:t>G</m:t>
        </m:r>
        <m:r>
          <m:rPr>
            <m:sty m:val="p"/>
          </m:rPr>
          <m:t>%</m:t>
        </m:r>
      </m:oMath>
      <w:r>
        <w:t xml:space="preserve">) e o crescimento total da plântula (</w:t>
      </w:r>
      <m:oMath>
        <m:r>
          <m:t>C</m:t>
        </m:r>
        <m:r>
          <m:t>T</m:t>
        </m:r>
        <m:r>
          <m:t>P</m:t>
        </m:r>
      </m:oMath>
      <w:r>
        <w:t xml:space="preserve">) em um indicador único de robustez fisiológica (Eq. 6). Estruturalmente, a compacidade do sistema radicular foi aferida pela Densidade Radicular (</w:t>
      </w:r>
      <m:oMath>
        <m:r>
          <m:t>D</m:t>
        </m:r>
        <m:r>
          <m:t>e</m:t>
        </m:r>
        <m:r>
          <m:t>n</m:t>
        </m:r>
        <m:r>
          <m:t>s</m:t>
        </m:r>
        <m:r>
          <m:t>R</m:t>
        </m:r>
        <m:r>
          <m:t>a</m:t>
        </m:r>
        <m:r>
          <m:t>d</m:t>
        </m:r>
      </m:oMath>
      <w:r>
        <w:t xml:space="preserve">), expressando a alocação de biomassa por unidade de volume ocupado (Eq. 7):</w:t>
      </w:r>
    </w:p>
    <w:p>
      <w:pPr>
        <w:pStyle w:val="Corpodetexto"/>
      </w:pPr>
      <m:oMathPara>
        <m:oMathParaPr>
          <m:jc m:val="center"/>
        </m:oMathParaPr>
        <m:oMath>
          <m:r>
            <m:t>I</m:t>
          </m:r>
          <m:r>
            <m:t>V</m:t>
          </m:r>
          <m:r>
            <m:t>P</m:t>
          </m:r>
          <m:r>
            <m:rPr>
              <m:sty m:val="p"/>
            </m:rPr>
            <m:t>%</m:t>
          </m:r>
          <m:r>
            <m:rPr>
              <m:sty m:val="p"/>
            </m:rPr>
            <m:t>=</m:t>
          </m:r>
          <m:f>
            <m:fPr>
              <m:type m:val="bar"/>
            </m:fPr>
            <m:num>
              <m:r>
                <m:t>G</m:t>
              </m:r>
              <m:r>
                <m:rPr>
                  <m:sty m:val="p"/>
                </m:rPr>
                <m:t>%</m:t>
              </m:r>
              <m:r>
                <m:rPr>
                  <m:sty m:val="p"/>
                </m:rPr>
                <m:t>×</m:t>
              </m:r>
              <m:r>
                <m:t>C</m:t>
              </m:r>
              <m:r>
                <m:t>T</m:t>
              </m:r>
              <m:r>
                <m:t>P</m:t>
              </m:r>
            </m:num>
            <m:den>
              <m:r>
                <m:t>100</m:t>
              </m:r>
            </m:den>
          </m:f>
        </m:oMath>
      </m:oMathPara>
    </w:p>
    <w:p>
      <w:pPr>
        <w:pStyle w:val="FirstParagraph"/>
      </w:pPr>
      <m:oMathPara>
        <m:oMathParaPr>
          <m:jc m:val="center"/>
        </m:oMathParaPr>
        <m:oMath>
          <m:r>
            <m:rPr>
              <m:nor/>
              <m:sty m:val="p"/>
            </m:rPr>
            <m:t>DensRad</m:t>
          </m:r>
          <m:r>
            <m:rPr>
              <m:sty m:val="p"/>
            </m:rPr>
            <m:t>=</m:t>
          </m:r>
          <m:f>
            <m:fPr>
              <m:type m:val="bar"/>
            </m:fPr>
            <m:num>
              <m:r>
                <m:rPr>
                  <m:nor/>
                  <m:sty m:val="p"/>
                </m:rPr>
                <m:t>massa radicular (g)</m:t>
              </m:r>
            </m:num>
            <m:den>
              <m:sSup>
                <m:e>
                  <m:r>
                    <m:rPr>
                      <m:nor/>
                      <m:sty m:val="p"/>
                    </m:rPr>
                    <m:t>volume radicular (cm</m:t>
                  </m:r>
                </m:e>
                <m:sup>
                  <m:r>
                    <m:t>3</m:t>
                  </m:r>
                </m:sup>
              </m:sSup>
              <m:r>
                <m:rPr>
                  <m:sty m:val="p"/>
                </m:rPr>
                <m:t>)</m:t>
              </m:r>
            </m:den>
          </m:f>
        </m:oMath>
      </m:oMathPara>
    </w:p>
    <w:p>
      <w:pPr>
        <w:pStyle w:val="FirstParagraph"/>
      </w:pPr>
      <w:r>
        <w:t xml:space="preserve">Finalmente, a contribuição relativa do bioinsumo para o acúmulo de biomassa foi quantificada pelo índice de Dependência do Núcleo (</w:t>
      </w:r>
      <m:oMath>
        <m:r>
          <m:t>D</m:t>
        </m:r>
        <m:r>
          <m:t>N</m:t>
        </m:r>
        <m:r>
          <m:rPr>
            <m:sty m:val="p"/>
          </m:rPr>
          <m:t>%</m:t>
        </m:r>
      </m:oMath>
      <w:r>
        <w:t xml:space="preserve">), comparando-se a produção de matéria seca no sistema condicionado (</w:t>
      </w:r>
      <m:oMath>
        <m:r>
          <m:t>M</m:t>
        </m:r>
        <m:sSub>
          <m:e>
            <m:r>
              <m:t>S</m:t>
            </m:r>
          </m:e>
          <m:sub>
            <m:r>
              <m:t>C</m:t>
            </m:r>
            <m:r>
              <m:t>S</m:t>
            </m:r>
          </m:sub>
        </m:sSub>
      </m:oMath>
      <w:r>
        <w:t xml:space="preserve">) versus o sistema não-suplementado (</w:t>
      </w:r>
      <m:oMath>
        <m:r>
          <m:t>M</m:t>
        </m:r>
        <m:sSub>
          <m:e>
            <m:r>
              <m:t>S</m:t>
            </m:r>
          </m:e>
          <m:sub>
            <m:r>
              <m:t>S</m:t>
            </m:r>
            <m:r>
              <m:t>S</m:t>
            </m:r>
          </m:sub>
        </m:sSub>
      </m:oMath>
      <w:r>
        <w:t xml:space="preserve">) (Eq. 8):</w:t>
      </w:r>
    </w:p>
    <w:p>
      <w:pPr>
        <w:pStyle w:val="Corpodetexto"/>
      </w:pPr>
      <m:oMathPara>
        <m:oMathParaPr>
          <m:jc m:val="center"/>
        </m:oMathParaPr>
        <m:oMath>
          <m:r>
            <m:t>D</m:t>
          </m:r>
          <m:r>
            <m:t>N</m:t>
          </m:r>
          <m:r>
            <m:rPr>
              <m:sty m:val="p"/>
            </m:rPr>
            <m:t>%</m:t>
          </m:r>
          <m:r>
            <m:rPr>
              <m:sty m:val="p"/>
            </m:rPr>
            <m:t>=</m:t>
          </m:r>
          <m:f>
            <m:fPr>
              <m:type m:val="bar"/>
            </m:fPr>
            <m:num>
              <m:r>
                <m:t>M</m:t>
              </m:r>
              <m:sSub>
                <m:e>
                  <m:r>
                    <m:t>S</m:t>
                  </m:r>
                </m:e>
                <m:sub>
                  <m:r>
                    <m:t>C</m:t>
                  </m:r>
                  <m:r>
                    <m:t>S</m:t>
                  </m:r>
                </m:sub>
              </m:sSub>
              <m:r>
                <m:rPr>
                  <m:sty m:val="p"/>
                </m:rPr>
                <m:t>−</m:t>
              </m:r>
              <m:r>
                <m:t>M</m:t>
              </m:r>
              <m:sSub>
                <m:e>
                  <m:r>
                    <m:t>S</m:t>
                  </m:r>
                </m:e>
                <m:sub>
                  <m:r>
                    <m:t>S</m:t>
                  </m:r>
                  <m:r>
                    <m:t>S</m:t>
                  </m:r>
                </m:sub>
              </m:sSub>
            </m:num>
            <m:den>
              <m:r>
                <m:t>M</m:t>
              </m:r>
              <m:sSub>
                <m:e>
                  <m:r>
                    <m:t>S</m:t>
                  </m:r>
                </m:e>
                <m:sub>
                  <m:r>
                    <m:t>C</m:t>
                  </m:r>
                  <m:r>
                    <m:t>S</m:t>
                  </m:r>
                </m:sub>
              </m:sSub>
            </m:den>
          </m:f>
          <m:r>
            <m:rPr>
              <m:sty m:val="p"/>
            </m:rPr>
            <m:t>×</m:t>
          </m:r>
          <m:r>
            <m:t>100</m:t>
          </m:r>
        </m:oMath>
      </m:oMathPara>
    </w:p>
    <w:bookmarkEnd w:id="33"/>
    <w:bookmarkStart w:id="34" w:name="análise-estatística"/>
    <w:p>
      <w:pPr>
        <w:pStyle w:val="Ttulo4"/>
      </w:pPr>
      <w:r>
        <w:t xml:space="preserve">Análise estatística</w:t>
      </w:r>
    </w:p>
    <w:p>
      <w:pPr>
        <w:pStyle w:val="FirstParagraph"/>
      </w:pPr>
      <w:r>
        <w:t xml:space="preserve">A arquitetura analítica foi fundamentada no Delineamento Inteiramente Casualizado (DIC), precedida pela validação rigorosa das premissas de normalidade residual (Shapiro-Wilk) e homoscedasticidade de variâncias (Levene). Visando mitigar a instabilidade inerente a conjuntos de dados biológicos finitos e garantir a robustez dos estimadores fora da normalidade assintótica ideal, implementou-se a técnica de reamostragem por</w:t>
      </w:r>
      <w:r>
        <w:t xml:space="preserve"> </w:t>
      </w:r>
      <w:r>
        <w:rPr>
          <w:i/>
          <w:iCs/>
        </w:rPr>
        <w:t xml:space="preserve">bootstrapping</w:t>
      </w:r>
      <w:r>
        <w:t xml:space="preserve"> </w:t>
      </w:r>
      <w:r>
        <w:t xml:space="preserve">com 1.000 iterações. Este procedimento gerou Intervalos de Confiança de 95% com correção de viés e aceleração (BCa), oferecendo uma inferência mais segura sobre a média populacional.</w:t>
      </w:r>
    </w:p>
    <w:p>
      <w:pPr>
        <w:pStyle w:val="Corpodetexto"/>
      </w:pPr>
      <w:r>
        <w:t xml:space="preserve">A segregação de médias</w:t>
      </w:r>
      <w:r>
        <w:t xml:space="preserve"> </w:t>
      </w:r>
      <w:r>
        <w:rPr>
          <w:i/>
          <w:iCs/>
        </w:rPr>
        <w:t xml:space="preserve">post-hoc</w:t>
      </w:r>
      <w:r>
        <w:t xml:space="preserve"> </w:t>
      </w:r>
      <w:r>
        <w:t xml:space="preserve">utilizou o teste de Tukey HSD (p &lt; 0,05) como controle do erro em comparações múltiplas, o que permite interpretar diferenças entre pares de tratamentos sem inflar a taxa de falso positivo em matrizes com múltiplas respostas</w:t>
      </w:r>
      <w:r>
        <w:t xml:space="preserve"> </w:t>
      </w:r>
      <w:r>
        <w:t xml:space="preserve">(</w:t>
      </w:r>
      <w:hyperlink w:anchor="ref-hsu1996_multiplecomparisons">
        <w:r>
          <w:rPr>
            <w:rStyle w:val="Hyperlink"/>
          </w:rPr>
          <w:t xml:space="preserve">Hsu, 1996</w:t>
        </w:r>
      </w:hyperlink>
      <w:r>
        <w:t xml:space="preserve">)</w:t>
      </w:r>
      <w:r>
        <w:t xml:space="preserve">. Em paralelo, pontos extremos foram diagnosticados por grupo de tratamento por meio do critério 1,5 vezes o intervalo interquartil, removendo-se apenas observações que distorciam a dispersão empírica sem representar o regime central do processo, procedimento aplicado às respostas morfométricas e cinéticas antes da estimação de médias e do ajuste de modelos. Além da significância estatística, a magnitude do fenômeno biológico foi dimensionada pelas métricas de tamanho de efeito (</w:t>
      </w:r>
      <w:r>
        <w:rPr>
          <w:i/>
          <w:iCs/>
        </w:rPr>
        <w:t xml:space="preserve">d</w:t>
      </w:r>
      <w:r>
        <w:t xml:space="preserve"> </w:t>
      </w:r>
      <w:r>
        <w:t xml:space="preserve">de Cohen e</w:t>
      </w:r>
      <w:r>
        <w:t xml:space="preserve"> </w:t>
      </w:r>
      <m:oMath>
        <m:sSup>
          <m:e>
            <m:r>
              <m:t>η</m:t>
            </m:r>
          </m:e>
          <m:sup>
            <m:r>
              <m:t>2</m:t>
            </m:r>
          </m:sup>
        </m:sSup>
      </m:oMath>
      <w:r>
        <w:t xml:space="preserve"> </w:t>
      </w:r>
      <w:r>
        <w:t xml:space="preserve">parcial), permitindo a interpretação da relevância prática das intervenções.</w:t>
      </w:r>
    </w:p>
    <w:p>
      <w:pPr>
        <w:pStyle w:val="Corpodetexto"/>
      </w:pPr>
      <w:r>
        <w:t xml:space="preserve">As métricas de sorção (</w:t>
      </w:r>
      <m:oMath>
        <m:r>
          <m:rPr>
            <m:sty m:val="p"/>
          </m:rPr>
          <m:t>Δ</m:t>
        </m:r>
        <m:r>
          <m:t>m</m:t>
        </m:r>
      </m:oMath>
      <w:r>
        <w:t xml:space="preserve"> </w:t>
      </w:r>
      <w:r>
        <w:t xml:space="preserve">e</w:t>
      </w:r>
      <w:r>
        <w:t xml:space="preserve"> </w:t>
      </w:r>
      <m:oMath>
        <m:r>
          <m:rPr>
            <m:sty m:val="p"/>
          </m:rPr>
          <m:t>Δ</m:t>
        </m:r>
        <m:sSub>
          <m:e>
            <m:r>
              <m:t>m</m:t>
            </m:r>
          </m:e>
          <m:sub>
            <m:r>
              <m:t>r</m:t>
            </m:r>
            <m:r>
              <m:t>e</m:t>
            </m:r>
            <m:r>
              <m:t>l</m:t>
            </m:r>
          </m:sub>
        </m:sSub>
      </m:oMath>
      <w:r>
        <w:t xml:space="preserve">) foram avaliadas por Modelos Lineares Generalizados com distribuição Gamma e função de ligação log, estratégia adequada para dados positivos com assimetria à direita. Valores negativos decorrentes de drenagem gravitacional foram identificados pelo diagnóstico de resíduos, suprimidos do ajuste e registrados para rastreabilidade. As estimativas foram obtidas no ambiente Python 3.13 por meio da biblioteca Statsmodels, garantindo convergência sob máximo de verossimilhança penalizada e fornecendo erros-padrão robustos para comparação entre formulações.</w:t>
      </w:r>
    </w:p>
    <w:p>
      <w:pPr>
        <w:pStyle w:val="Corpodetexto"/>
      </w:pPr>
      <w:r>
        <w:t xml:space="preserve">Para integrar explicitamente a dimensão temporal da germinação, os dados foram analisados como tempo-até-evento, utilizando curvas de Kaplan-Meier (germinação acumulada) e modelo de riscos proporcionais de Cox. Os registros originais estavam estruturados como contagens cumulativas por tempo em caixas Gerbox (20 sementes por repetição); para permitir a modelagem, as contagens foram expandidas para observações ao nível de semente, preservando o total por caixa e considerando censura no 10º dia para sementes não germinadas. O ajuste de Cox utilizou erros-padrão robustos com cluster por caixa (repetição), e os coeficientes foram interpretados como razões de risco (hazard ratio; HR) em relação ao controle (água destilada).</w:t>
      </w:r>
    </w:p>
    <w:p>
      <w:pPr>
        <w:pStyle w:val="Corpodetexto"/>
      </w:pPr>
      <w:r>
        <w:t xml:space="preserve">Adicionalmente, para sintetizar a resposta multivariada do microcosmo (comprimentos, massas e índice de dependência), foi aplicada Análise de Componentes Principais (PCA) após padronização (</w:t>
      </w:r>
      <w:r>
        <w:rPr>
          <w:i/>
          <w:iCs/>
        </w:rPr>
        <w:t xml:space="preserve">z-score</w:t>
      </w:r>
      <w:r>
        <w:t xml:space="preserve">), permitindo visualizar padrões de co-variação e separação multivariada entre formulações.</w:t>
      </w:r>
    </w:p>
    <w:p>
      <w:pPr>
        <w:pStyle w:val="Corpodetexto"/>
      </w:pPr>
      <w:r>
        <w:t xml:space="preserve">A PCA foi implementada, com padronização por escore z e ajuste do modelo por PCA de dois componentes retidos a priori, de modo a preservar a interpretabilidade do biplot e a comparabilidade com as variâncias reportadas. Os scores foram obtidos pela transformação da matriz padronizada e os loadings foram extraídos diretamente dos vetores do modelo, com a variância explicada estimada pela razão de variância explicada por componente. As elipses de 95% por tratamento foram construídas no plano PC1 PC2 a partir da matriz de covariância dos scores, centradas na média do grupo e escalonadas pelo quantil de 95% da distribuição qui quadrado com dois graus de liberdade, enquanto a envoltória de cobertura por tratamento foi estimada pelo fecho convexo dos pontos no espaço de scores, permitindo representar simultaneamente dispersão intragrupo e amplitude de ocupação multivariada.</w:t>
      </w:r>
    </w:p>
    <w:bookmarkEnd w:id="34"/>
    <w:bookmarkEnd w:id="35"/>
    <w:bookmarkEnd w:id="36"/>
    <w:bookmarkEnd w:id="37"/>
    <w:bookmarkStart w:id="83" w:name="resultados-e-discussão"/>
    <w:p>
      <w:pPr>
        <w:pStyle w:val="Ttulo1"/>
      </w:pPr>
      <w:r>
        <w:t xml:space="preserve">Resultados e discussão</w:t>
      </w:r>
    </w:p>
    <w:bookmarkStart w:id="44" w:name="X0fa4c33dd2c9b0bb3f9280d1a6b84e81cb2b74a"/>
    <w:p>
      <w:pPr>
        <w:pStyle w:val="Ttulo2"/>
      </w:pPr>
      <w:r>
        <w:t xml:space="preserve">Caracterização Tecnológica do Reforço Fibroso</w:t>
      </w:r>
    </w:p>
    <w:p>
      <w:pPr>
        <w:pStyle w:val="FirstParagraph"/>
      </w:pPr>
      <w:r>
        <w:t xml:space="preserve">A integridade química das fibras de</w:t>
      </w:r>
      <w:r>
        <w:t xml:space="preserve"> </w:t>
      </w:r>
      <w:r>
        <w:rPr>
          <w:i/>
          <w:iCs/>
        </w:rPr>
        <w:t xml:space="preserve">Typha domingensis</w:t>
      </w:r>
      <w:r>
        <w:t xml:space="preserve"> </w:t>
      </w:r>
      <w:r>
        <w:t xml:space="preserve">após a cominuição mecânica foi corroborada pelo perfil espectroscópico de infravermelho (FTIR), apresentado na Figura 3. O espectro exibe uma banda larga e intensa centrada em 3340 cm⁻¹, atribuída ao estiramento das ligações O-H dos grupos hidroxila presentes na celulose, hemicelulose e lignina. A proeminência desta banda é relevante para a aplicação proposta, pois confirma a alta disponibilidade de sítios hidrofílicos superficiais, mecanismo fundamental para a retenção hídrica e para a formação de ligações de hidrogênio na interface fibra-matriz.</w:t>
      </w:r>
    </w:p>
    <w:p>
      <w:pPr>
        <w:pStyle w:val="Corpodetexto"/>
      </w:pPr>
      <w:r>
        <w:t xml:space="preserve">Os picos observados em 2918 e 2850 cm⁻¹ correspondem, respectivamente, ao estiramento assimétrico e simétrico de ligações C-H em cadeias alifáticas (grupos metila e metileno), constituintes estruturais dos polissacarídeos. A presença de um pico bem definido em 1735 cm⁻¹, característico do estiramento carbonílico (C=O) de grupos acetila (componentes das hemiceluloses) e ésteres de ácido ferúlico ou p-cumárico (lignina), indica que o processamento não induziu degradação oxidativa severa ou remoção substancial dessas frações amorfas. Adicionalmente, as vibrações do esqueleto aromático da lignina foram identificadas em 1605 e 1510 cm⁻¹, juntamente com a banda em 1240 cm⁻¹ (estiramento C-O do anel arílico), confirmando a natureza lignocelulósica do reforço e sua estabilidade química intrínseca.</w:t>
      </w:r>
    </w:p>
    <w:p>
      <w:pPr>
        <w:pStyle w:val="Corpodetexto"/>
      </w:pPr>
      <w:r>
        <w:t xml:space="preserve">Figura 3. Espectro de infravermelho (FTIR) das fibras de</w:t>
      </w:r>
      <w:r>
        <w:t xml:space="preserve"> </w:t>
      </w:r>
      <w:r>
        <w:rPr>
          <w:i/>
          <w:iCs/>
        </w:rPr>
        <w:t xml:space="preserve">Typha domingensis</w:t>
      </w:r>
      <w:r>
        <w:t xml:space="preserve">, destacando os principais grupos funcionais responsáveis pela hidrofilicidade e estrutura lignocelulósica.</w:t>
      </w:r>
    </w:p>
    <w:p>
      <w:pPr>
        <w:pStyle w:val="Figure"/>
      </w:pPr>
      <w:r>
        <w:drawing>
          <wp:inline>
            <wp:extent cx="5600700" cy="3360420"/>
            <wp:effectExtent b="0" l="0" r="0" t="0"/>
            <wp:docPr descr="Figura 3. Espectro de infravermelho (FTIR) das fibras de Typha domingensis, destacando os principais grupos funcionais responsáveis pela hidrofilicidade e estrutura lignocelulósica." title="" id="39" name="Picture"/>
            <a:graphic>
              <a:graphicData uri="http://schemas.openxmlformats.org/drawingml/2006/picture">
                <pic:pic>
                  <pic:nvPicPr>
                    <pic:cNvPr descr="../2-IMG/Fig_FTIR_Typha.png" id="40" name="Picture"/>
                    <pic:cNvPicPr>
                      <a:picLocks noChangeArrowheads="1" noChangeAspect="1"/>
                    </pic:cNvPicPr>
                  </pic:nvPicPr>
                  <pic:blipFill>
                    <a:blip r:embed="rId38"/>
                    <a:stretch>
                      <a:fillRect/>
                    </a:stretch>
                  </pic:blipFill>
                  <pic:spPr bwMode="auto">
                    <a:xfrm>
                      <a:off x="0" y="0"/>
                      <a:ext cx="5600700" cy="3360420"/>
                    </a:xfrm>
                    <a:prstGeom prst="rect">
                      <a:avLst/>
                    </a:prstGeom>
                    <a:noFill/>
                    <a:ln w="9525">
                      <a:noFill/>
                      <a:headEnd/>
                      <a:tailEnd/>
                    </a:ln>
                  </pic:spPr>
                </pic:pic>
              </a:graphicData>
            </a:graphic>
          </wp:inline>
        </w:drawing>
      </w:r>
    </w:p>
    <w:p>
      <w:pPr>
        <w:pStyle w:val="FirstParagraph"/>
      </w:pPr>
      <w:r>
        <w:t xml:space="preserve">O comportamento térmico do reforço, determinante para a janela de processamento do compósito, é detalhado na curva termogravimétrica (TGA) da Figura 4. O evento inicial de perda de massa (~6%) ocorre abaixo de 100 °C, atribuído à eliminação de água fisicamente adsorvida e voláteis de baixo peso molecular, reiterando o caráter higroscópico do material mapeado no FTIR.</w:t>
      </w:r>
    </w:p>
    <w:p>
      <w:pPr>
        <w:pStyle w:val="Corpodetexto"/>
      </w:pPr>
      <w:r>
        <w:t xml:space="preserve">A degradação térmica estrutural inicia-se efetivamente em torno de 220 °C (</w:t>
      </w:r>
      <w:r>
        <w:rPr>
          <w:i/>
          <w:iCs/>
        </w:rPr>
        <w:t xml:space="preserve">Tonset</w:t>
      </w:r>
      <w:r>
        <w:t xml:space="preserve">), com um</w:t>
      </w:r>
      <w:r>
        <w:t xml:space="preserve"> </w:t>
      </w:r>
      <w:r>
        <w:t xml:space="preserve">“ombro”</w:t>
      </w:r>
      <w:r>
        <w:t xml:space="preserve"> </w:t>
      </w:r>
      <w:r>
        <w:t xml:space="preserve">característico estendendo-se até 300 °C, associado à despolimerização térmica das hemiceluloses, que possuem menor estabilidade devido à sua estrutura amorfa e ramificada. O evento principal de degradação ocorre na faixa de 310 a 380 °C, onde a curva apresenta sua máxima inclinação (derivada máxima), correspondendo à ruptura das cadeias glicosídicas da celulose cristalina (α-celulose). A estabilidade térmica até ~220 °C valida a utilização destas fibras no processo de cura da resina poliuretana vegetal, que ocorre em temperaturas significativamente inferiores, garantindo que o reforço atue sem degradação térmica prematura. O resíduo sólido a 600 °C (superior a 20%) reflete o conteúdo inorgânico (sílica ou fitólitos) e a estrutura carbonosa da lignina condensada, que contribui para a inércia química do produto final.</w:t>
      </w:r>
    </w:p>
    <w:p>
      <w:pPr>
        <w:pStyle w:val="Corpodetexto"/>
      </w:pPr>
      <w:r>
        <w:t xml:space="preserve">Figura 4. Curva termogravimétrica (TGA) das fibras de</w:t>
      </w:r>
      <w:r>
        <w:t xml:space="preserve"> </w:t>
      </w:r>
      <w:r>
        <w:rPr>
          <w:i/>
          <w:iCs/>
        </w:rPr>
        <w:t xml:space="preserve">Typha domingensis</w:t>
      </w:r>
      <w:r>
        <w:t xml:space="preserve">, ilustrando os eventos de perda de massa associados à desidratação e degradação da hemicelulose e celulose.</w:t>
      </w:r>
    </w:p>
    <w:p>
      <w:pPr>
        <w:pStyle w:val="Figure"/>
      </w:pPr>
      <w:r>
        <w:drawing>
          <wp:inline>
            <wp:extent cx="5600700" cy="3360420"/>
            <wp:effectExtent b="0" l="0" r="0" t="0"/>
            <wp:docPr descr="Figura 4. Curva termogravimétrica (TGA) das fibras de Typha domingensis, ilustrando os eventos de perda de massa associados à desidratação e degradação da hemicelulose e celulose." title="" id="42" name="Picture"/>
            <a:graphic>
              <a:graphicData uri="http://schemas.openxmlformats.org/drawingml/2006/picture">
                <pic:pic>
                  <pic:nvPicPr>
                    <pic:cNvPr descr="../2-IMG/Fig_TGA_Typha.png" id="43" name="Picture"/>
                    <pic:cNvPicPr>
                      <a:picLocks noChangeArrowheads="1" noChangeAspect="1"/>
                    </pic:cNvPicPr>
                  </pic:nvPicPr>
                  <pic:blipFill>
                    <a:blip r:embed="rId41"/>
                    <a:stretch>
                      <a:fillRect/>
                    </a:stretch>
                  </pic:blipFill>
                  <pic:spPr bwMode="auto">
                    <a:xfrm>
                      <a:off x="0" y="0"/>
                      <a:ext cx="5600700" cy="3360420"/>
                    </a:xfrm>
                    <a:prstGeom prst="rect">
                      <a:avLst/>
                    </a:prstGeom>
                    <a:noFill/>
                    <a:ln w="9525">
                      <a:noFill/>
                      <a:headEnd/>
                      <a:tailEnd/>
                    </a:ln>
                  </pic:spPr>
                </pic:pic>
              </a:graphicData>
            </a:graphic>
          </wp:inline>
        </w:drawing>
      </w:r>
    </w:p>
    <w:bookmarkEnd w:id="44"/>
    <w:bookmarkStart w:id="46" w:name="X9854b9c212c9c20ebf55310d73a00bbd0f26095"/>
    <w:p>
      <w:pPr>
        <w:pStyle w:val="Ttulo2"/>
      </w:pPr>
      <w:r>
        <w:t xml:space="preserve">Caracterização Química dos Núcleos Hidrorretentores</w:t>
      </w:r>
    </w:p>
    <w:p>
      <w:pPr>
        <w:pStyle w:val="FirstParagraph"/>
      </w:pPr>
      <w:r>
        <w:t xml:space="preserve">A análise da composição elementar e do pH dos núcleos (Tabela 1) demonstrou que a incorporação da matriz polimérica à base de mamona (N1) alterou significativamente o perfil químico do substrato. O compósito N1 apresentou pH próximo à neutralidade (6,38), enquanto as formulações sem a resina completa (N2, N3) exibiram caráter ácido (pH &lt; 4,5), típico de resíduos lignocelulósicos não tamponados.</w:t>
      </w:r>
    </w:p>
    <w:p>
      <w:pPr>
        <w:pStyle w:val="Corpodetexto"/>
      </w:pPr>
      <w:r>
        <w:t xml:space="preserve">Em termos nutricionais, N1 destacou-se pela elevada concentração de Potássio (1004,98 mg L⁻¹) e Fósforo Total (62,01 mg L⁻¹), valores superiores aos observados nas frações puramente fibrosas (N4 com K = 740,74 mg L⁻¹ e P = 9,85 mg L⁻¹). Esse enriquecimento é atribuído à torta de mamona utilizada na síntese do poliol, que atua como fonte de macronutrientes de liberação lenta. O teor de Nitrogênio Total permaneceu abaixo do limite de detecção (&lt;0,16%) em todas as amostras, indicando que a resposta biológica observada nas plântulas não decorre de fertilização nitrogenada direta, mas possivelmente da melhoria das propriedades físicas ou de efeitos bioestimulantes dos ácidos orgânicos presentes. Os teores de Cálcio e Magnésio em N1 (577,5 e 292,6 mg L⁻¹, respectivamente) também sugerem um balanço catiônico favorável ao desenvolvimento radicular.</w:t>
      </w:r>
    </w:p>
    <w:p>
      <w:pPr>
        <w:pStyle w:val="Corpodetexto"/>
      </w:pPr>
      <w:r>
        <w:t xml:space="preserve">Esta configuração química de N1 (pH neutro e alta disponibilidade de P e K) converge com as exigências ecofisiológicas da</w:t>
      </w:r>
      <w:r>
        <w:t xml:space="preserve"> </w:t>
      </w:r>
      <w:r>
        <w:rPr>
          <w:i/>
          <w:iCs/>
        </w:rPr>
        <w:t xml:space="preserve">Eruca sativa</w:t>
      </w:r>
      <w:r>
        <w:t xml:space="preserve">, que apresenta desenvolvimento ótimo em pH 6,0-7,0, onde a disponibilidade de macronutrientes é maximizada e a fitotoxicidade por Al³⁺ é neutralizada</w:t>
      </w:r>
      <w:r>
        <w:t xml:space="preserve"> </w:t>
      </w:r>
      <w:r>
        <w:t xml:space="preserve">(</w:t>
      </w:r>
      <w:hyperlink w:anchor="ref-filgueira2008_novo">
        <w:r>
          <w:rPr>
            <w:rStyle w:val="Hyperlink"/>
          </w:rPr>
          <w:t xml:space="preserve">Filgueira, 2008</w:t>
        </w:r>
      </w:hyperlink>
      <w:r>
        <w:t xml:space="preserve">)</w:t>
      </w:r>
      <w:r>
        <w:t xml:space="preserve">.</w:t>
      </w:r>
    </w:p>
    <w:p>
      <w:pPr>
        <w:pStyle w:val="Corpodetexto"/>
      </w:pPr>
      <w:r>
        <w:t xml:space="preserve">A acidez observada em N2 e N3 (pH ~4,4) é crítica, pois em matrizes de solo, valores abaixo de 5,0 podem induzir restrições de P, Ca e Mg, além de potencializar a solubilidade de metais tóxicos</w:t>
      </w:r>
      <w:r>
        <w:t xml:space="preserve"> </w:t>
      </w:r>
      <w:r>
        <w:t xml:space="preserve">(</w:t>
      </w:r>
      <w:hyperlink w:anchor="ref-taiz2017_physiology">
        <w:r>
          <w:rPr>
            <w:rStyle w:val="Hyperlink"/>
          </w:rPr>
          <w:t xml:space="preserve">Taiz et al., 2017</w:t>
        </w:r>
      </w:hyperlink>
      <w:r>
        <w:t xml:space="preserve">)</w:t>
      </w:r>
      <w:r>
        <w:t xml:space="preserve">. No contexto de bioengenharia, a neutralização proporcionada pelo compósito N1 indica que a formulação atua como um corretivo de acidez local, criando micro-hotspots favoráveis à colonização radicular em solos degradados ou ácidos.</w:t>
      </w:r>
    </w:p>
    <w:p>
      <w:pPr>
        <w:pStyle w:val="Corpodetexto"/>
      </w:pPr>
      <w:r>
        <w:t xml:space="preserve">Adicionalmente, o baixo teor de Nitrogênio (&lt;0,16%) desacopla o efeito bioestimulante observado (ganho de hipocótilo) de uma resposta trófica clássica</w:t>
      </w:r>
      <w:r>
        <w:t xml:space="preserve"> </w:t>
      </w:r>
      <w:r>
        <w:t xml:space="preserve">“dose-dependente”</w:t>
      </w:r>
      <w:r>
        <w:t xml:space="preserve">. O vigor vegetativo em N1 parece ser sustentado pelo balanço de K⁺ na osmorregulação, essencial para manter a turgescência celular sob flutuações hídricas, e pela oferta de P para o metabolismo energético da germinação. A detecção de altos níveis de Potássio está alinhada à capacidade da Typha em bioacumular nutrientes, sugerindo que o núcleo funcionar como um reservatório de fertilidade que recicla elementos extraídos da própria biomassa utilizada na manufatura.</w:t>
      </w:r>
    </w:p>
    <w:bookmarkStart w:id="45" w:name="tbl:quimica"/>
    <w:p>
      <w:pPr>
        <w:pStyle w:val="TableCaption"/>
      </w:pPr>
      <w:r>
        <w:t xml:space="preserve">Tabela 1. Caracterização química e nutricional dos núcleos hidrorretentores (N1-N4), indicando pH e concentração de macronutrientes.</w:t>
      </w:r>
    </w:p>
    <w:tbl>
      <w:tblPr>
        <w:tblStyle w:val="Table"/>
        <w:tblW w:type="pct" w:w="5000"/>
        <w:tblLayout w:type="fixed"/>
        <w:tblLook w:firstRow="1" w:lastRow="0" w:firstColumn="0" w:lastColumn="0" w:noHBand="0" w:noVBand="0" w:val="0020"/>
        <w:tblCaption w:val="Tabela 1. Caracterização química e nutricional dos núcleos hidrorretentores (N1-N4), indicando pH e concentração de macronutrientes."/>
      </w:tblPr>
      <w:tblGrid>
        <w:gridCol w:w="1092"/>
        <w:gridCol w:w="1365"/>
        <w:gridCol w:w="1365"/>
        <w:gridCol w:w="1365"/>
        <w:gridCol w:w="1365"/>
        <w:gridCol w:w="1365"/>
      </w:tblGrid>
      <w:tr>
        <w:trPr>
          <w:tblHeader w:val="on"/>
        </w:trPr>
        <w:tc>
          <w:tcPr/>
          <w:p>
            <w:pPr>
              <w:pStyle w:val="Compact"/>
              <w:jc w:val="left"/>
            </w:pPr>
            <w:r>
              <w:t xml:space="preserve">Parâmetro</w:t>
            </w:r>
          </w:p>
        </w:tc>
        <w:tc>
          <w:tcPr/>
          <w:p>
            <w:pPr>
              <w:pStyle w:val="Compact"/>
              <w:jc w:val="center"/>
            </w:pPr>
            <w:r>
              <w:t xml:space="preserve">Unidade</w:t>
            </w:r>
          </w:p>
        </w:tc>
        <w:tc>
          <w:tcPr/>
          <w:p>
            <w:pPr>
              <w:pStyle w:val="Compact"/>
              <w:jc w:val="center"/>
            </w:pPr>
            <w:r>
              <w:t xml:space="preserve">N1 (formulação completa)</w:t>
            </w:r>
          </w:p>
        </w:tc>
        <w:tc>
          <w:tcPr/>
          <w:p>
            <w:pPr>
              <w:pStyle w:val="Compact"/>
              <w:jc w:val="center"/>
            </w:pPr>
            <w:r>
              <w:t xml:space="preserve">N2 (sem resina)</w:t>
            </w:r>
          </w:p>
        </w:tc>
        <w:tc>
          <w:tcPr/>
          <w:p>
            <w:pPr>
              <w:pStyle w:val="Compact"/>
              <w:jc w:val="center"/>
            </w:pPr>
            <w:r>
              <w:t xml:space="preserve">N3 (resíduos vegetais)</w:t>
            </w:r>
          </w:p>
        </w:tc>
        <w:tc>
          <w:tcPr/>
          <w:p>
            <w:pPr>
              <w:pStyle w:val="Compact"/>
              <w:jc w:val="center"/>
            </w:pPr>
            <w:r>
              <w:t xml:space="preserve">N4 (resíduos e fibras)</w:t>
            </w:r>
          </w:p>
        </w:tc>
      </w:tr>
      <w:tr>
        <w:tc>
          <w:tcPr/>
          <w:p>
            <w:pPr>
              <w:pStyle w:val="Compact"/>
              <w:jc w:val="left"/>
            </w:pPr>
            <w:r>
              <w:t xml:space="preserve">Nitrogênio Total</w:t>
            </w:r>
          </w:p>
        </w:tc>
        <w:tc>
          <w:tcPr/>
          <w:p>
            <w:pPr>
              <w:pStyle w:val="Compact"/>
              <w:jc w:val="center"/>
            </w:pPr>
            <w:r>
              <w:t xml:space="preserve">%</w:t>
            </w:r>
          </w:p>
        </w:tc>
        <w:tc>
          <w:tcPr/>
          <w:p>
            <w:pPr>
              <w:pStyle w:val="Compact"/>
              <w:jc w:val="center"/>
            </w:pPr>
            <w:r>
              <w:t xml:space="preserve">&lt;0,16</w:t>
            </w:r>
          </w:p>
        </w:tc>
        <w:tc>
          <w:tcPr/>
          <w:p>
            <w:pPr>
              <w:pStyle w:val="Compact"/>
              <w:jc w:val="center"/>
            </w:pPr>
            <w:r>
              <w:t xml:space="preserve">&lt;0,16</w:t>
            </w:r>
          </w:p>
        </w:tc>
        <w:tc>
          <w:tcPr/>
          <w:p>
            <w:pPr>
              <w:pStyle w:val="Compact"/>
              <w:jc w:val="center"/>
            </w:pPr>
            <w:r>
              <w:t xml:space="preserve">&lt;0,16</w:t>
            </w:r>
          </w:p>
        </w:tc>
        <w:tc>
          <w:tcPr/>
          <w:p>
            <w:pPr>
              <w:pStyle w:val="Compact"/>
              <w:jc w:val="center"/>
            </w:pPr>
            <w:r>
              <w:t xml:space="preserve">&lt;0,16</w:t>
            </w:r>
          </w:p>
        </w:tc>
      </w:tr>
      <w:tr>
        <w:tc>
          <w:tcPr/>
          <w:p>
            <w:pPr>
              <w:pStyle w:val="Compact"/>
              <w:jc w:val="left"/>
            </w:pPr>
            <w:r>
              <w:t xml:space="preserve">Fósforo (CNA + água)</w:t>
            </w:r>
          </w:p>
        </w:tc>
        <w:tc>
          <w:tcPr/>
          <w:p>
            <w:pPr>
              <w:pStyle w:val="Compact"/>
              <w:jc w:val="center"/>
            </w:pPr>
            <w:r>
              <w:t xml:space="preserve">mg L⁻¹</w:t>
            </w:r>
          </w:p>
        </w:tc>
        <w:tc>
          <w:tcPr/>
          <w:p>
            <w:pPr>
              <w:pStyle w:val="Compact"/>
              <w:jc w:val="center"/>
            </w:pPr>
            <w:r>
              <w:t xml:space="preserve">61,27</w:t>
            </w:r>
          </w:p>
        </w:tc>
        <w:tc>
          <w:tcPr/>
          <w:p>
            <w:pPr>
              <w:pStyle w:val="Compact"/>
              <w:jc w:val="center"/>
            </w:pPr>
            <w:r>
              <w:t xml:space="preserve">15,61</w:t>
            </w:r>
          </w:p>
        </w:tc>
        <w:tc>
          <w:tcPr/>
          <w:p>
            <w:pPr>
              <w:pStyle w:val="Compact"/>
              <w:jc w:val="center"/>
            </w:pPr>
            <w:r>
              <w:t xml:space="preserve">18,43</w:t>
            </w:r>
          </w:p>
        </w:tc>
        <w:tc>
          <w:tcPr/>
          <w:p>
            <w:pPr>
              <w:pStyle w:val="Compact"/>
              <w:jc w:val="center"/>
            </w:pPr>
            <w:r>
              <w:t xml:space="preserve">9,74</w:t>
            </w:r>
          </w:p>
        </w:tc>
      </w:tr>
      <w:tr>
        <w:tc>
          <w:tcPr/>
          <w:p>
            <w:pPr>
              <w:pStyle w:val="Compact"/>
              <w:jc w:val="left"/>
            </w:pPr>
            <w:r>
              <w:t xml:space="preserve">Potássio (K⁺)</w:t>
            </w:r>
          </w:p>
        </w:tc>
        <w:tc>
          <w:tcPr/>
          <w:p>
            <w:pPr>
              <w:pStyle w:val="Compact"/>
              <w:jc w:val="center"/>
            </w:pPr>
            <w:r>
              <w:t xml:space="preserve">mg L⁻¹</w:t>
            </w:r>
          </w:p>
        </w:tc>
        <w:tc>
          <w:tcPr/>
          <w:p>
            <w:pPr>
              <w:pStyle w:val="Compact"/>
              <w:jc w:val="center"/>
            </w:pPr>
            <w:r>
              <w:t xml:space="preserve">1004,98</w:t>
            </w:r>
          </w:p>
        </w:tc>
        <w:tc>
          <w:tcPr/>
          <w:p>
            <w:pPr>
              <w:pStyle w:val="Compact"/>
              <w:jc w:val="center"/>
            </w:pPr>
            <w:r>
              <w:t xml:space="preserve">849,65</w:t>
            </w:r>
          </w:p>
        </w:tc>
        <w:tc>
          <w:tcPr/>
          <w:p>
            <w:pPr>
              <w:pStyle w:val="Compact"/>
              <w:jc w:val="center"/>
            </w:pPr>
            <w:r>
              <w:t xml:space="preserve">897,00</w:t>
            </w:r>
          </w:p>
        </w:tc>
        <w:tc>
          <w:tcPr/>
          <w:p>
            <w:pPr>
              <w:pStyle w:val="Compact"/>
              <w:jc w:val="center"/>
            </w:pPr>
            <w:r>
              <w:t xml:space="preserve">740,74</w:t>
            </w:r>
          </w:p>
        </w:tc>
      </w:tr>
      <w:tr>
        <w:tc>
          <w:tcPr/>
          <w:p>
            <w:pPr>
              <w:pStyle w:val="Compact"/>
              <w:jc w:val="left"/>
            </w:pPr>
            <w:r>
              <w:t xml:space="preserve">pH (H₂O)</w:t>
            </w:r>
          </w:p>
        </w:tc>
        <w:tc>
          <w:tcPr/>
          <w:p>
            <w:pPr>
              <w:pStyle w:val="Compact"/>
              <w:jc w:val="center"/>
            </w:pPr>
            <w:r>
              <w:t xml:space="preserve">-</w:t>
            </w:r>
          </w:p>
        </w:tc>
        <w:tc>
          <w:tcPr/>
          <w:p>
            <w:pPr>
              <w:pStyle w:val="Compact"/>
              <w:jc w:val="center"/>
            </w:pPr>
            <w:r>
              <w:t xml:space="preserve">6,38</w:t>
            </w:r>
          </w:p>
        </w:tc>
        <w:tc>
          <w:tcPr/>
          <w:p>
            <w:pPr>
              <w:pStyle w:val="Compact"/>
              <w:jc w:val="center"/>
            </w:pPr>
            <w:r>
              <w:t xml:space="preserve">4,43</w:t>
            </w:r>
          </w:p>
        </w:tc>
        <w:tc>
          <w:tcPr/>
          <w:p>
            <w:pPr>
              <w:pStyle w:val="Compact"/>
              <w:jc w:val="center"/>
            </w:pPr>
            <w:r>
              <w:t xml:space="preserve">4,36</w:t>
            </w:r>
          </w:p>
        </w:tc>
        <w:tc>
          <w:tcPr/>
          <w:p>
            <w:pPr>
              <w:pStyle w:val="Compact"/>
              <w:jc w:val="center"/>
            </w:pPr>
            <w:r>
              <w:t xml:space="preserve">5,57</w:t>
            </w:r>
          </w:p>
        </w:tc>
      </w:tr>
      <w:tr>
        <w:tc>
          <w:tcPr/>
          <w:p>
            <w:pPr>
              <w:pStyle w:val="Compact"/>
              <w:jc w:val="left"/>
            </w:pPr>
            <w:r>
              <w:t xml:space="preserve">Fósforo Total</w:t>
            </w:r>
          </w:p>
        </w:tc>
        <w:tc>
          <w:tcPr/>
          <w:p>
            <w:pPr>
              <w:pStyle w:val="Compact"/>
              <w:jc w:val="center"/>
            </w:pPr>
            <w:r>
              <w:t xml:space="preserve">mg L⁻¹</w:t>
            </w:r>
          </w:p>
        </w:tc>
        <w:tc>
          <w:tcPr/>
          <w:p>
            <w:pPr>
              <w:pStyle w:val="Compact"/>
              <w:jc w:val="center"/>
            </w:pPr>
            <w:r>
              <w:t xml:space="preserve">62,01</w:t>
            </w:r>
          </w:p>
        </w:tc>
        <w:tc>
          <w:tcPr/>
          <w:p>
            <w:pPr>
              <w:pStyle w:val="Compact"/>
              <w:jc w:val="center"/>
            </w:pPr>
            <w:r>
              <w:t xml:space="preserve">15,82</w:t>
            </w:r>
          </w:p>
        </w:tc>
        <w:tc>
          <w:tcPr/>
          <w:p>
            <w:pPr>
              <w:pStyle w:val="Compact"/>
              <w:jc w:val="center"/>
            </w:pPr>
            <w:r>
              <w:t xml:space="preserve">18,72</w:t>
            </w:r>
          </w:p>
        </w:tc>
        <w:tc>
          <w:tcPr/>
          <w:p>
            <w:pPr>
              <w:pStyle w:val="Compact"/>
              <w:jc w:val="center"/>
            </w:pPr>
            <w:r>
              <w:t xml:space="preserve">9,85</w:t>
            </w:r>
          </w:p>
        </w:tc>
      </w:tr>
      <w:tr>
        <w:tc>
          <w:tcPr/>
          <w:p>
            <w:pPr>
              <w:pStyle w:val="Compact"/>
              <w:jc w:val="left"/>
            </w:pPr>
            <w:r>
              <w:t xml:space="preserve">Cálcio (Ca²⁺)</w:t>
            </w:r>
          </w:p>
        </w:tc>
        <w:tc>
          <w:tcPr/>
          <w:p>
            <w:pPr>
              <w:pStyle w:val="Compact"/>
              <w:jc w:val="center"/>
            </w:pPr>
            <w:r>
              <w:t xml:space="preserve">mg L⁻¹</w:t>
            </w:r>
          </w:p>
        </w:tc>
        <w:tc>
          <w:tcPr/>
          <w:p>
            <w:pPr>
              <w:pStyle w:val="Compact"/>
              <w:jc w:val="center"/>
            </w:pPr>
            <w:r>
              <w:t xml:space="preserve">577,50</w:t>
            </w:r>
          </w:p>
        </w:tc>
        <w:tc>
          <w:tcPr/>
          <w:p>
            <w:pPr>
              <w:pStyle w:val="Compact"/>
              <w:jc w:val="center"/>
            </w:pPr>
            <w:r>
              <w:t xml:space="preserve">406,10</w:t>
            </w:r>
          </w:p>
        </w:tc>
        <w:tc>
          <w:tcPr/>
          <w:p>
            <w:pPr>
              <w:pStyle w:val="Compact"/>
              <w:jc w:val="center"/>
            </w:pPr>
            <w:r>
              <w:t xml:space="preserve">522,40</w:t>
            </w:r>
          </w:p>
        </w:tc>
        <w:tc>
          <w:tcPr/>
          <w:p>
            <w:pPr>
              <w:pStyle w:val="Compact"/>
              <w:jc w:val="center"/>
            </w:pPr>
            <w:r>
              <w:t xml:space="preserve">330,70</w:t>
            </w:r>
          </w:p>
        </w:tc>
      </w:tr>
      <w:tr>
        <w:tc>
          <w:tcPr/>
          <w:p>
            <w:pPr>
              <w:pStyle w:val="Compact"/>
              <w:jc w:val="left"/>
            </w:pPr>
            <w:r>
              <w:t xml:space="preserve">Magnésio (Mg²⁺)</w:t>
            </w:r>
          </w:p>
        </w:tc>
        <w:tc>
          <w:tcPr/>
          <w:p>
            <w:pPr>
              <w:pStyle w:val="Compact"/>
              <w:jc w:val="center"/>
            </w:pPr>
            <w:r>
              <w:t xml:space="preserve">mg L⁻¹</w:t>
            </w:r>
          </w:p>
        </w:tc>
        <w:tc>
          <w:tcPr/>
          <w:p>
            <w:pPr>
              <w:pStyle w:val="Compact"/>
              <w:jc w:val="center"/>
            </w:pPr>
            <w:r>
              <w:t xml:space="preserve">292,60</w:t>
            </w:r>
          </w:p>
        </w:tc>
        <w:tc>
          <w:tcPr/>
          <w:p>
            <w:pPr>
              <w:pStyle w:val="Compact"/>
              <w:jc w:val="center"/>
            </w:pPr>
            <w:r>
              <w:t xml:space="preserve">225,30</w:t>
            </w:r>
          </w:p>
        </w:tc>
        <w:tc>
          <w:tcPr/>
          <w:p>
            <w:pPr>
              <w:pStyle w:val="Compact"/>
              <w:jc w:val="center"/>
            </w:pPr>
            <w:r>
              <w:t xml:space="preserve">243,30</w:t>
            </w:r>
          </w:p>
        </w:tc>
        <w:tc>
          <w:tcPr/>
          <w:p>
            <w:pPr>
              <w:pStyle w:val="Compact"/>
              <w:jc w:val="center"/>
            </w:pPr>
            <w:r>
              <w:t xml:space="preserve">200,30</w:t>
            </w:r>
          </w:p>
        </w:tc>
      </w:tr>
    </w:tbl>
    <w:bookmarkEnd w:id="45"/>
    <w:bookmarkEnd w:id="46"/>
    <w:bookmarkStart w:id="50" w:name="Xc60555c2f1b514b144fa99beb5b62ca59b366a0"/>
    <w:p>
      <w:pPr>
        <w:pStyle w:val="Ttulo2"/>
      </w:pPr>
      <w:r>
        <w:t xml:space="preserve">Sorção Macroscópica do Núcleo Hidrorretentor</w:t>
      </w:r>
    </w:p>
    <w:p>
      <w:pPr>
        <w:pStyle w:val="FirstParagraph"/>
      </w:pPr>
      <w:r>
        <w:t xml:space="preserve">A cinética de umidade demostrou que a formulação N1 (formulação completa) acumulou 0.385 ± 0.278 g de água por disco (Figura 5), superando as demais composições e multiplicando por 2,7 o ganho observado no controle hídrico (0.143 ± 0.078 g). As formulações N3 (resíduos vegetais) e N4 (resíduos e fibras) registraram 0.230 ± 0.130 g e 0.242 ± 0.140 g, respectivamente, corroborando que a presença concomitante de solvente limonênico e de resina poliuretânica aumenta a retenção capilar sem induzir colapso estrutural sob saturação. A análise por Modelo Linear Generalizado com distribuição Gamma e ligação log indicou ausência de diferenças estatisticamente significativas entre tratamentos (p = 0.217), mas o desvio padrão ampliado nas frações ricas em solvente reflete maior histerese hídrica, fenômeno característico de matrizes com microcanais anisotrópicos.</w:t>
      </w:r>
    </w:p>
    <w:p>
      <w:pPr>
        <w:pStyle w:val="Corpodetexto"/>
      </w:pPr>
      <w:r>
        <w:t xml:space="preserve">A variação relativa de massa (</w:t>
      </w:r>
      <m:oMath>
        <m:r>
          <m:rPr>
            <m:sty m:val="p"/>
          </m:rPr>
          <m:t>Δ</m:t>
        </m:r>
        <m:sSub>
          <m:e>
            <m:r>
              <m:t>m</m:t>
            </m:r>
          </m:e>
          <m:sub>
            <m:r>
              <m:t>r</m:t>
            </m:r>
            <m:r>
              <m:t>e</m:t>
            </m:r>
            <m:r>
              <m:t>l</m:t>
            </m:r>
          </m:sub>
        </m:sSub>
      </m:oMath>
      <w:r>
        <w:t xml:space="preserve">) ultrapassou 1400% na formulação N1 (formulação completa), enquanto o controle permaneceu em 856%, o que indica maior capacidade de armazenamento hídrico sob as condições do ensaio e sugere oferta mais lenta de água após pulsos de irrigação. O índice de Dependência do Núcleo calculado neste ensaio laboratorial manteve médias de 42.28 ± 20.83% para N4 (resíduos e fibras) e 34.28 ± 20.79% para N1 , evidenciando que os núcleos mais higroscópicos tendem a sustentar suporte hídrico mais prolongado às plântulas sob ciclos de secagem.</w:t>
      </w:r>
    </w:p>
    <w:p>
      <w:pPr>
        <w:pStyle w:val="Corpodetexto"/>
      </w:pPr>
      <w:r>
        <w:t xml:space="preserve">Figura 5. Ganho de massa hídrica dos núcleos hidrorretentores após 48 h de saturação</w:t>
      </w:r>
    </w:p>
    <w:p>
      <w:pPr>
        <w:pStyle w:val="Figure"/>
      </w:pPr>
      <w:r>
        <w:drawing>
          <wp:inline>
            <wp:extent cx="5600700" cy="4159149"/>
            <wp:effectExtent b="0" l="0" r="0" t="0"/>
            <wp:docPr descr="Figura 5. Ganho de massa hídrica dos núcleos hidrorretentores após 48 h de saturação" title="" id="48" name="Picture"/>
            <a:graphic>
              <a:graphicData uri="http://schemas.openxmlformats.org/drawingml/2006/picture">
                <pic:pic>
                  <pic:nvPicPr>
                    <pic:cNvPr descr="../2-IMG/Fig_absorcao.png" id="49" name="Picture"/>
                    <pic:cNvPicPr>
                      <a:picLocks noChangeArrowheads="1" noChangeAspect="1"/>
                    </pic:cNvPicPr>
                  </pic:nvPicPr>
                  <pic:blipFill>
                    <a:blip r:embed="rId47"/>
                    <a:stretch>
                      <a:fillRect/>
                    </a:stretch>
                  </pic:blipFill>
                  <pic:spPr bwMode="auto">
                    <a:xfrm>
                      <a:off x="0" y="0"/>
                      <a:ext cx="5600700" cy="4159149"/>
                    </a:xfrm>
                    <a:prstGeom prst="rect">
                      <a:avLst/>
                    </a:prstGeom>
                    <a:noFill/>
                    <a:ln w="9525">
                      <a:noFill/>
                      <a:headEnd/>
                      <a:tailEnd/>
                    </a:ln>
                  </pic:spPr>
                </pic:pic>
              </a:graphicData>
            </a:graphic>
          </wp:inline>
        </w:drawing>
      </w:r>
    </w:p>
    <w:bookmarkEnd w:id="50"/>
    <w:bookmarkStart w:id="58" w:name="Xdda8659dd7664595b6ed584fbb4e0884a42264b"/>
    <w:p>
      <w:pPr>
        <w:pStyle w:val="Ttulo2"/>
      </w:pPr>
      <w:r>
        <w:t xml:space="preserve">Compatibilidade Biológica e Cinética de Germinação</w:t>
      </w:r>
    </w:p>
    <w:p>
      <w:pPr>
        <w:pStyle w:val="FirstParagraph"/>
      </w:pPr>
      <w:r>
        <w:t xml:space="preserve">A viabilidade técnica do uso de resíduos agroindustriais em matrizes de suporte vegetal depende, primariamente, da ausência de fitotoxicidade aguda. Os dados de germinação (Tabela 2) indicam que o geocomposto não apenas preserva a viabilidade das sementes, mas em formulações específicas, otimiza o microambiente para a emergência. A formulação completa (N1) atingiu 98% de germinação, estatisticamente superior ao controle (92,6%), o que torna menos provável a ocorrência de liberação de aleloquímicos inibitórios em carga suficiente para suprimir a germinação após o processamento térmico e químico da biomassa de</w:t>
      </w:r>
      <w:r>
        <w:t xml:space="preserve"> </w:t>
      </w:r>
      <w:r>
        <w:rPr>
          <w:i/>
          <w:iCs/>
        </w:rPr>
        <w:t xml:space="preserve">Typha domingensis</w:t>
      </w:r>
      <w:r>
        <w:t xml:space="preserve">. A redução pontual observada em N2 (91%) é compatível com mudanças de composição do compósito, em particular a ausência do solvente limonênico em relação a N1, com potencial para alterar difusão de solutos e potencial osmótico do extrato no microambiente da semente.</w:t>
      </w:r>
    </w:p>
    <w:p>
      <w:pPr>
        <w:pStyle w:val="Corpodetexto"/>
      </w:pPr>
      <w:r>
        <w:t xml:space="preserve">Tabela 2. Análise de variância da germinação de sementes de rúcula conduzidas em extratos de núcleos hidrorretentores e controle.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Extrato núcleo hidrorretentor</w:t>
            </w:r>
          </w:p>
        </w:tc>
        <w:tc>
          <w:tcPr/>
          <w:p>
            <w:pPr>
              <w:pStyle w:val="Compact"/>
            </w:pPr>
            <w:r>
              <w:t xml:space="preserve">G% (média ± DP)</w:t>
            </w:r>
          </w:p>
        </w:tc>
        <w:tc>
          <w:tcPr/>
          <w:p>
            <w:pPr>
              <w:pStyle w:val="Compact"/>
            </w:pPr>
            <w:r>
              <w:t xml:space="preserve">IVG (h, média ± DP)</w:t>
            </w:r>
          </w:p>
        </w:tc>
        <w:tc>
          <w:tcPr/>
          <w:p>
            <w:pPr>
              <w:pStyle w:val="Compact"/>
            </w:pPr>
            <w:r>
              <w:t xml:space="preserve">TMG (h, média ± DP)</w:t>
            </w:r>
          </w:p>
        </w:tc>
      </w:tr>
      <w:tr>
        <w:tc>
          <w:tcPr/>
          <w:p>
            <w:pPr>
              <w:pStyle w:val="Compact"/>
            </w:pPr>
            <w:r>
              <w:t xml:space="preserve">N1 (formulação completa)</w:t>
            </w:r>
          </w:p>
        </w:tc>
        <w:tc>
          <w:tcPr/>
          <w:p>
            <w:pPr>
              <w:pStyle w:val="Compact"/>
            </w:pPr>
            <w:r>
              <w:t xml:space="preserve">98.00 ± 1.054 a</w:t>
            </w:r>
          </w:p>
        </w:tc>
        <w:tc>
          <w:tcPr/>
          <w:p>
            <w:pPr>
              <w:pStyle w:val="Compact"/>
            </w:pPr>
            <w:r>
              <w:t xml:space="preserve">2.045 ± 1.517 a</w:t>
            </w:r>
          </w:p>
        </w:tc>
        <w:tc>
          <w:tcPr/>
          <w:p>
            <w:pPr>
              <w:pStyle w:val="Compact"/>
            </w:pPr>
            <w:r>
              <w:t xml:space="preserve">2.045 ± 0.022 a</w:t>
            </w:r>
          </w:p>
        </w:tc>
      </w:tr>
      <w:tr>
        <w:tc>
          <w:tcPr/>
          <w:p>
            <w:pPr>
              <w:pStyle w:val="Compact"/>
            </w:pPr>
            <w:r>
              <w:t xml:space="preserve">N2 (sem resina)</w:t>
            </w:r>
          </w:p>
        </w:tc>
        <w:tc>
          <w:tcPr/>
          <w:p>
            <w:pPr>
              <w:pStyle w:val="Compact"/>
            </w:pPr>
            <w:r>
              <w:t xml:space="preserve">91.00 ± 1.885 c</w:t>
            </w:r>
          </w:p>
        </w:tc>
        <w:tc>
          <w:tcPr/>
          <w:p>
            <w:pPr>
              <w:pStyle w:val="Compact"/>
            </w:pPr>
            <w:r>
              <w:t xml:space="preserve">1.899 ± 1.282 a</w:t>
            </w:r>
          </w:p>
        </w:tc>
        <w:tc>
          <w:tcPr/>
          <w:p>
            <w:pPr>
              <w:pStyle w:val="Compact"/>
            </w:pPr>
            <w:r>
              <w:t xml:space="preserve">1.899 ± 0.393 c</w:t>
            </w:r>
          </w:p>
        </w:tc>
      </w:tr>
      <w:tr>
        <w:tc>
          <w:tcPr/>
          <w:p>
            <w:pPr>
              <w:pStyle w:val="Compact"/>
            </w:pPr>
            <w:r>
              <w:t xml:space="preserve">N3 (resíduos vegetais)</w:t>
            </w:r>
          </w:p>
        </w:tc>
        <w:tc>
          <w:tcPr/>
          <w:p>
            <w:pPr>
              <w:pStyle w:val="Compact"/>
            </w:pPr>
            <w:r>
              <w:t xml:space="preserve">95.30 ± 1.059 b</w:t>
            </w:r>
          </w:p>
        </w:tc>
        <w:tc>
          <w:tcPr/>
          <w:p>
            <w:pPr>
              <w:pStyle w:val="Compact"/>
            </w:pPr>
            <w:r>
              <w:t xml:space="preserve">2.002 ± 1.430 a</w:t>
            </w:r>
          </w:p>
        </w:tc>
        <w:tc>
          <w:tcPr/>
          <w:p>
            <w:pPr>
              <w:pStyle w:val="Compact"/>
            </w:pPr>
            <w:r>
              <w:t xml:space="preserve">1.989 ± 0.221 b</w:t>
            </w:r>
          </w:p>
        </w:tc>
      </w:tr>
      <w:tr>
        <w:tc>
          <w:tcPr/>
          <w:p>
            <w:pPr>
              <w:pStyle w:val="Compact"/>
            </w:pPr>
            <w:r>
              <w:t xml:space="preserve">N4 (resíduos e fibras)</w:t>
            </w:r>
          </w:p>
        </w:tc>
        <w:tc>
          <w:tcPr/>
          <w:p>
            <w:pPr>
              <w:pStyle w:val="Compact"/>
            </w:pPr>
            <w:r>
              <w:t xml:space="preserve">95.90 ± 0.994 b</w:t>
            </w:r>
          </w:p>
        </w:tc>
        <w:tc>
          <w:tcPr/>
          <w:p>
            <w:pPr>
              <w:pStyle w:val="Compact"/>
            </w:pPr>
            <w:r>
              <w:t xml:space="preserve">1.989 ± 1.335 a</w:t>
            </w:r>
          </w:p>
        </w:tc>
        <w:tc>
          <w:tcPr/>
          <w:p>
            <w:pPr>
              <w:pStyle w:val="Compact"/>
            </w:pPr>
            <w:r>
              <w:t xml:space="preserve">2.002 ± 0.020 b</w:t>
            </w:r>
          </w:p>
        </w:tc>
      </w:tr>
      <w:tr>
        <w:tc>
          <w:tcPr/>
          <w:p>
            <w:pPr>
              <w:pStyle w:val="Compact"/>
            </w:pPr>
            <w:r>
              <w:t xml:space="preserve">Control</w:t>
            </w:r>
          </w:p>
        </w:tc>
        <w:tc>
          <w:tcPr/>
          <w:p>
            <w:pPr>
              <w:pStyle w:val="Compact"/>
            </w:pPr>
            <w:r>
              <w:t xml:space="preserve">92.60 ± 2.458 c</w:t>
            </w:r>
          </w:p>
        </w:tc>
        <w:tc>
          <w:tcPr/>
          <w:p>
            <w:pPr>
              <w:pStyle w:val="Compact"/>
            </w:pPr>
            <w:r>
              <w:t xml:space="preserve">1.933 ± 1.365 a</w:t>
            </w:r>
          </w:p>
        </w:tc>
        <w:tc>
          <w:tcPr/>
          <w:p>
            <w:pPr>
              <w:pStyle w:val="Compact"/>
            </w:pPr>
            <w:r>
              <w:t xml:space="preserve">1.933 ± 0.513 c</w:t>
            </w:r>
          </w:p>
        </w:tc>
      </w:tr>
      <w:tr>
        <w:tc>
          <w:tcPr/>
          <w:p>
            <w:pPr>
              <w:pStyle w:val="Compact"/>
            </w:pPr>
            <w:r>
              <w:t xml:space="preserve">η² parcial</w:t>
            </w:r>
          </w:p>
        </w:tc>
        <w:tc>
          <w:tcPr/>
          <w:p>
            <w:pPr>
              <w:pStyle w:val="Compact"/>
            </w:pPr>
            <w:r>
              <w:t xml:space="preserve">0.727</w:t>
            </w:r>
          </w:p>
        </w:tc>
        <w:tc>
          <w:tcPr/>
          <w:p>
            <w:pPr>
              <w:pStyle w:val="Compact"/>
            </w:pPr>
            <w:r>
              <w:t xml:space="preserve">0.057</w:t>
            </w:r>
          </w:p>
        </w:tc>
        <w:tc>
          <w:tcPr/>
          <w:p>
            <w:pPr>
              <w:pStyle w:val="Compact"/>
            </w:pPr>
            <w:r>
              <w:t xml:space="preserve">0.739</w:t>
            </w:r>
          </w:p>
        </w:tc>
      </w:tr>
      <w:tr>
        <w:tc>
          <w:tcPr/>
          <w:p>
            <w:pPr>
              <w:pStyle w:val="Compact"/>
            </w:pPr>
            <w:r>
              <w:t xml:space="preserve">p</w:t>
            </w:r>
          </w:p>
        </w:tc>
        <w:tc>
          <w:tcPr/>
          <w:p>
            <w:pPr>
              <w:pStyle w:val="Compact"/>
            </w:pPr>
            <w:r>
              <w:t xml:space="preserve">&lt;0.001</w:t>
            </w:r>
          </w:p>
        </w:tc>
        <w:tc>
          <w:tcPr/>
          <w:p>
            <w:pPr>
              <w:pStyle w:val="Compact"/>
            </w:pPr>
            <w:r>
              <w:t xml:space="preserve">0.997</w:t>
            </w:r>
          </w:p>
        </w:tc>
        <w:tc>
          <w:tcPr/>
          <w:p>
            <w:pPr>
              <w:pStyle w:val="Compact"/>
            </w:pPr>
            <w:r>
              <w:t xml:space="preserve">&lt;0.001</w:t>
            </w:r>
          </w:p>
        </w:tc>
      </w:tr>
    </w:tbl>
    <w:p>
      <w:pPr>
        <w:pStyle w:val="Corpodetexto"/>
      </w:pPr>
      <w:r>
        <w:t xml:space="preserve">Complementarmente, a leitura temporal do processo de germinação, quando tratada como tempo até evento, reforça que o efeito das formulações se concentra na germinabilidade final, e não em uma aceleração ou desaceleração reprodutível da cinética. A Figura 6 mostra curvas de Kaplan Meier com alta sobreposição ao longo do horizonte de observação, sem abertura persistente de trajetórias que caracterizaria um deslocamento sistemático do risco instantâneo de germinar. Essa interpretação é coerente com a inferência do modelo de Cox com erros robustos por caixa, no qual as razões de risco permaneceram próximas da unidade e com elevada incerteza, com HR de 1.159 em N2, 0.978 em N3, 1.219 em N4 e 1.298 em N1, sempre acompanhadas de intervalos de confiança amplos e não excluindo 1, e com valores de p entre 0.573 e 0.955 na comparação com o controle.</w:t>
      </w:r>
    </w:p>
    <w:p>
      <w:pPr>
        <w:pStyle w:val="Corpodetexto"/>
      </w:pPr>
      <w:r>
        <w:t xml:space="preserve">Figura 6. Curvas de germinação acumulada (Kaplan-Meier) de sementes de rúcula expostas aos extratos aquosos dos núcleos hidrorretentores e ao controle (água destilada).</w:t>
      </w:r>
    </w:p>
    <w:p>
      <w:pPr>
        <w:pStyle w:val="Figure"/>
      </w:pPr>
      <w:r>
        <w:drawing>
          <wp:inline>
            <wp:extent cx="5600700" cy="4574668"/>
            <wp:effectExtent b="0" l="0" r="0" t="0"/>
            <wp:docPr descr="Figura 6. Curvas de germinação acumulada (Kaplan-Meier) de sementes de rúcula expostas aos extratos aquosos dos núcleos hidrorretentores e ao controle (água destilada)." title="" id="52" name="Picture"/>
            <a:graphic>
              <a:graphicData uri="http://schemas.openxmlformats.org/drawingml/2006/picture">
                <pic:pic>
                  <pic:nvPicPr>
                    <pic:cNvPr descr="../2-IMG/Fig_survival_germinacao.png" id="53" name="Picture"/>
                    <pic:cNvPicPr>
                      <a:picLocks noChangeArrowheads="1" noChangeAspect="1"/>
                    </pic:cNvPicPr>
                  </pic:nvPicPr>
                  <pic:blipFill>
                    <a:blip r:embed="rId51"/>
                    <a:stretch>
                      <a:fillRect/>
                    </a:stretch>
                  </pic:blipFill>
                  <pic:spPr bwMode="auto">
                    <a:xfrm>
                      <a:off x="0" y="0"/>
                      <a:ext cx="5600700" cy="4574668"/>
                    </a:xfrm>
                    <a:prstGeom prst="rect">
                      <a:avLst/>
                    </a:prstGeom>
                    <a:noFill/>
                    <a:ln w="9525">
                      <a:noFill/>
                      <a:headEnd/>
                      <a:tailEnd/>
                    </a:ln>
                  </pic:spPr>
                </pic:pic>
              </a:graphicData>
            </a:graphic>
          </wp:inline>
        </w:drawing>
      </w:r>
    </w:p>
    <w:p>
      <w:pPr>
        <w:pStyle w:val="FirstParagraph"/>
      </w:pPr>
      <w:r>
        <w:t xml:space="preserve">Sob a ótica de engenharia do microambiente, esse padrão sugere que as formulações não impuseram uma alteração consistente no regime de embebição e na disponibilidade efetiva de água em escala de semente, condição que, quando suficientemente intensa, tende a se manifestar como deslocamento temporal detectável na emergência e no vigor inicial por efeito direto sobre a retenção hídrica</w:t>
      </w:r>
      <w:r>
        <w:t xml:space="preserve"> </w:t>
      </w:r>
      <w:r>
        <w:t xml:space="preserve">(</w:t>
      </w:r>
      <w:hyperlink w:anchor="ref-Nada2015_hydrogel">
        <w:r>
          <w:rPr>
            <w:rStyle w:val="Hyperlink"/>
          </w:rPr>
          <w:t xml:space="preserve">Nada &amp; Blumenstein, 2015</w:t>
        </w:r>
      </w:hyperlink>
      <w:r>
        <w:t xml:space="preserve">)</w:t>
      </w:r>
      <w:r>
        <w:t xml:space="preserve"> </w:t>
      </w:r>
      <w:r>
        <w:t xml:space="preserve">e a liberação gradativa de água em sistemas condicionados por hidrogéis superabsorventes</w:t>
      </w:r>
      <w:r>
        <w:t xml:space="preserve"> </w:t>
      </w:r>
      <w:r>
        <w:t xml:space="preserve">(</w:t>
      </w:r>
      <w:hyperlink w:anchor="ref-Fernandez2022_polyacrylamide">
        <w:r>
          <w:rPr>
            <w:rStyle w:val="Hyperlink"/>
          </w:rPr>
          <w:t xml:space="preserve">Fernández et al., 2022</w:t>
        </w:r>
      </w:hyperlink>
      <w:r>
        <w:t xml:space="preserve">)</w:t>
      </w:r>
      <w:r>
        <w:t xml:space="preserve">. Assim, a ausência de separação persistente das curvas e na proximidade de HR da unidade na Tabela 3 indicam que a intervenção atuou majoritariamente como ajuste de viabilidade final e não como controlador cinético robusto, ficando as variações pontuais compatíveis com flutuações intrínsecas do sistema e com a estrutura de censura do ensaio.</w:t>
      </w:r>
    </w:p>
    <w:p>
      <w:pPr>
        <w:pStyle w:val="Corpodetexto"/>
      </w:pPr>
      <w:r>
        <w:t xml:space="preserve">Tabela 3. Modelo de Cox (referência = controle, água destilada) para tempo até germinação; HR &gt; 1 indica maior velocidade de germinação em relação ao controle. {#tbl:cox-germinacao}</w:t>
      </w:r>
      <w:r>
        <w:t xml:space="preserve"> </w:t>
      </w:r>
      <w:r>
        <w:t xml:space="preserve">| Tratamento (mapeamento) | HR vs controle | IC95% (HR) | p |</w:t>
      </w:r>
      <w:r>
        <w:t xml:space="preserve"> </w:t>
      </w:r>
      <w:r>
        <w:t xml:space="preserve">| — | —: | — | —: |</w:t>
      </w:r>
      <w:r>
        <w:t xml:space="preserve"> </w:t>
      </w:r>
      <w:r>
        <w:t xml:space="preserve">| N2 (sem resina) | 1.159 | 0.495-2.716 | 0.733 |</w:t>
      </w:r>
      <w:r>
        <w:t xml:space="preserve"> </w:t>
      </w:r>
      <w:r>
        <w:t xml:space="preserve">| N3 (resíduos vegetais) | 0.978 | 0.453-2.109 | 0.955 |</w:t>
      </w:r>
      <w:r>
        <w:t xml:space="preserve"> </w:t>
      </w:r>
      <w:r>
        <w:t xml:space="preserve">| N4 (resíduos e fibras) | 1.219 | 0.545-2.725 | 0.630 |</w:t>
      </w:r>
      <w:r>
        <w:t xml:space="preserve"> </w:t>
      </w:r>
      <w:r>
        <w:t xml:space="preserve">| N1 (formulação completa) | 1.298 | 0.524-3.216 | 0.573 |</w:t>
      </w:r>
    </w:p>
    <w:p>
      <w:pPr>
        <w:pStyle w:val="Corpodetexto"/>
      </w:pPr>
      <w:r>
        <w:t xml:space="preserve">Do ponto de vista cinético, o ligeiro atraso no Tempo Médio de Germinação (TMG) observado em N1 e N4 é consistente com o comportamento temporal sintetizado na Figura 6 e pode refletir uma competição física por água livre, e não toxicidade metabólica. Esse fenômeno de modulação da embebição alinha-se às observações de</w:t>
      </w:r>
      <w:r>
        <w:t xml:space="preserve"> </w:t>
      </w:r>
      <w:r>
        <w:t xml:space="preserve">Thombare et al. (</w:t>
      </w:r>
      <w:hyperlink w:anchor="ref-thombare2018_guargum">
        <w:r>
          <w:rPr>
            <w:rStyle w:val="Hyperlink"/>
          </w:rPr>
          <w:t xml:space="preserve">2018</w:t>
        </w:r>
      </w:hyperlink>
      <w:r>
        <w:t xml:space="preserve">)</w:t>
      </w:r>
      <w:r>
        <w:t xml:space="preserve">, que descreveram como hidrorretentores alteram a hidrodinâmica da fase I da germinação, prolongando o tempo de embebição sem comprometer a viabilidade. Esse atraso não implicou perda de germinabilidade, e a estabilidade do Índice de Velocidade de Germinação (IVG) representada na Figura 7 indicando preservação do desempenho fisiológico médio sob as condições do ensaio.</w:t>
      </w:r>
    </w:p>
    <w:p>
      <w:pPr>
        <w:pStyle w:val="Corpodetexto"/>
      </w:pPr>
      <w:bookmarkStart w:id="57" w:name="fig:ivg"/>
      <w:r>
        <w:drawing>
          <wp:inline>
            <wp:extent cx="5600700" cy="4160314"/>
            <wp:effectExtent b="0" l="0" r="0" t="0"/>
            <wp:docPr descr="Figura 7. Índice de velocidade de germinação (IVG) de sementes de rúcula cultivadas em diferentes extratos de núcleos hidrorretentores e controle." title="" id="55" name="Picture"/>
            <a:graphic>
              <a:graphicData uri="http://schemas.openxmlformats.org/drawingml/2006/picture">
                <pic:pic>
                  <pic:nvPicPr>
                    <pic:cNvPr descr="../2-IMG/Fig_005.png" id="56" name="Picture"/>
                    <pic:cNvPicPr>
                      <a:picLocks noChangeArrowheads="1" noChangeAspect="1"/>
                    </pic:cNvPicPr>
                  </pic:nvPicPr>
                  <pic:blipFill>
                    <a:blip r:embed="rId54"/>
                    <a:stretch>
                      <a:fillRect/>
                    </a:stretch>
                  </pic:blipFill>
                  <pic:spPr bwMode="auto">
                    <a:xfrm>
                      <a:off x="0" y="0"/>
                      <a:ext cx="5600700" cy="4160314"/>
                    </a:xfrm>
                    <a:prstGeom prst="rect">
                      <a:avLst/>
                    </a:prstGeom>
                    <a:noFill/>
                    <a:ln w="9525">
                      <a:noFill/>
                      <a:headEnd/>
                      <a:tailEnd/>
                    </a:ln>
                  </pic:spPr>
                </pic:pic>
              </a:graphicData>
            </a:graphic>
          </wp:inline>
        </w:drawing>
      </w:r>
      <w:bookmarkEnd w:id="57"/>
      <w:r>
        <w:t xml:space="preserve"> </w:t>
      </w:r>
      <w:r>
        <w:t xml:space="preserve">Nota: Letras diferentes indicam diferenças estatisticamente significativas (Tukey HSD; p &lt; 0,05).</w:t>
      </w:r>
    </w:p>
    <w:bookmarkEnd w:id="58"/>
    <w:bookmarkStart w:id="75" w:name="morfogênese-e-respostas-bioestimulantes"/>
    <w:p>
      <w:pPr>
        <w:pStyle w:val="Ttulo2"/>
      </w:pPr>
      <w:r>
        <w:t xml:space="preserve">Morfogênese e Respostas Bioestimulantes</w:t>
      </w:r>
    </w:p>
    <w:p>
      <w:pPr>
        <w:pStyle w:val="FirstParagraph"/>
      </w:pPr>
      <w:r>
        <w:t xml:space="preserve">A análise vetorial da morfogênese (Figura 8) indica que a resposta biológica dos núcleos não se manifesta como supressão sistêmica, mas como estímulo diferencial entre tecidos. No compartimento aéreo (Figura 8a), as formulações N1 e N3 apresentaram incrementos superiores a 100% em relação ao controle, padrão compatível com bioestimulação por frações orgânicas solúveis que modulam a expansão celular em estágio inicial, sem evidência de penalidade global de germinação. Esse comportamento contrasta com perfis de inibição descritos para alelopatia clássica em macrófitas</w:t>
      </w:r>
      <w:r>
        <w:t xml:space="preserve"> </w:t>
      </w:r>
      <w:r>
        <w:t xml:space="preserve">(</w:t>
      </w:r>
      <w:hyperlink w:anchor="ref-cipollini2016_comparison">
        <w:r>
          <w:rPr>
            <w:rStyle w:val="Hyperlink"/>
          </w:rPr>
          <w:t xml:space="preserve">Cipollini &amp; Greenawalt Bohrer, 2016</w:t>
        </w:r>
      </w:hyperlink>
      <w:r>
        <w:t xml:space="preserve">)</w:t>
      </w:r>
      <w:r>
        <w:t xml:space="preserve"> </w:t>
      </w:r>
      <w:r>
        <w:t xml:space="preserve">e permanece coerente com discussões sobre bioestimulantes vegetais, nas quais o efeito pode emergir como aceleração do alongamento sem requerer alteração mensurável de viabilidade</w:t>
      </w:r>
      <w:r>
        <w:t xml:space="preserve"> </w:t>
      </w:r>
      <w:r>
        <w:t xml:space="preserve">(</w:t>
      </w:r>
      <w:hyperlink w:anchor="ref-lucini2018_biostimulant">
        <w:r>
          <w:rPr>
            <w:rStyle w:val="Hyperlink"/>
          </w:rPr>
          <w:t xml:space="preserve">Lucini et al., 2018</w:t>
        </w:r>
      </w:hyperlink>
      <w:r>
        <w:t xml:space="preserve">)</w:t>
      </w:r>
      <w:r>
        <w:t xml:space="preserve">.</w:t>
      </w:r>
    </w:p>
    <w:p>
      <w:pPr>
        <w:pStyle w:val="Corpodetexto"/>
      </w:pPr>
      <w:r>
        <w:t xml:space="preserve">Em contrapartida, a arquitetura da resposta radicular (Figura 8b) evidenciou maior dependência da composição do compósito, um padrão recorrente quando a variável resposta é governada por gradientes microssituacionais de potencial hídrico, difusão de oxigênio e resistência mecânica do meio. Diferentemente do compartimento aéreo, que respondeu de forma marcada à fração vegetal isolada (N3), o crescimento radicular apresentou maiores ganhos nas formulações contendo fibras ou o compósito completo (N1 e N4), sugerindo que a presença de uma fase estruturante atua como condicionante do regime de poros e da conectividade capilar, controlando simultaneamente a oferta de água e a impedância ao avanço da radícula. Essa dissociação é compatível com relatos de polímeros superabsorventes empregados como condicionadores de substrato, nos quais ganhos em estabelecimento tendem a depender do comportamento de inchamento sob carga e da estabilidade do arcabouço poroso, modulando a dinâmica de água no microambiente sem impor uma assinatura uniforme de fitotoxicidade</w:t>
      </w:r>
      <w:r>
        <w:t xml:space="preserve"> </w:t>
      </w:r>
      <w:r>
        <w:t xml:space="preserve">(</w:t>
      </w:r>
      <w:hyperlink w:anchor="ref-KhodadadiDehkordi2018">
        <w:r>
          <w:rPr>
            <w:rStyle w:val="Hyperlink"/>
          </w:rPr>
          <w:t xml:space="preserve">Khodadadi Dehkordi, 2018</w:t>
        </w:r>
      </w:hyperlink>
      <w:r>
        <w:t xml:space="preserve">;</w:t>
      </w:r>
      <w:r>
        <w:t xml:space="preserve"> </w:t>
      </w:r>
      <w:hyperlink w:anchor="ref-Lejcu2018">
        <w:r>
          <w:rPr>
            <w:rStyle w:val="Hyperlink"/>
          </w:rPr>
          <w:t xml:space="preserve">Lejcus et al., 2018</w:t>
        </w:r>
      </w:hyperlink>
      <w:r>
        <w:t xml:space="preserve">)</w:t>
      </w:r>
      <w:r>
        <w:t xml:space="preserve">.</w:t>
      </w:r>
    </w:p>
    <w:p>
      <w:pPr>
        <w:pStyle w:val="Corpodetexto"/>
      </w:pPr>
      <w:r>
        <w:t xml:space="preserve">— | — |</w:t>
      </w:r>
      <w:r>
        <w:br/>
      </w:r>
      <w:bookmarkStart w:id="62" w:name="fig:hipocotilo"/>
      <w:r>
        <w:drawing>
          <wp:inline>
            <wp:extent cx="5600700" cy="4156750"/>
            <wp:effectExtent b="0" l="0" r="0" t="0"/>
            <wp:docPr descr="Figura 8. Comprimento médio de (a) hipocótilo e (b) das radículas de rúcula conduzida em extratos de núcleos hidrorretentores de Typha domingensis." title="" id="60" name="Picture"/>
            <a:graphic>
              <a:graphicData uri="http://schemas.openxmlformats.org/drawingml/2006/picture">
                <pic:pic>
                  <pic:nvPicPr>
                    <pic:cNvPr descr="../2-IMG/Fig_006.png" id="61" name="Picture"/>
                    <pic:cNvPicPr>
                      <a:picLocks noChangeArrowheads="1" noChangeAspect="1"/>
                    </pic:cNvPicPr>
                  </pic:nvPicPr>
                  <pic:blipFill>
                    <a:blip r:embed="rId59"/>
                    <a:stretch>
                      <a:fillRect/>
                    </a:stretch>
                  </pic:blipFill>
                  <pic:spPr bwMode="auto">
                    <a:xfrm>
                      <a:off x="0" y="0"/>
                      <a:ext cx="5600700" cy="4156750"/>
                    </a:xfrm>
                    <a:prstGeom prst="rect">
                      <a:avLst/>
                    </a:prstGeom>
                    <a:noFill/>
                    <a:ln w="9525">
                      <a:noFill/>
                      <a:headEnd/>
                      <a:tailEnd/>
                    </a:ln>
                  </pic:spPr>
                </pic:pic>
              </a:graphicData>
            </a:graphic>
          </wp:inline>
        </w:drawing>
      </w:r>
      <w:bookmarkEnd w:id="62"/>
      <w:r>
        <w:t xml:space="preserve"> </w:t>
      </w:r>
      <w:r>
        <w:t xml:space="preserve">|</w:t>
      </w:r>
      <w:r>
        <w:t xml:space="preserve"> </w:t>
      </w:r>
      <w:bookmarkStart w:id="66" w:name="fig:radicula"/>
      <w:r>
        <w:drawing>
          <wp:inline>
            <wp:extent cx="5600700" cy="4156750"/>
            <wp:effectExtent b="0" l="0" r="0" t="0"/>
            <wp:docPr descr="" title="" id="64" name="Picture"/>
            <a:graphic>
              <a:graphicData uri="http://schemas.openxmlformats.org/drawingml/2006/picture">
                <pic:pic>
                  <pic:nvPicPr>
                    <pic:cNvPr descr="../2-IMG/Fig_007.png" id="65" name="Picture"/>
                    <pic:cNvPicPr>
                      <a:picLocks noChangeArrowheads="1" noChangeAspect="1"/>
                    </pic:cNvPicPr>
                  </pic:nvPicPr>
                  <pic:blipFill>
                    <a:blip r:embed="rId63"/>
                    <a:stretch>
                      <a:fillRect/>
                    </a:stretch>
                  </pic:blipFill>
                  <pic:spPr bwMode="auto">
                    <a:xfrm>
                      <a:off x="0" y="0"/>
                      <a:ext cx="5600700" cy="4156750"/>
                    </a:xfrm>
                    <a:prstGeom prst="rect">
                      <a:avLst/>
                    </a:prstGeom>
                    <a:noFill/>
                    <a:ln w="9525">
                      <a:noFill/>
                      <a:headEnd/>
                      <a:tailEnd/>
                    </a:ln>
                  </pic:spPr>
                </pic:pic>
              </a:graphicData>
            </a:graphic>
          </wp:inline>
        </w:drawing>
      </w:r>
      <w:bookmarkEnd w:id="66"/>
      <w:r>
        <w:t xml:space="preserve"> </w:t>
      </w:r>
      <w:r>
        <w:t xml:space="preserve">|</w:t>
      </w:r>
    </w:p>
    <w:p>
      <w:pPr>
        <w:pStyle w:val="Corpodetexto"/>
      </w:pPr>
      <w:r>
        <w:t xml:space="preserve">Os resultados quantitativos consolidados no Anexo (Tabela A1) reforçam essa leitura e explicitam a magnitude das diferenças. No hipocótilo, o efeito de tratamento foi forte (p &lt; 0.001;</w:t>
      </w:r>
      <w:r>
        <w:t xml:space="preserve"> </w:t>
      </w:r>
      <m:oMath>
        <m:sSup>
          <m:e>
            <m:r>
              <m:t>η</m:t>
            </m:r>
          </m:e>
          <m:sup>
            <m:r>
              <m:t>2</m:t>
            </m:r>
          </m:sup>
        </m:sSup>
      </m:oMath>
      <w:r>
        <w:t xml:space="preserve"> </w:t>
      </w:r>
      <w:r>
        <w:t xml:space="preserve">parcial = 0.684), com N1 (31.236 ± 4.490 mm) e N3 (30.075 ± 7.137 mm) formando o patamar superior em relação ao controle (15.121 ± 2.685 mm), isto é, (ΔM = 16.115 mm) e (ΔM = 14.954 mm), respectivamente, enquanto N2 permaneceu próximo ao controle (ΔM = -0.594 mm) e N4 ocupou posição intermediária (ΔM = 6.102 mm). Esse padrão é coerente com a hipótese de que o compósito atua como modulador fisiológico, e não como agente de estresse agudo, uma vez que incrementos expressivos em alongamento inicial podem emergir de alterações em turgescência, permeabilidade e balanço osmótico no período pós-embebição, sem requerer mudanças concomitantes em viabilidade ou em marcadores clássicos de dano. Essa assinatura de resposta, com ganho de parte aérea mais pronunciado do que o componente radicular em algumas formulações, é congruente com a noção de que sinais orgânicos em baixa concentração podem atuar como moduladores de resposta, enquanto a cinética de embebição e as transições de turgor permanecem como determinantes de desempenho inicial</w:t>
      </w:r>
      <w:r>
        <w:t xml:space="preserve"> </w:t>
      </w:r>
      <w:r>
        <w:t xml:space="preserve">(</w:t>
      </w:r>
      <w:hyperlink w:anchor="ref-bewley2013_seeds">
        <w:r>
          <w:rPr>
            <w:rStyle w:val="Hyperlink"/>
          </w:rPr>
          <w:t xml:space="preserve">Bewley et al., 2013</w:t>
        </w:r>
      </w:hyperlink>
      <w:r>
        <w:t xml:space="preserve">;</w:t>
      </w:r>
      <w:r>
        <w:t xml:space="preserve"> </w:t>
      </w:r>
      <w:hyperlink w:anchor="ref-dujardin2015_biostimulants">
        <w:r>
          <w:rPr>
            <w:rStyle w:val="Hyperlink"/>
          </w:rPr>
          <w:t xml:space="preserve">Jardin, 2015</w:t>
        </w:r>
      </w:hyperlink>
      <w:r>
        <w:t xml:space="preserve">)</w:t>
      </w:r>
      <w:r>
        <w:t xml:space="preserve">.</w:t>
      </w:r>
    </w:p>
    <w:p>
      <w:pPr>
        <w:pStyle w:val="Corpodetexto"/>
      </w:pPr>
      <w:r>
        <w:t xml:space="preserve">No eixo radicular, embora o tamanho de efeito seja menor (p &lt; 0.001;</w:t>
      </w:r>
      <w:r>
        <w:t xml:space="preserve"> </w:t>
      </w:r>
      <m:oMath>
        <m:sSup>
          <m:e>
            <m:r>
              <m:t>η</m:t>
            </m:r>
          </m:e>
          <m:sup>
            <m:r>
              <m:t>2</m:t>
            </m:r>
          </m:sup>
        </m:sSup>
      </m:oMath>
      <w:r>
        <w:t xml:space="preserve"> </w:t>
      </w:r>
      <w:r>
        <w:t xml:space="preserve">parcial = 0.226), a resposta permaneceu detectável, com N4 (19.498 ± 7.146 mm) e N1 (18.868 ± 7.380 mm) superando o controle (12.857 ± 2.691 mm), com (ΔM = 6.641 mm) e (ΔM = 6.011 mm), respectivamente, ao passo que N3 permaneceu próximo do controle (ΔM = 0.495 mm).</w:t>
      </w:r>
      <w:r>
        <w:t xml:space="preserve"> </w:t>
      </w:r>
      <w:r>
        <w:t xml:space="preserve">Mo et al. (</w:t>
      </w:r>
      <w:hyperlink w:anchor="ref-Mo2024">
        <w:r>
          <w:rPr>
            <w:rStyle w:val="Hyperlink"/>
          </w:rPr>
          <w:t xml:space="preserve">2024</w:t>
        </w:r>
      </w:hyperlink>
      <w:r>
        <w:t xml:space="preserve">)</w:t>
      </w:r>
      <w:r>
        <w:t xml:space="preserve"> </w:t>
      </w:r>
      <w:r>
        <w:t xml:space="preserve">discute que matrizes orgânicas funcionalizadas podem liberar microdoses de carbono lábil e cofatores enzimáticos, mecanismos compatíveis com aumentos de crescimento sem elevação concomitante de variáveis clássicas de dano.</w:t>
      </w:r>
    </w:p>
    <w:p>
      <w:pPr>
        <w:pStyle w:val="Corpodetexto"/>
      </w:pPr>
      <w:r>
        <w:t xml:space="preserve">Quando o efeito é expresso em termos percentuais para a parte aérea, a Figura 9a evidencia diferenças detectáveis entre formulações (p &lt; 0.001;</w:t>
      </w:r>
      <w:r>
        <w:t xml:space="preserve"> </w:t>
      </w:r>
      <m:oMath>
        <m:sSup>
          <m:e>
            <m:r>
              <m:t>η</m:t>
            </m:r>
          </m:e>
          <m:sup>
            <m:r>
              <m:t>2</m:t>
            </m:r>
          </m:sup>
        </m:sSup>
      </m:oMath>
      <w:r>
        <w:t xml:space="preserve"> </w:t>
      </w:r>
      <w:r>
        <w:t xml:space="preserve">parcial = 0.617), com respostas positivas elevadas em N1 e N4 e valores próximos de zero ou negativos em N2. Esse padrão é consistente com modulação seletiva de vigor, na qual o ganho do hipocótilo se intensifica sem a assinatura típica de supressão generalizada que caracterizaria fitotoxicidade aguda, indicando predominância de rotas de expansão celular e ajuste osmótico sob baixa carga de aleloquímicos. Em sistemas receptor-doador, a direção da resposta tende a depender de concentração efetiva e tempo de residência no microambiente, fenômeno discutido em sínteses mecanísticas de alelopatia e interações químicas planta-planta por</w:t>
      </w:r>
      <w:r>
        <w:t xml:space="preserve"> </w:t>
      </w:r>
      <w:r>
        <w:t xml:space="preserve">Schandry &amp; Becker (</w:t>
      </w:r>
      <w:hyperlink w:anchor="ref-schandry2020_allelopathicplants">
        <w:r>
          <w:rPr>
            <w:rStyle w:val="Hyperlink"/>
          </w:rPr>
          <w:t xml:space="preserve">2020</w:t>
        </w:r>
      </w:hyperlink>
      <w:r>
        <w:t xml:space="preserve">)</w:t>
      </w:r>
      <w:r>
        <w:t xml:space="preserve">.</w:t>
      </w:r>
    </w:p>
    <w:p>
      <w:pPr>
        <w:pStyle w:val="Corpodetexto"/>
      </w:pPr>
      <w:r>
        <w:t xml:space="preserve">Ao analisar o componente radicular sob a mesma ótica, a Figura 9b mostra um sinal mais contido (p &lt; 0.001;</w:t>
      </w:r>
      <w:r>
        <w:t xml:space="preserve"> </w:t>
      </w:r>
      <m:oMath>
        <m:sSup>
          <m:e>
            <m:r>
              <m:t>η</m:t>
            </m:r>
          </m:e>
          <m:sup>
            <m:r>
              <m:t>2</m:t>
            </m:r>
          </m:sup>
        </m:sSup>
      </m:oMath>
      <w:r>
        <w:t xml:space="preserve"> </w:t>
      </w:r>
      <w:r>
        <w:t xml:space="preserve">parcial = 0.183), com percentuais próximos de zero ou negativos em N2, N3 e no controle, ao passo que N1 e N4 concentram os maiores valores positivos. Em termos de mecanismo, esse desacoplamento entre resposta aérea mais pronunciada e resposta radicular mais moderada é compatível com condicionamento morfofisiológico do sistema, no qual microdoses de compostos orgânicos podem alterar a cinética de expansão celular e a alocação de fotoassimilados sem induzir colapso funcional. A maior sensibilidade do sistema radicular ao gradiente químico e ao balanço redox do microambiente é recorrente em discussões sobre fenolização e interferência metabólica em alelopatia, em que pequenas variações de frações fenólicas podem deslocar a resposta do crescimento sem necessariamente configurar dano agudo, conforme discutido em revisões mecanísticas do tema.</w:t>
      </w:r>
    </w:p>
    <w:p>
      <w:pPr>
        <w:pStyle w:val="Corpodetexto"/>
      </w:pPr>
      <w:r>
        <w:t xml:space="preserve">— | — |</w:t>
      </w:r>
      <w:r>
        <w:br/>
      </w:r>
      <w:bookmarkStart w:id="70" w:name="fig:inibicao-hipo"/>
      <w:r>
        <w:drawing>
          <wp:inline>
            <wp:extent cx="5600700" cy="4154352"/>
            <wp:effectExtent b="0" l="0" r="0" t="0"/>
            <wp:docPr descr="Figura 9. (a) Efeito inibitório no crescimento de hipocótilo (a) e do crescimento da radícula (b) de rúcula conduzida em extratos de núcleos hidrorretentores de Typha domingensis." title="" id="68" name="Picture"/>
            <a:graphic>
              <a:graphicData uri="http://schemas.openxmlformats.org/drawingml/2006/picture">
                <pic:pic>
                  <pic:nvPicPr>
                    <pic:cNvPr descr="../2-IMG/Fig_008.png" id="69" name="Picture"/>
                    <pic:cNvPicPr>
                      <a:picLocks noChangeArrowheads="1" noChangeAspect="1"/>
                    </pic:cNvPicPr>
                  </pic:nvPicPr>
                  <pic:blipFill>
                    <a:blip r:embed="rId67"/>
                    <a:stretch>
                      <a:fillRect/>
                    </a:stretch>
                  </pic:blipFill>
                  <pic:spPr bwMode="auto">
                    <a:xfrm>
                      <a:off x="0" y="0"/>
                      <a:ext cx="5600700" cy="4154352"/>
                    </a:xfrm>
                    <a:prstGeom prst="rect">
                      <a:avLst/>
                    </a:prstGeom>
                    <a:noFill/>
                    <a:ln w="9525">
                      <a:noFill/>
                      <a:headEnd/>
                      <a:tailEnd/>
                    </a:ln>
                  </pic:spPr>
                </pic:pic>
              </a:graphicData>
            </a:graphic>
          </wp:inline>
        </w:drawing>
      </w:r>
      <w:bookmarkEnd w:id="70"/>
      <w:r>
        <w:t xml:space="preserve"> </w:t>
      </w:r>
      <w:r>
        <w:t xml:space="preserve">|</w:t>
      </w:r>
      <w:r>
        <w:t xml:space="preserve"> </w:t>
      </w:r>
      <w:bookmarkStart w:id="74" w:name="fig:inibicao-rad"/>
      <w:r>
        <w:drawing>
          <wp:inline>
            <wp:extent cx="5600700" cy="4156750"/>
            <wp:effectExtent b="0" l="0" r="0" t="0"/>
            <wp:docPr descr="" title="" id="72" name="Picture"/>
            <a:graphic>
              <a:graphicData uri="http://schemas.openxmlformats.org/drawingml/2006/picture">
                <pic:pic>
                  <pic:nvPicPr>
                    <pic:cNvPr descr="../2-IMG/Fig_009.png" id="73" name="Picture"/>
                    <pic:cNvPicPr>
                      <a:picLocks noChangeArrowheads="1" noChangeAspect="1"/>
                    </pic:cNvPicPr>
                  </pic:nvPicPr>
                  <pic:blipFill>
                    <a:blip r:embed="rId71"/>
                    <a:stretch>
                      <a:fillRect/>
                    </a:stretch>
                  </pic:blipFill>
                  <pic:spPr bwMode="auto">
                    <a:xfrm>
                      <a:off x="0" y="0"/>
                      <a:ext cx="5600700" cy="4156750"/>
                    </a:xfrm>
                    <a:prstGeom prst="rect">
                      <a:avLst/>
                    </a:prstGeom>
                    <a:noFill/>
                    <a:ln w="9525">
                      <a:noFill/>
                      <a:headEnd/>
                      <a:tailEnd/>
                    </a:ln>
                  </pic:spPr>
                </pic:pic>
              </a:graphicData>
            </a:graphic>
          </wp:inline>
        </w:drawing>
      </w:r>
      <w:bookmarkEnd w:id="74"/>
      <w:r>
        <w:t xml:space="preserve"> </w:t>
      </w:r>
      <w:r>
        <w:t xml:space="preserve">|</w:t>
      </w:r>
    </w:p>
    <w:bookmarkEnd w:id="75"/>
    <w:bookmarkStart w:id="82" w:name="performance-agronômica-em-mesocosmo"/>
    <w:p>
      <w:pPr>
        <w:pStyle w:val="Ttulo2"/>
      </w:pPr>
      <w:r>
        <w:t xml:space="preserve">Performance Agronômica em Mesocosmo</w:t>
      </w:r>
    </w:p>
    <w:p>
      <w:pPr>
        <w:pStyle w:val="FirstParagraph"/>
      </w:pPr>
      <w:r>
        <w:t xml:space="preserve">O ensaio em mesocosmo, conduzido em bandeja, foi desenhado para testar se os efeitos observados na triagem inicial se materializam como desempenho agronômico em microcosmo sob ciclos de irrigação e secagem, e essa resposta é sintetizada na Figura 10 por métricas de alongamento relativo e pelo índice de Dependência do Núcleo (DN%). Sob o prisma do alongamento da parte aérea, representado na Figura 10a, não se detectou separação estatisticamente significativa entre os tratamentos (ANOVA; p = 0.7467;</w:t>
      </w:r>
      <w:r>
        <w:t xml:space="preserve"> </w:t>
      </w:r>
      <m:oMath>
        <m:sSup>
          <m:e>
            <m:r>
              <m:t>η</m:t>
            </m:r>
          </m:e>
          <m:sup>
            <m:r>
              <m:t>2</m:t>
            </m:r>
          </m:sup>
        </m:sSup>
      </m:oMath>
      <w:r>
        <w:t xml:space="preserve"> </w:t>
      </w:r>
      <w:r>
        <w:t xml:space="preserve">parcial = 0.019), com médias de 79.516 ± 76.667% (N1), 57.963 ± 56.877% (N3) e 74.812 ± 72.486% (N4).</w:t>
      </w:r>
    </w:p>
    <w:p>
      <w:pPr>
        <w:pStyle w:val="Corpodetexto"/>
      </w:pPr>
      <w:r>
        <w:t xml:space="preserve">Mesmo com N1 e N4 exibindo valores médios numericamente superiores a N3, aproximadamente 37% e 29% maiores, respectivamente, a dispersão elevada, expressa por DP altos, reduz a capacidade de discriminação de diferenças em elongação aérea no horizonte avaliado. Esse padrão é consistente com ensaios em microcosmos que avaliam polímeros superabsorventes, nos quais a variabilidade espacial do estabelecimento e a heterogeneidade do regime de umedecimento podem obscurecer diferenças em endpoints de alongamento, principalmente quando a resposta é dominada por eventos localizados de falha de pegamento ou por competição intra-bandeja, mesmo na presença de efeitos em retenção hídrica do substrato</w:t>
      </w:r>
      <w:r>
        <w:t xml:space="preserve"> </w:t>
      </w:r>
      <w:r>
        <w:t xml:space="preserve">(</w:t>
      </w:r>
      <w:hyperlink w:anchor="ref-gao2023_quenched">
        <w:r>
          <w:rPr>
            <w:rStyle w:val="Hyperlink"/>
          </w:rPr>
          <w:t xml:space="preserve">Gao et al., 2023</w:t>
        </w:r>
      </w:hyperlink>
      <w:r>
        <w:t xml:space="preserve">;</w:t>
      </w:r>
      <w:r>
        <w:t xml:space="preserve"> </w:t>
      </w:r>
      <w:hyperlink w:anchor="ref-Palma2024">
        <w:r>
          <w:rPr>
            <w:rStyle w:val="Hyperlink"/>
          </w:rPr>
          <w:t xml:space="preserve">Palma et al., 2024</w:t>
        </w:r>
      </w:hyperlink>
      <w:r>
        <w:t xml:space="preserve">)</w:t>
      </w:r>
      <w:r>
        <w:t xml:space="preserve">.</w:t>
      </w:r>
    </w:p>
    <w:p>
      <w:pPr>
        <w:pStyle w:val="Corpodetexto"/>
      </w:pPr>
      <w:r>
        <w:t xml:space="preserve">O comportamento radicular, representado na Figura 10b, foi igualmente dominado pela variabilidade do microcosmo, e não apresentou efeito detectável de tratamento (ANOVA; p = 0.8509;</w:t>
      </w:r>
      <w:r>
        <w:t xml:space="preserve"> </w:t>
      </w:r>
      <m:oMath>
        <m:sSup>
          <m:e>
            <m:r>
              <m:t>η</m:t>
            </m:r>
          </m:e>
          <m:sup>
            <m:r>
              <m:t>2</m:t>
            </m:r>
          </m:sup>
        </m:sSup>
      </m:oMath>
      <w:r>
        <w:t xml:space="preserve"> </w:t>
      </w:r>
      <w:r>
        <w:t xml:space="preserve">parcial = 0.011). As médias de 45.263 ± 58.136% (N1), 59.219 ± 65.854% (N3) e 48.703 ± 55.062% (N4) indicam que a presença do núcleo não impôs penalidade sistemática ao crescimento radicular, sendo a resposta majoritariamente condicionada por heterogeneidade de estabelecimento e competição por recursos. Em sistemas de bandeja, a raiz tende a responder mais à conectividade de poros, à aeração local e à resistência mecânica do meio do que a variações moderadas de oferta hídrica, de modo que o condicionador pode atuar como mitigador de estresse intermitente sem se traduzir em alongamento radicular consistente quando o limitante principal é estrutural e não hidrológico.</w:t>
      </w:r>
    </w:p>
    <w:p>
      <w:pPr>
        <w:pStyle w:val="Corpodetexto"/>
      </w:pPr>
      <w:r>
        <w:t xml:space="preserve">Em contrapartida, a dependência do crescimento em relação ao núcleo, formalizada por DN% na Figura 10c, apresentou efeito global de tratamento (ANOVA; p = 0.0359;</w:t>
      </w:r>
      <w:r>
        <w:t xml:space="preserve"> </w:t>
      </w:r>
      <m:oMath>
        <m:sSup>
          <m:e>
            <m:r>
              <m:t>η</m:t>
            </m:r>
          </m:e>
          <m:sup>
            <m:r>
              <m:t>2</m:t>
            </m:r>
          </m:sup>
        </m:sSup>
      </m:oMath>
      <w:r>
        <w:t xml:space="preserve"> </w:t>
      </w:r>
      <w:r>
        <w:t xml:space="preserve">parcial = 0.212). O valor médio em N1 (49.817 ± 16.922%) foi aproximadamente 193% superior a N3 (16.986 ± 40.441%) e 179% superior a N4 (17.854 ± 34.286%), o que sugere maior acoplamento entre a formulação completa e a produção de biomassa. Ainda assim, o pós-teste de Tukey HSD não confirmou diferenças par-a-par ao nível de 5%, uma vez que N1 vs N4 apresentou (ΔM = 31.963%, p-aj = 0.0608), N1 vs N3 apresentou (ΔM = 32.831%, p-aj = 0.0691) e N3 vs N4 apresentou (ΔM = -0.868%, p-aj = 0.9979), o que é compatível com um efeito global moderado sob variabilidade elevada e tamanho amostral efetivo reduzido após a filtragem de outliers.</w:t>
      </w:r>
    </w:p>
    <w:p>
      <w:pPr>
        <w:pStyle w:val="Corpodetexto"/>
      </w:pPr>
      <w:r>
        <w:t xml:space="preserve">Esse comportamento, com evidência global sem separação robusta em todas as comparações, também é observado em estudos de polímeros superabsorventes quando o ganho depende de heterogeneidade microambiental</w:t>
      </w:r>
      <w:r>
        <w:t xml:space="preserve"> </w:t>
      </w:r>
      <w:r>
        <w:t xml:space="preserve">(</w:t>
      </w:r>
      <w:hyperlink w:anchor="ref-faller2020_poda">
        <w:r>
          <w:rPr>
            <w:rStyle w:val="Hyperlink"/>
          </w:rPr>
          <w:t xml:space="preserve">Faller et al., 2020</w:t>
        </w:r>
      </w:hyperlink>
      <w:r>
        <w:t xml:space="preserve">)</w:t>
      </w:r>
      <w:r>
        <w:t xml:space="preserve"> </w:t>
      </w:r>
      <w:r>
        <w:t xml:space="preserve">e de trajetórias de estabelecimento que variam entre unidades experimentais, produzindo respostas integradoras que se manifestam de forma mais nítida em métricas compostas de acoplamento planta substrato do que em percentuais de alongamento isolados. Do ponto de vista mecanístico, a magnitude das diferenças em DN% permanece coerente com a hipótese de que a formulação completa, combinando fibra e resina, estabiliza o microambiente e sustenta disponibilidade hídrica durante ciclos de irrigação e secagem</w:t>
      </w:r>
      <w:r>
        <w:t xml:space="preserve"> </w:t>
      </w:r>
      <w:r>
        <w:t xml:space="preserve">(</w:t>
      </w:r>
      <w:hyperlink w:anchor="ref-sayeb2010_watersorption">
        <w:r>
          <w:rPr>
            <w:rStyle w:val="Hyperlink"/>
          </w:rPr>
          <w:t xml:space="preserve">Sayeb et al., 2010</w:t>
        </w:r>
      </w:hyperlink>
      <w:r>
        <w:t xml:space="preserve">)</w:t>
      </w:r>
      <w:r>
        <w:t xml:space="preserve">.</w:t>
      </w:r>
    </w:p>
    <w:p>
      <w:pPr>
        <w:pStyle w:val="Corpodetexto"/>
      </w:pPr>
      <w:r>
        <w:t xml:space="preserve">Figura 10. (a) Comprimento relativo da parte aérea (%), (b) comprimento relativo da raiz (%) e (c) dependência do núcleo (DN%) de plantas de rúcula conduzidas em bandeja sob diferentes núcleos hidrorretentores de</w:t>
      </w:r>
      <w:r>
        <w:t xml:space="preserve"> </w:t>
      </w:r>
      <w:r>
        <w:rPr>
          <w:i/>
          <w:iCs/>
        </w:rPr>
        <w:t xml:space="preserve">Typha domingensis</w:t>
      </w:r>
      <w:r>
        <w:t xml:space="preserve">.</w:t>
      </w:r>
    </w:p>
    <w:p>
      <w:pPr>
        <w:pStyle w:val="Figure"/>
      </w:pPr>
      <w:r>
        <w:drawing>
          <wp:inline>
            <wp:extent cx="5600700" cy="8476605"/>
            <wp:effectExtent b="0" l="0" r="0" t="0"/>
            <wp:docPr descr="Figura 10. (a) Comprimento relativo da parte aérea (%), (b) comprimento relativo da raiz (%) e (c) dependência do núcleo (DN%) de plantas de rúcula conduzidas em bandeja sob diferentes núcleos hidrorretentores de Typha domingensis." title="" id="77" name="Picture"/>
            <a:graphic>
              <a:graphicData uri="http://schemas.openxmlformats.org/drawingml/2006/picture">
                <pic:pic>
                  <pic:nvPicPr>
                    <pic:cNvPr descr="../2-IMG/Fig_010.png" id="78" name="Picture"/>
                    <pic:cNvPicPr>
                      <a:picLocks noChangeArrowheads="1" noChangeAspect="1"/>
                    </pic:cNvPicPr>
                  </pic:nvPicPr>
                  <pic:blipFill>
                    <a:blip r:embed="rId76"/>
                    <a:stretch>
                      <a:fillRect/>
                    </a:stretch>
                  </pic:blipFill>
                  <pic:spPr bwMode="auto">
                    <a:xfrm>
                      <a:off x="0" y="0"/>
                      <a:ext cx="5600700" cy="8476605"/>
                    </a:xfrm>
                    <a:prstGeom prst="rect">
                      <a:avLst/>
                    </a:prstGeom>
                    <a:noFill/>
                    <a:ln w="9525">
                      <a:noFill/>
                      <a:headEnd/>
                      <a:tailEnd/>
                    </a:ln>
                  </pic:spPr>
                </pic:pic>
              </a:graphicData>
            </a:graphic>
          </wp:inline>
        </w:drawing>
      </w:r>
    </w:p>
    <w:p>
      <w:pPr>
        <w:pStyle w:val="FirstParagraph"/>
      </w:pPr>
      <w:r>
        <w:t xml:space="preserve">Na análise de componentes principais aplicada aos endpoints padronizados, a retenção de dois componentes, com PC1 explicando 53.98% e PC2 explicando 15.50% da variância total, somando 69.48%, concentra a informação estrutural do sistema em um gradiente de desempenho e em um gradiente morfológico (Figura 11), um comportamento convergente com ensaios de condicionadores superabsorventes em substratos nos quais variações na fração de água efetivamente disponível se acoplam a respostas de acúmulo de biomassa sob regime hídrico flutuante.</w:t>
      </w:r>
    </w:p>
    <w:p>
      <w:pPr>
        <w:pStyle w:val="Corpodetexto"/>
      </w:pPr>
      <w:r>
        <w:t xml:space="preserve">No biplot, PC1 é governado por variáveis integradoras de acúmulo de massa e dependência do núcleo, com predominância de massa seca total, biomassa da parte aérea e DN%, de modo que deslocamentos para PC1 positivo sinalizam maior eficiência de conversão do microambiente em biomassa quando o condicionador hidráulico mantém continuidade de água capilar durante ciclos de umedecimento e secagem</w:t>
      </w:r>
      <w:r>
        <w:t xml:space="preserve"> </w:t>
      </w:r>
      <w:r>
        <w:t xml:space="preserve">(</w:t>
      </w:r>
      <w:hyperlink w:anchor="ref-Neyshaburi2017_pcaWaterRetention">
        <w:r>
          <w:rPr>
            <w:rStyle w:val="Hyperlink"/>
          </w:rPr>
          <w:t xml:space="preserve">Neyshaburi et al., 2017</w:t>
        </w:r>
      </w:hyperlink>
      <w:r>
        <w:t xml:space="preserve">)</w:t>
      </w:r>
      <w:r>
        <w:t xml:space="preserve">.</w:t>
      </w:r>
    </w:p>
    <w:p>
      <w:pPr>
        <w:pStyle w:val="Corpodetexto"/>
      </w:pPr>
      <w:r>
        <w:t xml:space="preserve">A interpretação de PC1 como gradiente de desempenho dominado por variáveis integradoras é coerente com a base conceitual da análise de componentes principais, na qual o primeiro componente tende a capturar a covariação dominante entre métricas de desempenho e condições do sistema, favorecendo a leitura de eficiência relativa entre tratamentos quando as variáveis são padronizadas</w:t>
      </w:r>
      <w:r>
        <w:t xml:space="preserve"> </w:t>
      </w:r>
      <w:r>
        <w:t xml:space="preserve">(</w:t>
      </w:r>
      <w:hyperlink w:anchor="ref-abdi2010_pca">
        <w:r>
          <w:rPr>
            <w:rStyle w:val="Hyperlink"/>
          </w:rPr>
          <w:t xml:space="preserve">Abdi &amp; Williams, 2010</w:t>
        </w:r>
      </w:hyperlink>
      <w:r>
        <w:t xml:space="preserve">;</w:t>
      </w:r>
      <w:r>
        <w:t xml:space="preserve"> </w:t>
      </w:r>
      <w:hyperlink w:anchor="ref-jolliffe2016_pca">
        <w:r>
          <w:rPr>
            <w:rStyle w:val="Hyperlink"/>
          </w:rPr>
          <w:t xml:space="preserve">Jolliffe &amp; Cadima, 2016</w:t>
        </w:r>
      </w:hyperlink>
      <w:r>
        <w:t xml:space="preserve">)</w:t>
      </w:r>
      <w:r>
        <w:t xml:space="preserve">. Concomitantemente, PC2 organiza um contraste de alocação entre compartimentos de alongamento, com sinal oposto entre respostas radiculares e aéreas, caracterizando uma dimensão de reorganização morfofisiológica sob o mesmo regime hídrico, fenômeno compatível com ajustes de partição e plasticidade morfológica sob restrições que migram entre água, aeração e resistência do substrato ao longo do ciclo</w:t>
      </w:r>
      <w:r>
        <w:t xml:space="preserve"> </w:t>
      </w:r>
      <w:r>
        <w:t xml:space="preserve">(</w:t>
      </w:r>
      <w:hyperlink w:anchor="ref-grace1989_effects">
        <w:r>
          <w:rPr>
            <w:rStyle w:val="Hyperlink"/>
          </w:rPr>
          <w:t xml:space="preserve">Grace, 1989</w:t>
        </w:r>
      </w:hyperlink>
      <w:r>
        <w:t xml:space="preserve">)</w:t>
      </w:r>
      <w:r>
        <w:t xml:space="preserve">.</w:t>
      </w:r>
    </w:p>
    <w:p>
      <w:pPr>
        <w:pStyle w:val="Corpodetexto"/>
      </w:pPr>
      <w:r>
        <w:t xml:space="preserve">Figura 11. PCA dos endpoints do ensaio em bandeja (comprimentos, massas e DN%) com biplot de loadings, elipses de 95% de confiança e envoltória de cobertura por tratamento.</w:t>
      </w:r>
    </w:p>
    <w:p>
      <w:pPr>
        <w:pStyle w:val="Figure"/>
      </w:pPr>
      <w:r>
        <w:drawing>
          <wp:inline>
            <wp:extent cx="5600700" cy="4330471"/>
            <wp:effectExtent b="0" l="0" r="0" t="0"/>
            <wp:docPr descr="Figura 11. PCA dos endpoints do ensaio em bandeja (comprimentos, massas e DN%) com biplot de loadings, elipses de 95% de confiança e envoltória de cobertura por tratamento." title="" id="80" name="Picture"/>
            <a:graphic>
              <a:graphicData uri="http://schemas.openxmlformats.org/drawingml/2006/picture">
                <pic:pic>
                  <pic:nvPicPr>
                    <pic:cNvPr descr="../2-IMG/Fig_pca_bandeja.png" id="81" name="Picture"/>
                    <pic:cNvPicPr>
                      <a:picLocks noChangeArrowheads="1" noChangeAspect="1"/>
                    </pic:cNvPicPr>
                  </pic:nvPicPr>
                  <pic:blipFill>
                    <a:blip r:embed="rId79"/>
                    <a:stretch>
                      <a:fillRect/>
                    </a:stretch>
                  </pic:blipFill>
                  <pic:spPr bwMode="auto">
                    <a:xfrm>
                      <a:off x="0" y="0"/>
                      <a:ext cx="5600700" cy="4330471"/>
                    </a:xfrm>
                    <a:prstGeom prst="rect">
                      <a:avLst/>
                    </a:prstGeom>
                    <a:noFill/>
                    <a:ln w="9525">
                      <a:noFill/>
                      <a:headEnd/>
                      <a:tailEnd/>
                    </a:ln>
                  </pic:spPr>
                </pic:pic>
              </a:graphicData>
            </a:graphic>
          </wp:inline>
        </w:drawing>
      </w:r>
    </w:p>
    <w:p>
      <w:pPr>
        <w:pStyle w:val="FirstParagraph"/>
      </w:pPr>
      <w:r>
        <w:t xml:space="preserve">Desse modo, a ocupação de regiões com PC1 mais positivo pela formulação completa N1 é coerente com os incrementos de massa fresca e massa seca observados na Tabela 5 e com os valores médios mais elevados de DN% já quantificados no ensaio em bandeja. Segundo</w:t>
      </w:r>
      <w:r>
        <w:t xml:space="preserve"> </w:t>
      </w:r>
      <w:r>
        <w:t xml:space="preserve">Shukla et al. (</w:t>
      </w:r>
      <w:hyperlink w:anchor="ref-Shukla2004_pcaBiomass">
        <w:r>
          <w:rPr>
            <w:rStyle w:val="Hyperlink"/>
          </w:rPr>
          <w:t xml:space="preserve">2004</w:t>
        </w:r>
      </w:hyperlink>
      <w:r>
        <w:t xml:space="preserve">)</w:t>
      </w:r>
      <w:r>
        <w:t xml:space="preserve">, aplicações de PCA em dados solo–planta tendem a organizar a covariação dominante entre atributos do sistema e produtividade ou biomassa em um eixo principal, favorecendo leituras em que PC1 funciona como um gradiente integrador de desempenho. Nesse enquadramento, o deslocamento de N1 para PC1 positivo indica que a combinação de fibra e resina estabiliza o microambiente sob ciclos de irrigação e secagem, convertendo maior previsibilidade local de água e porosidade funcional em acúmulo de biomassa</w:t>
      </w:r>
      <w:r>
        <w:t xml:space="preserve"> </w:t>
      </w:r>
      <w:r>
        <w:t xml:space="preserve">(</w:t>
      </w:r>
      <w:hyperlink w:anchor="ref-Fernandez2022_polyacrylamide">
        <w:r>
          <w:rPr>
            <w:rStyle w:val="Hyperlink"/>
          </w:rPr>
          <w:t xml:space="preserve">Fernández et al., 2022</w:t>
        </w:r>
      </w:hyperlink>
      <w:r>
        <w:t xml:space="preserve">;</w:t>
      </w:r>
      <w:r>
        <w:t xml:space="preserve"> </w:t>
      </w:r>
      <w:hyperlink w:anchor="ref-Palma2024">
        <w:r>
          <w:rPr>
            <w:rStyle w:val="Hyperlink"/>
          </w:rPr>
          <w:t xml:space="preserve">Palma et al., 2024</w:t>
        </w:r>
      </w:hyperlink>
      <w:r>
        <w:t xml:space="preserve">)</w:t>
      </w:r>
      <w:r>
        <w:t xml:space="preserve">.</w:t>
      </w:r>
    </w:p>
    <w:p>
      <w:pPr>
        <w:pStyle w:val="Corpodetexto"/>
      </w:pPr>
      <w:r>
        <w:t xml:space="preserve">Nessa mesma linha,</w:t>
      </w:r>
      <w:r>
        <w:t xml:space="preserve"> </w:t>
      </w:r>
      <w:r>
        <w:t xml:space="preserve">Mohammed et al. (</w:t>
      </w:r>
      <w:hyperlink w:anchor="ref-Mohammed2015">
        <w:r>
          <w:rPr>
            <w:rStyle w:val="Hyperlink"/>
          </w:rPr>
          <w:t xml:space="preserve">2015</w:t>
        </w:r>
      </w:hyperlink>
      <w:r>
        <w:t xml:space="preserve">)</w:t>
      </w:r>
      <w:r>
        <w:t xml:space="preserve"> </w:t>
      </w:r>
      <w:r>
        <w:t xml:space="preserve">destaca que, em compósitos reforçados por fibras naturais, a função final depende da integridade da matriz e da interface fibra–matriz, especialmente sob condições em que umidade e variações físico-mecânicas podem reconfigurar a resposta do material ao longo do tempo. Em contraste, a variação ao longo de PC2, com sinal oposto entre comprimentos relativos da parte aérea e da raiz no biplot (Figura 11), tende a representar uma reorganização de alocação sob o mesmo regime hídrico, sem impor necessariamente separação robusta nos percentuais de alongamento, o que permanece compatível com a elevada dispersão observada nessas métricas</w:t>
      </w:r>
      <w:r>
        <w:t xml:space="preserve"> </w:t>
      </w:r>
      <w:r>
        <w:t xml:space="preserve">(</w:t>
      </w:r>
      <w:hyperlink w:anchor="ref-grace1989_effects">
        <w:r>
          <w:rPr>
            <w:rStyle w:val="Hyperlink"/>
          </w:rPr>
          <w:t xml:space="preserve">Grace, 1989</w:t>
        </w:r>
      </w:hyperlink>
      <w:r>
        <w:t xml:space="preserve">)</w:t>
      </w:r>
      <w:r>
        <w:t xml:space="preserve">.</w:t>
      </w:r>
    </w:p>
    <w:p>
      <w:pPr>
        <w:pStyle w:val="Corpodetexto"/>
      </w:pPr>
      <w:r>
        <w:t xml:space="preserve">O efeito prático em biomassa é apresentado na Tabela 5, corroborando que a resposta do microcosmo se expressa com maior nitidez em métricas integradoras de acúmulo de massa. Para massa fresca, houve efeito de tratamento (p = 0.003;</w:t>
      </w:r>
      <w:r>
        <w:t xml:space="preserve"> </w:t>
      </w:r>
      <m:oMath>
        <m:sSup>
          <m:e>
            <m:r>
              <m:t>η</m:t>
            </m:r>
          </m:e>
          <m:sup>
            <m:r>
              <m:t>2</m:t>
            </m:r>
          </m:sup>
        </m:sSup>
      </m:oMath>
      <w:r>
        <w:t xml:space="preserve"> </w:t>
      </w:r>
      <w:r>
        <w:t xml:space="preserve">parcial = 0.518), com N1 (0.411 ± 0.280 g, letra “a”) superando o controle (0.159 ± 0.080 g, letra “c”) em aproximadamente 159%, enquanto N2, N3 e N4 permaneceram em faixa intermediária (letra “ab”), sem separação robusta em relação a N1 e ao controle. Para massa seca, o efeito também foi detectável (p = 0.017;</w:t>
      </w:r>
      <w:r>
        <w:t xml:space="preserve"> </w:t>
      </w:r>
      <m:oMath>
        <m:sSup>
          <m:e>
            <m:r>
              <m:t>η</m:t>
            </m:r>
          </m:e>
          <m:sup>
            <m:r>
              <m:t>2</m:t>
            </m:r>
          </m:sup>
        </m:sSup>
      </m:oMath>
      <w:r>
        <w:t xml:space="preserve"> </w:t>
      </w:r>
      <w:r>
        <w:t xml:space="preserve">parcial = 0.438), com as formulações N1 a N4 variando entre 0.024 e 0.029 g, acima do controle (0.016 ± 0.004 g, letra “b”), o que corresponde a aumentos aproximados de 50% em N2 e 81% em N4. Esse tipo de resposta, mais evidente em acúmulo de massa do que em alongamento percentual, também é esperado quando o fator limitante dominante é a estabilidade do meio e a disponibilidade efetiva de água ao longo do tempo; por exemplo,</w:t>
      </w:r>
      <w:r>
        <w:t xml:space="preserve"> </w:t>
      </w:r>
      <w:r>
        <w:t xml:space="preserve">Kumar et al. (</w:t>
      </w:r>
      <w:hyperlink w:anchor="ref-kumar2013_biochar">
        <w:r>
          <w:rPr>
            <w:rStyle w:val="Hyperlink"/>
          </w:rPr>
          <w:t xml:space="preserve">2013</w:t>
        </w:r>
      </w:hyperlink>
      <w:r>
        <w:t xml:space="preserve">)</w:t>
      </w:r>
      <w:r>
        <w:t xml:space="preserve"> </w:t>
      </w:r>
      <w:r>
        <w:t xml:space="preserve">discute a lógica de uso de emendas como condicionadores capazes de alterar propriedades do solo, com implicações para crescimento vegetal. Do ponto de vista de material,</w:t>
      </w:r>
      <w:r>
        <w:t xml:space="preserve"> </w:t>
      </w:r>
      <w:r>
        <w:t xml:space="preserve">Dhakal et al. (</w:t>
      </w:r>
      <w:hyperlink w:anchor="ref-dhakal2007_effect">
        <w:r>
          <w:rPr>
            <w:rStyle w:val="Hyperlink"/>
          </w:rPr>
          <w:t xml:space="preserve">2007</w:t>
        </w:r>
      </w:hyperlink>
      <w:r>
        <w:t xml:space="preserve">)</w:t>
      </w:r>
      <w:r>
        <w:t xml:space="preserve"> </w:t>
      </w:r>
      <w:r>
        <w:t xml:space="preserve">demonstra que a absorção de água pode modificar propriedades mecânicas de compósitos reforçados por fibras, reforçando que a durabilidade do arcabouço sob ciclos de umedecimento e secagem é central para manter a funcionalidade do microambiente.</w:t>
      </w:r>
    </w:p>
    <w:p>
      <w:pPr>
        <w:pStyle w:val="Corpodetexto"/>
      </w:pPr>
      <w:r>
        <w:t xml:space="preserve">Esse padrão é compatível com melhoria do microambiente físico, principalmente porosidade e aeração sob saturação e retenção hídrica sob secagem</w:t>
      </w:r>
      <w:r>
        <w:t xml:space="preserve"> </w:t>
      </w:r>
      <w:r>
        <w:t xml:space="preserve">(</w:t>
      </w:r>
      <w:hyperlink w:anchor="ref-maslinda2017_effect">
        <w:r>
          <w:rPr>
            <w:rStyle w:val="Hyperlink"/>
          </w:rPr>
          <w:t xml:space="preserve">Maslinda et al., 2017</w:t>
        </w:r>
      </w:hyperlink>
      <w:r>
        <w:t xml:space="preserve">)</w:t>
      </w:r>
      <w:r>
        <w:t xml:space="preserve">, cuja persistência depende da integridade do compósito, já que a fração resinosa tende a preservar a arquitetura de poros e a fração fibrosa pode contribuir como suporte físico e fonte de carbono orgânico para processos de estruturação na rizosfera</w:t>
      </w:r>
      <w:r>
        <w:t xml:space="preserve"> </w:t>
      </w:r>
      <w:r>
        <w:t xml:space="preserve">(</w:t>
      </w:r>
      <w:hyperlink w:anchor="ref-kausar2019_interpenetrating">
        <w:r>
          <w:rPr>
            <w:rStyle w:val="Hyperlink"/>
          </w:rPr>
          <w:t xml:space="preserve">Kausar, 2019</w:t>
        </w:r>
      </w:hyperlink>
      <w:r>
        <w:t xml:space="preserve">)</w:t>
      </w:r>
      <w:r>
        <w:t xml:space="preserve">.</w:t>
      </w:r>
    </w:p>
    <w:p>
      <w:pPr>
        <w:pStyle w:val="Corpodetexto"/>
      </w:pPr>
      <w:r>
        <w:t xml:space="preserve">Tabela 5. Massa fresca e massa seca de plântulas de rúcula cultivadas em extratos de núcleos hidrorretentores e controle. Médias seguidas de letras diferentes indicam diferenças significativas (p &lt; 0,05; Tukey HSD). {#tbl:massa}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Extrato núcleo hidrorretentor</w:t>
            </w:r>
          </w:p>
        </w:tc>
        <w:tc>
          <w:tcPr/>
          <w:p>
            <w:pPr>
              <w:pStyle w:val="Compact"/>
            </w:pPr>
            <w:r>
              <w:t xml:space="preserve">Massa fresca (g)</w:t>
            </w:r>
          </w:p>
        </w:tc>
        <w:tc>
          <w:tcPr/>
          <w:p>
            <w:pPr>
              <w:pStyle w:val="Compact"/>
            </w:pPr>
            <w:r>
              <w:t xml:space="preserve">Massa seca (g)</w:t>
            </w:r>
          </w:p>
        </w:tc>
      </w:tr>
      <w:tr>
        <w:tc>
          <w:tcPr/>
          <w:p>
            <w:pPr>
              <w:pStyle w:val="Compact"/>
            </w:pPr>
            <w:r>
              <w:t xml:space="preserve">N1 (formulação completa)</w:t>
            </w:r>
          </w:p>
        </w:tc>
        <w:tc>
          <w:tcPr/>
          <w:p>
            <w:pPr>
              <w:pStyle w:val="Compact"/>
            </w:pPr>
            <w:r>
              <w:t xml:space="preserve">0.411 ± 0.280 a</w:t>
            </w:r>
          </w:p>
        </w:tc>
        <w:tc>
          <w:tcPr/>
          <w:p>
            <w:pPr>
              <w:pStyle w:val="Compact"/>
            </w:pPr>
            <w:r>
              <w:t xml:space="preserve">0.026 ± 0.006 a</w:t>
            </w:r>
          </w:p>
        </w:tc>
      </w:tr>
      <w:tr>
        <w:tc>
          <w:tcPr/>
          <w:p>
            <w:pPr>
              <w:pStyle w:val="Compact"/>
            </w:pPr>
            <w:r>
              <w:t xml:space="preserve">N2 (sem resina)</w:t>
            </w:r>
          </w:p>
        </w:tc>
        <w:tc>
          <w:tcPr/>
          <w:p>
            <w:pPr>
              <w:pStyle w:val="Compact"/>
            </w:pPr>
            <w:r>
              <w:t xml:space="preserve">0.254 ± 0.129 ab</w:t>
            </w:r>
          </w:p>
        </w:tc>
        <w:tc>
          <w:tcPr/>
          <w:p>
            <w:pPr>
              <w:pStyle w:val="Compact"/>
            </w:pPr>
            <w:r>
              <w:t xml:space="preserve">0.024 ± 0.005 a</w:t>
            </w:r>
          </w:p>
        </w:tc>
      </w:tr>
      <w:tr>
        <w:tc>
          <w:tcPr/>
          <w:p>
            <w:pPr>
              <w:pStyle w:val="Compact"/>
            </w:pPr>
            <w:r>
              <w:t xml:space="preserve">N3 (resíduos vegetais)</w:t>
            </w:r>
          </w:p>
        </w:tc>
        <w:tc>
          <w:tcPr/>
          <w:p>
            <w:pPr>
              <w:pStyle w:val="Compact"/>
            </w:pPr>
            <w:r>
              <w:t xml:space="preserve">0.208 ± 0.120 ab</w:t>
            </w:r>
          </w:p>
        </w:tc>
        <w:tc>
          <w:tcPr/>
          <w:p>
            <w:pPr>
              <w:pStyle w:val="Compact"/>
            </w:pPr>
            <w:r>
              <w:t xml:space="preserve">0.025 ± 0.003 a</w:t>
            </w:r>
          </w:p>
        </w:tc>
      </w:tr>
      <w:tr>
        <w:tc>
          <w:tcPr/>
          <w:p>
            <w:pPr>
              <w:pStyle w:val="Compact"/>
            </w:pPr>
            <w:r>
              <w:t xml:space="preserve">N4 (resíduos e fibras)</w:t>
            </w:r>
          </w:p>
        </w:tc>
        <w:tc>
          <w:tcPr/>
          <w:p>
            <w:pPr>
              <w:pStyle w:val="Compact"/>
            </w:pPr>
            <w:r>
              <w:t xml:space="preserve">0.222 ± 0.165 ab</w:t>
            </w:r>
          </w:p>
        </w:tc>
        <w:tc>
          <w:tcPr/>
          <w:p>
            <w:pPr>
              <w:pStyle w:val="Compact"/>
            </w:pPr>
            <w:r>
              <w:t xml:space="preserve">0.029 ± 0.006 a</w:t>
            </w:r>
          </w:p>
        </w:tc>
      </w:tr>
      <w:tr>
        <w:tc>
          <w:tcPr/>
          <w:p>
            <w:pPr>
              <w:pStyle w:val="Compact"/>
            </w:pPr>
            <w:r>
              <w:t xml:space="preserve">Control</w:t>
            </w:r>
          </w:p>
        </w:tc>
        <w:tc>
          <w:tcPr/>
          <w:p>
            <w:pPr>
              <w:pStyle w:val="Compact"/>
            </w:pPr>
            <w:r>
              <w:t xml:space="preserve">0.159 ± 0.080 c</w:t>
            </w:r>
          </w:p>
        </w:tc>
        <w:tc>
          <w:tcPr/>
          <w:p>
            <w:pPr>
              <w:pStyle w:val="Compact"/>
            </w:pPr>
            <w:r>
              <w:t xml:space="preserve">0.016 ± 0.004 b</w:t>
            </w:r>
          </w:p>
        </w:tc>
      </w:tr>
      <w:tr>
        <w:tc>
          <w:tcPr/>
          <w:p>
            <w:pPr>
              <w:pStyle w:val="Compact"/>
            </w:pPr>
            <w:r>
              <w:t xml:space="preserve">η² parcial</w:t>
            </w:r>
          </w:p>
        </w:tc>
        <w:tc>
          <w:tcPr/>
          <w:p>
            <w:pPr>
              <w:pStyle w:val="Compact"/>
            </w:pPr>
            <w:r>
              <w:t xml:space="preserve">0.518</w:t>
            </w:r>
          </w:p>
        </w:tc>
        <w:tc>
          <w:tcPr/>
          <w:p>
            <w:pPr>
              <w:pStyle w:val="Compact"/>
            </w:pPr>
            <w:r>
              <w:t xml:space="preserve">0.438</w:t>
            </w:r>
          </w:p>
        </w:tc>
      </w:tr>
      <w:tr>
        <w:tc>
          <w:tcPr/>
          <w:p>
            <w:pPr>
              <w:pStyle w:val="Compact"/>
            </w:pPr>
            <w:r>
              <w:t xml:space="preserve">p</w:t>
            </w:r>
          </w:p>
        </w:tc>
        <w:tc>
          <w:tcPr/>
          <w:p>
            <w:pPr>
              <w:pStyle w:val="Compact"/>
            </w:pPr>
            <w:r>
              <w:t xml:space="preserve">0.003</w:t>
            </w:r>
          </w:p>
        </w:tc>
        <w:tc>
          <w:tcPr/>
          <w:p>
            <w:pPr>
              <w:pStyle w:val="Compact"/>
            </w:pPr>
            <w:r>
              <w:t xml:space="preserve">0.017</w:t>
            </w:r>
          </w:p>
        </w:tc>
      </w:tr>
    </w:tbl>
    <w:p>
      <w:pPr>
        <w:pStyle w:val="Corpodetexto"/>
      </w:pPr>
      <w:r>
        <w:t xml:space="preserve">Os núcleos hidrorretentores influenciaram principalmente o acúmulo de biomassa, sem evidência de penalidade sistemática de crescimento radicular no microcosmo. Essa assimetria entre métricas integradoras de massa e percentuais de alongamento sugere que o ganho do sistema emerge quando a estabilidade do microambiente se mantém por tempo suficiente para reduzir falhas localizadas de estabelecimento, o que se traduz em acúmulo de biomassa mesmo quando o alongamento permanece dominado por variabilidade espacial em bandeja</w:t>
      </w:r>
      <w:r>
        <w:t xml:space="preserve"> </w:t>
      </w:r>
      <w:r>
        <w:t xml:space="preserve">(</w:t>
      </w:r>
      <w:hyperlink w:anchor="ref-zhang2021_semiinterpenetrating">
        <w:r>
          <w:rPr>
            <w:rStyle w:val="Hyperlink"/>
          </w:rPr>
          <w:t xml:space="preserve">Zhang et al., 2021</w:t>
        </w:r>
      </w:hyperlink>
      <w:r>
        <w:t xml:space="preserve">)</w:t>
      </w:r>
      <w:r>
        <w:t xml:space="preserve">. Em conjunto, os resultados sustentam que o desempenho agronômico depende da arquitetura do compósito e da durabilidade da matriz polimérica sob ciclos de umedecimento e secagem, reiterando o papel do aglutinante na estabilidade estrutural do sistema.</w:t>
      </w:r>
    </w:p>
    <w:bookmarkEnd w:id="82"/>
    <w:bookmarkEnd w:id="83"/>
    <w:bookmarkStart w:id="84" w:name="conclusão"/>
    <w:p>
      <w:pPr>
        <w:pStyle w:val="Ttulo1"/>
      </w:pPr>
      <w:r>
        <w:t xml:space="preserve">Conclusão</w:t>
      </w:r>
    </w:p>
    <w:p>
      <w:pPr>
        <w:pStyle w:val="FirstParagraph"/>
      </w:pPr>
      <w:r>
        <w:t xml:space="preserve">Os resultados sustentam que núcleos hidrorretentores orgânicos à base de</w:t>
      </w:r>
      <w:r>
        <w:t xml:space="preserve"> </w:t>
      </w:r>
      <w:r>
        <w:rPr>
          <w:i/>
          <w:iCs/>
        </w:rPr>
        <w:t xml:space="preserve">Typha domingensis</w:t>
      </w:r>
      <w:r>
        <w:t xml:space="preserve"> </w:t>
      </w:r>
      <w:r>
        <w:t xml:space="preserve">podem atuar como condicionadores hidrofísicos do microambiente de germinação sem impor uma assinatura consistente de fitotoxicidade aguda no estabelecimento inicial de</w:t>
      </w:r>
      <w:r>
        <w:t xml:space="preserve"> </w:t>
      </w:r>
      <w:r>
        <w:rPr>
          <w:i/>
          <w:iCs/>
        </w:rPr>
        <w:t xml:space="preserve">Eruca sativa</w:t>
      </w:r>
      <w:r>
        <w:t xml:space="preserve">. A formulação que integra fibra e matriz polimérica apresentou comportamento convergente com retenção hídrica e preservação do desempenho fisiológico, sugerindo que a resposta observada é governada majoritariamente por modulação da embebição e da disponibilidade de água em escala local, e não por interferência metabólica por aleloquímicos. Em termos de bioengenharia dos solos, a tecnologia converte biomassa lignocelulósica em um substrato funcional com potencial para aplicações de revegetação em cenários de variabilidade hídrica, desde que a estabilidade estrutural do compósito sob ciclos de umedecimento e secagem seja mantida. Permanecem recomendáveis validações adicionais em escala de solo e com caracterização mais detalhada das frações solúveis, com explicitação completa dos parâmetros analíticos empregados nas rotinas multivariadas, reduzindo a incerteza mecanística e ampliando a reprodutibilidade do protocolo.</w:t>
      </w:r>
    </w:p>
    <w:bookmarkEnd w:id="84"/>
    <w:bookmarkStart w:id="85" w:name="disponibilidade-de-dados"/>
    <w:p>
      <w:pPr>
        <w:pStyle w:val="Ttulo1"/>
      </w:pPr>
      <w:r>
        <w:t xml:space="preserve">Disponibilidade de dados</w:t>
      </w:r>
    </w:p>
    <w:p>
      <w:pPr>
        <w:pStyle w:val="FirstParagraph"/>
      </w:pPr>
      <w:r>
        <w:t xml:space="preserve">O conjunto de dados brutos compreendendo a cinética de germinação, ensaios de fitotoxicidade e morfometria de plântulas encontra-se disponível em repositório público sob o identificador DOI https://doi.org/10.5281/zenodo.18184021</w:t>
      </w:r>
    </w:p>
    <w:bookmarkEnd w:id="85"/>
    <w:bookmarkStart w:id="172" w:name="referências"/>
    <w:p>
      <w:pPr>
        <w:pStyle w:val="Ttulo1"/>
      </w:pPr>
      <w:r>
        <w:t xml:space="preserve">Referências</w:t>
      </w:r>
    </w:p>
    <w:bookmarkStart w:id="171" w:name="refs"/>
    <w:bookmarkStart w:id="87" w:name="ref-abdi2010_pca"/>
    <w:p>
      <w:pPr>
        <w:pStyle w:val="Bibliografia"/>
      </w:pPr>
      <w:r>
        <w:t xml:space="preserve">Abdi, H., &amp; Williams, L. J. (2010). Principal component analysis.</w:t>
      </w:r>
      <w:r>
        <w:t xml:space="preserve"> </w:t>
      </w:r>
      <w:r>
        <w:rPr>
          <w:i/>
          <w:iCs/>
        </w:rPr>
        <w:t xml:space="preserve">Wiley Interdisciplinary Reviews: Computational Statistics</w:t>
      </w:r>
      <w:r>
        <w:t xml:space="preserve">,</w:t>
      </w:r>
      <w:r>
        <w:t xml:space="preserve"> </w:t>
      </w:r>
      <w:r>
        <w:rPr>
          <w:i/>
          <w:iCs/>
        </w:rPr>
        <w:t xml:space="preserve">2</w:t>
      </w:r>
      <w:r>
        <w:t xml:space="preserve">(4), 433–459.</w:t>
      </w:r>
      <w:r>
        <w:t xml:space="preserve"> </w:t>
      </w:r>
      <w:hyperlink r:id="rId86">
        <w:r>
          <w:rPr>
            <w:rStyle w:val="Hyperlink"/>
          </w:rPr>
          <w:t xml:space="preserve">https://doi.org/10.1002/wics.101</w:t>
        </w:r>
      </w:hyperlink>
    </w:p>
    <w:bookmarkEnd w:id="87"/>
    <w:bookmarkStart w:id="88" w:name="ref-abis2020_reduced"/>
    <w:p>
      <w:pPr>
        <w:pStyle w:val="Bibliografia"/>
      </w:pPr>
      <w:r>
        <w:t xml:space="preserve">Abis, L., Loubet, B., Ciuraru, R., Lafouge, F., Houot, S., Nowak, V., Tripied, J., Dequiedt, S., Maron, P. A., &amp; Sadet-Bourgeteau, S. (2020). Reduced microbial diversity induces larger volatile organic compound emissions from soils.</w:t>
      </w:r>
      <w:r>
        <w:t xml:space="preserve"> </w:t>
      </w:r>
      <w:r>
        <w:rPr>
          <w:i/>
          <w:iCs/>
        </w:rPr>
        <w:t xml:space="preserve">Scientific Reports</w:t>
      </w:r>
      <w:r>
        <w:t xml:space="preserve">,</w:t>
      </w:r>
      <w:r>
        <w:t xml:space="preserve"> </w:t>
      </w:r>
      <w:r>
        <w:rPr>
          <w:i/>
          <w:iCs/>
        </w:rPr>
        <w:t xml:space="preserve">10</w:t>
      </w:r>
      <w:r>
        <w:t xml:space="preserve">, 115.</w:t>
      </w:r>
    </w:p>
    <w:bookmarkEnd w:id="88"/>
    <w:bookmarkStart w:id="89" w:name="ref-akter2020_development"/>
    <w:p>
      <w:pPr>
        <w:pStyle w:val="Bibliografia"/>
      </w:pPr>
      <w:r>
        <w:t xml:space="preserve">Akter, N., Das, S. C., Grammatikos, S. A., Saha, J., &amp; Khan, M. A. (2020). Development of sustainable jute geotextiles by bitumen emulsion and polyester resin: Effect of gamma radiation.</w:t>
      </w:r>
      <w:r>
        <w:t xml:space="preserve"> </w:t>
      </w:r>
      <w:r>
        <w:rPr>
          <w:i/>
          <w:iCs/>
        </w:rPr>
        <w:t xml:space="preserve">Journal of Engineered Fibers and Fabrics</w:t>
      </w:r>
      <w:r>
        <w:t xml:space="preserve">,</w:t>
      </w:r>
      <w:r>
        <w:t xml:space="preserve"> </w:t>
      </w:r>
      <w:r>
        <w:rPr>
          <w:i/>
          <w:iCs/>
        </w:rPr>
        <w:t xml:space="preserve">15</w:t>
      </w:r>
      <w:r>
        <w:t xml:space="preserve">.</w:t>
      </w:r>
    </w:p>
    <w:bookmarkEnd w:id="89"/>
    <w:bookmarkStart w:id="90" w:name="ref-alvares2013_koppen"/>
    <w:p>
      <w:pPr>
        <w:pStyle w:val="Bibliografia"/>
      </w:pPr>
      <w:r>
        <w:t xml:space="preserve">Alvares, C. A., Stape, J. L., Sentelhas, P. C., Moraes Gonçalves, J. L. de, &amp; Sparovek, G. (2013). Köppen’s climate classification map for Brazil.</w:t>
      </w:r>
      <w:r>
        <w:t xml:space="preserve"> </w:t>
      </w:r>
      <w:r>
        <w:rPr>
          <w:i/>
          <w:iCs/>
        </w:rPr>
        <w:t xml:space="preserve">Meteorologische Zeitschrift</w:t>
      </w:r>
      <w:r>
        <w:t xml:space="preserve">,</w:t>
      </w:r>
      <w:r>
        <w:t xml:space="preserve"> </w:t>
      </w:r>
      <w:r>
        <w:rPr>
          <w:i/>
          <w:iCs/>
        </w:rPr>
        <w:t xml:space="preserve">22</w:t>
      </w:r>
      <w:r>
        <w:t xml:space="preserve">, 711–728.</w:t>
      </w:r>
    </w:p>
    <w:bookmarkEnd w:id="90"/>
    <w:bookmarkStart w:id="91" w:name="ref-betene2020_physicochemical"/>
    <w:p>
      <w:pPr>
        <w:pStyle w:val="Bibliografia"/>
      </w:pPr>
      <w:r>
        <w:t xml:space="preserve">Betene, A. D. O., Betene, F. E., Martoïa, F., Dumont, P. J. J., Atangana, A., &amp; Noah, P. M. A. (2020). Physico-chemical and thermal characterization of lignocellulosic fibres (Ananas comosus, Neuropeltis acuminatas and Rhecktophyllum camerunense).</w:t>
      </w:r>
      <w:r>
        <w:t xml:space="preserve"> </w:t>
      </w:r>
      <w:r>
        <w:rPr>
          <w:i/>
          <w:iCs/>
        </w:rPr>
        <w:t xml:space="preserve">Journal of Minerals and Materials Characterization and Engineering</w:t>
      </w:r>
      <w:r>
        <w:t xml:space="preserve">,</w:t>
      </w:r>
      <w:r>
        <w:t xml:space="preserve"> </w:t>
      </w:r>
      <w:r>
        <w:rPr>
          <w:i/>
          <w:iCs/>
        </w:rPr>
        <w:t xml:space="preserve">8</w:t>
      </w:r>
      <w:r>
        <w:t xml:space="preserve">, 205–222.</w:t>
      </w:r>
    </w:p>
    <w:bookmarkEnd w:id="91"/>
    <w:bookmarkStart w:id="92" w:name="ref-bewley2013_seeds"/>
    <w:p>
      <w:pPr>
        <w:pStyle w:val="Bibliografia"/>
      </w:pPr>
      <w:r>
        <w:t xml:space="preserve">Bewley, J. D., Bradford, K. J., Hilhorst, H. W. M., &amp; Nonogaki, H. (2013).</w:t>
      </w:r>
      <w:r>
        <w:t xml:space="preserve"> </w:t>
      </w:r>
      <w:r>
        <w:rPr>
          <w:i/>
          <w:iCs/>
        </w:rPr>
        <w:t xml:space="preserve">Seeds: Physiology of Development, Germination and Dormancy</w:t>
      </w:r>
      <w:r>
        <w:t xml:space="preserve"> </w:t>
      </w:r>
      <w:r>
        <w:t xml:space="preserve">(3rd ed.). Springer.</w:t>
      </w:r>
    </w:p>
    <w:bookmarkEnd w:id="92"/>
    <w:bookmarkStart w:id="93" w:name="ref-bonanno2017_comparative"/>
    <w:p>
      <w:pPr>
        <w:pStyle w:val="Bibliografia"/>
      </w:pPr>
      <w:r>
        <w:t xml:space="preserve">Bonanno, G., &amp; Cirelli, G. L. (2017). Comparative analysis of element concentrations and translocation in Typha domingensis, Typha latifolia and Typha angustifolia.</w:t>
      </w:r>
      <w:r>
        <w:t xml:space="preserve"> </w:t>
      </w:r>
      <w:r>
        <w:rPr>
          <w:i/>
          <w:iCs/>
        </w:rPr>
        <w:t xml:space="preserve">Ecotoxicology and Environmental Safety</w:t>
      </w:r>
      <w:r>
        <w:t xml:space="preserve">,</w:t>
      </w:r>
      <w:r>
        <w:t xml:space="preserve"> </w:t>
      </w:r>
      <w:r>
        <w:rPr>
          <w:i/>
          <w:iCs/>
        </w:rPr>
        <w:t xml:space="preserve">143</w:t>
      </w:r>
      <w:r>
        <w:t xml:space="preserve">, 92–101.</w:t>
      </w:r>
    </w:p>
    <w:bookmarkEnd w:id="93"/>
    <w:bookmarkStart w:id="94" w:name="ref-botvinova2020_bicomponent"/>
    <w:p>
      <w:pPr>
        <w:pStyle w:val="Bibliografia"/>
      </w:pPr>
      <w:r>
        <w:t xml:space="preserve">Botvinova, O. A., Panov, Yu. T., &amp; Romanov, S. V. (2020). Producing bicomponent sealants based on polyaspartate urea resins.</w:t>
      </w:r>
      <w:r>
        <w:t xml:space="preserve"> </w:t>
      </w:r>
      <w:r>
        <w:rPr>
          <w:i/>
          <w:iCs/>
        </w:rPr>
        <w:t xml:space="preserve">Polymer Science Series D</w:t>
      </w:r>
      <w:r>
        <w:t xml:space="preserve">,</w:t>
      </w:r>
      <w:r>
        <w:t xml:space="preserve"> </w:t>
      </w:r>
      <w:r>
        <w:rPr>
          <w:i/>
          <w:iCs/>
        </w:rPr>
        <w:t xml:space="preserve">13</w:t>
      </w:r>
      <w:r>
        <w:t xml:space="preserve">, 407–413.</w:t>
      </w:r>
    </w:p>
    <w:bookmarkEnd w:id="94"/>
    <w:bookmarkStart w:id="95" w:name="ref-cardoso2013_resinasmamona"/>
    <w:p>
      <w:pPr>
        <w:pStyle w:val="Bibliografia"/>
      </w:pPr>
      <w:r>
        <w:t xml:space="preserve">Cardoso, O. R., &amp; Balaban, R. de C. (2013). Preparação de resinas de poliuretana à base de óleo de mamona e dietanolamina e aplicação em circuitos eletroeletrônicos.</w:t>
      </w:r>
      <w:r>
        <w:t xml:space="preserve"> </w:t>
      </w:r>
      <w:r>
        <w:rPr>
          <w:i/>
          <w:iCs/>
        </w:rPr>
        <w:t xml:space="preserve">Polímeros</w:t>
      </w:r>
      <w:r>
        <w:t xml:space="preserve">,</w:t>
      </w:r>
      <w:r>
        <w:t xml:space="preserve"> </w:t>
      </w:r>
      <w:r>
        <w:rPr>
          <w:i/>
          <w:iCs/>
        </w:rPr>
        <w:t xml:space="preserve">23</w:t>
      </w:r>
      <w:r>
        <w:t xml:space="preserve">, 552–558.</w:t>
      </w:r>
    </w:p>
    <w:bookmarkEnd w:id="95"/>
    <w:bookmarkStart w:id="96" w:name="ref-cesar2015_cellulose"/>
    <w:p>
      <w:pPr>
        <w:pStyle w:val="Bibliografia"/>
      </w:pPr>
      <w:r>
        <w:t xml:space="preserve">César, N. R., Pereira-da-Silva, M. A., Botaro, V. R., &amp; Menezes, A. J. de. (2015). Cellulose nanocrystals from Typha domingensis: extraction and characterization.</w:t>
      </w:r>
      <w:r>
        <w:t xml:space="preserve"> </w:t>
      </w:r>
      <w:r>
        <w:rPr>
          <w:i/>
          <w:iCs/>
        </w:rPr>
        <w:t xml:space="preserve">Cellulose</w:t>
      </w:r>
      <w:r>
        <w:t xml:space="preserve">,</w:t>
      </w:r>
      <w:r>
        <w:t xml:space="preserve"> </w:t>
      </w:r>
      <w:r>
        <w:rPr>
          <w:i/>
          <w:iCs/>
        </w:rPr>
        <w:t xml:space="preserve">22</w:t>
      </w:r>
      <w:r>
        <w:t xml:space="preserve">, 449–460.</w:t>
      </w:r>
    </w:p>
    <w:bookmarkEnd w:id="96"/>
    <w:bookmarkStart w:id="97" w:name="ref-cheng2015_research"/>
    <w:p>
      <w:pPr>
        <w:pStyle w:val="Bibliografia"/>
      </w:pPr>
      <w:r>
        <w:t xml:space="preserve">Cheng, F., &amp; Cheng, Z. (2015). Research progress on plant allelopathy in agriculture.</w:t>
      </w:r>
      <w:r>
        <w:t xml:space="preserve"> </w:t>
      </w:r>
      <w:r>
        <w:rPr>
          <w:i/>
          <w:iCs/>
        </w:rPr>
        <w:t xml:space="preserve">Frontiers in Plant Science</w:t>
      </w:r>
      <w:r>
        <w:t xml:space="preserve">,</w:t>
      </w:r>
      <w:r>
        <w:t xml:space="preserve"> </w:t>
      </w:r>
      <w:r>
        <w:rPr>
          <w:i/>
          <w:iCs/>
        </w:rPr>
        <w:t xml:space="preserve">6</w:t>
      </w:r>
      <w:r>
        <w:t xml:space="preserve">.</w:t>
      </w:r>
    </w:p>
    <w:bookmarkEnd w:id="97"/>
    <w:bookmarkStart w:id="98" w:name="ref-cipollini2016_comparison"/>
    <w:p>
      <w:pPr>
        <w:pStyle w:val="Bibliografia"/>
      </w:pPr>
      <w:r>
        <w:t xml:space="preserve">Cipollini, K., &amp; Greenawalt Bohrer, M. (2016). Comparison of allelopathic effects of five invasive species on two native species.</w:t>
      </w:r>
      <w:r>
        <w:t xml:space="preserve"> </w:t>
      </w:r>
      <w:r>
        <w:rPr>
          <w:i/>
          <w:iCs/>
        </w:rPr>
        <w:t xml:space="preserve">Journal of the Torrey Botanical Society</w:t>
      </w:r>
      <w:r>
        <w:t xml:space="preserve">,</w:t>
      </w:r>
      <w:r>
        <w:t xml:space="preserve"> </w:t>
      </w:r>
      <w:r>
        <w:rPr>
          <w:i/>
          <w:iCs/>
        </w:rPr>
        <w:t xml:space="preserve">143</w:t>
      </w:r>
      <w:r>
        <w:t xml:space="preserve">, 427–436.</w:t>
      </w:r>
    </w:p>
    <w:bookmarkEnd w:id="98"/>
    <w:bookmarkStart w:id="99" w:name="ref-cislaghi2020_biodegradable"/>
    <w:p>
      <w:pPr>
        <w:pStyle w:val="Bibliografia"/>
      </w:pPr>
      <w:r>
        <w:t xml:space="preserve">Cislaghi, A., Sala, P., Borgonovo, G., Gandolfi, C., &amp; Bischetti, G. B. (2020). Biodegradable geosynthetics for geotechnical and geo-environmental engineering. Em</w:t>
      </w:r>
      <w:r>
        <w:t xml:space="preserve"> </w:t>
      </w:r>
      <w:r>
        <w:rPr>
          <w:i/>
          <w:iCs/>
        </w:rPr>
        <w:t xml:space="preserve">Unknown</w:t>
      </w:r>
      <w:r>
        <w:t xml:space="preserve"> </w:t>
      </w:r>
      <w:r>
        <w:t xml:space="preserve">(p. 49–57).</w:t>
      </w:r>
    </w:p>
    <w:bookmarkEnd w:id="99"/>
    <w:bookmarkStart w:id="100" w:name="ref-cunhacruzy2020_rootanatomy"/>
    <w:p>
      <w:pPr>
        <w:pStyle w:val="Bibliografia"/>
      </w:pPr>
      <w:r>
        <w:t xml:space="preserve">Cunha Cruz, Y. da, Martins Scarpa, A. L., Pereira, M. P., Mauro de Castro, E., &amp; Pereira, F. J. (2020). Root anatomy and nutrient uptake of Typha domingensis grown under drought.</w:t>
      </w:r>
      <w:r>
        <w:t xml:space="preserve"> </w:t>
      </w:r>
      <w:r>
        <w:rPr>
          <w:i/>
          <w:iCs/>
        </w:rPr>
        <w:t xml:space="preserve">Rhizosphere</w:t>
      </w:r>
      <w:r>
        <w:t xml:space="preserve">,</w:t>
      </w:r>
      <w:r>
        <w:t xml:space="preserve"> </w:t>
      </w:r>
      <w:r>
        <w:rPr>
          <w:i/>
          <w:iCs/>
        </w:rPr>
        <w:t xml:space="preserve">16</w:t>
      </w:r>
      <w:r>
        <w:t xml:space="preserve">, 100253.</w:t>
      </w:r>
    </w:p>
    <w:bookmarkEnd w:id="100"/>
    <w:bookmarkStart w:id="101" w:name="ref-daria2020_characteristics"/>
    <w:p>
      <w:pPr>
        <w:pStyle w:val="Bibliografia"/>
      </w:pPr>
      <w:r>
        <w:t xml:space="preserve">Daria, M., Krzysztof, L., &amp; Jakub, M. (2020). Characteristics of biodegradable textiles used in environmental engineering: a review.</w:t>
      </w:r>
      <w:r>
        <w:t xml:space="preserve"> </w:t>
      </w:r>
      <w:r>
        <w:rPr>
          <w:i/>
          <w:iCs/>
        </w:rPr>
        <w:t xml:space="preserve">Journal of Cleaner Production</w:t>
      </w:r>
      <w:r>
        <w:t xml:space="preserve">,</w:t>
      </w:r>
      <w:r>
        <w:t xml:space="preserve"> </w:t>
      </w:r>
      <w:r>
        <w:rPr>
          <w:i/>
          <w:iCs/>
        </w:rPr>
        <w:t xml:space="preserve">268</w:t>
      </w:r>
      <w:r>
        <w:t xml:space="preserve">, 122129.</w:t>
      </w:r>
    </w:p>
    <w:bookmarkEnd w:id="101"/>
    <w:bookmarkStart w:id="102" w:name="ref-deguenon2022_influence"/>
    <w:p>
      <w:pPr>
        <w:pStyle w:val="Bibliografia"/>
      </w:pPr>
      <w:r>
        <w:t xml:space="preserve">Deguenon, H. E. J., Guevara, N., Tometin, L. A. S., Guehou, M. S., Aina, M. P., &amp; Sohounhloue, C. K. D. (2022). Influence of stage number on domestic wastewater treated with Typha domingensis.</w:t>
      </w:r>
      <w:r>
        <w:t xml:space="preserve"> </w:t>
      </w:r>
      <w:r>
        <w:rPr>
          <w:i/>
          <w:iCs/>
        </w:rPr>
        <w:t xml:space="preserve">Chemical Science International Journal</w:t>
      </w:r>
      <w:r>
        <w:t xml:space="preserve">, 1–10.</w:t>
      </w:r>
    </w:p>
    <w:bookmarkEnd w:id="102"/>
    <w:bookmarkStart w:id="103" w:name="ref-dhakal2007_effect"/>
    <w:p>
      <w:pPr>
        <w:pStyle w:val="Bibliografia"/>
      </w:pPr>
      <w:r>
        <w:t xml:space="preserve">Dhakal, H., Zhang, Z., &amp; Richardson, M. (2007). Effect of water absorption on mechanical properties of hemp fibre reinforced polyester composites.</w:t>
      </w:r>
      <w:r>
        <w:t xml:space="preserve"> </w:t>
      </w:r>
      <w:r>
        <w:rPr>
          <w:i/>
          <w:iCs/>
        </w:rPr>
        <w:t xml:space="preserve">Composites Science and Technology</w:t>
      </w:r>
      <w:r>
        <w:t xml:space="preserve">,</w:t>
      </w:r>
      <w:r>
        <w:t xml:space="preserve"> </w:t>
      </w:r>
      <w:r>
        <w:rPr>
          <w:i/>
          <w:iCs/>
        </w:rPr>
        <w:t xml:space="preserve">67</w:t>
      </w:r>
      <w:r>
        <w:t xml:space="preserve">, 1674–1683.</w:t>
      </w:r>
    </w:p>
    <w:bookmarkEnd w:id="103"/>
    <w:bookmarkStart w:id="104" w:name="ref-dijkstra2017_cultivo"/>
    <w:p>
      <w:pPr>
        <w:pStyle w:val="Bibliografia"/>
      </w:pPr>
      <w:r>
        <w:t xml:space="preserve">Dijkstra, D. D., Longo, U., Guilherme, I. H., Ferreira, R. V., Dias, L. N. de S., &amp; Buso, W. H. D. (2017). Cultivo de Eruca sativa sob diferentes manejos nutricionais.</w:t>
      </w:r>
      <w:r>
        <w:t xml:space="preserve"> </w:t>
      </w:r>
      <w:r>
        <w:rPr>
          <w:i/>
          <w:iCs/>
        </w:rPr>
        <w:t xml:space="preserve">Agrarian</w:t>
      </w:r>
      <w:r>
        <w:t xml:space="preserve">,</w:t>
      </w:r>
      <w:r>
        <w:t xml:space="preserve"> </w:t>
      </w:r>
      <w:r>
        <w:rPr>
          <w:i/>
          <w:iCs/>
        </w:rPr>
        <w:t xml:space="preserve">10</w:t>
      </w:r>
      <w:r>
        <w:t xml:space="preserve">, 61.</w:t>
      </w:r>
    </w:p>
    <w:bookmarkEnd w:id="104"/>
    <w:bookmarkStart w:id="105" w:name="ref-embrapa2009_ph"/>
    <w:p>
      <w:pPr>
        <w:pStyle w:val="Bibliografia"/>
      </w:pPr>
      <w:r>
        <w:t xml:space="preserve">Embrapa. (2009).</w:t>
      </w:r>
      <w:r>
        <w:t xml:space="preserve"> </w:t>
      </w:r>
      <w:r>
        <w:rPr>
          <w:i/>
          <w:iCs/>
        </w:rPr>
        <w:t xml:space="preserve">Manual de métodos de análise de solo</w:t>
      </w:r>
      <w:r>
        <w:t xml:space="preserve">. Empresa Brasileira de Pesquisa Agropecuária.</w:t>
      </w:r>
    </w:p>
    <w:bookmarkEnd w:id="105"/>
    <w:bookmarkStart w:id="106" w:name="ref-faller2020_poda"/>
    <w:p>
      <w:pPr>
        <w:pStyle w:val="Bibliografia"/>
      </w:pPr>
      <w:r>
        <w:t xml:space="preserve">Faller, B. V., Amorin, R. dos S., De Oliveira, I. A., &amp; Jardim, I. N. (2020). Efeito da poda radicular e do hidrogel no crescimento de mudas de jatobá.</w:t>
      </w:r>
      <w:r>
        <w:t xml:space="preserve"> </w:t>
      </w:r>
      <w:r>
        <w:rPr>
          <w:i/>
          <w:iCs/>
        </w:rPr>
        <w:t xml:space="preserve">Nativa</w:t>
      </w:r>
      <w:r>
        <w:t xml:space="preserve">,</w:t>
      </w:r>
      <w:r>
        <w:t xml:space="preserve"> </w:t>
      </w:r>
      <w:r>
        <w:rPr>
          <w:i/>
          <w:iCs/>
        </w:rPr>
        <w:t xml:space="preserve">8</w:t>
      </w:r>
      <w:r>
        <w:t xml:space="preserve">, 476–483.</w:t>
      </w:r>
    </w:p>
    <w:bookmarkEnd w:id="106"/>
    <w:bookmarkStart w:id="108" w:name="ref-Fernandez2022_polyacrylamide"/>
    <w:p>
      <w:pPr>
        <w:pStyle w:val="Bibliografia"/>
      </w:pPr>
      <w:r>
        <w:t xml:space="preserve">Fernández, P. L., Behrends Kraemer, F., Sabatté, L., Guiroy, J., &amp; Gutierrez Boem, F. (2022). Superabsorbent Polyacrylamide Effects on Hydrophysical Soil Properties and Plant Biomass in a Sandy Loam Soil.</w:t>
      </w:r>
      <w:r>
        <w:t xml:space="preserve"> </w:t>
      </w:r>
      <w:r>
        <w:rPr>
          <w:i/>
          <w:iCs/>
        </w:rPr>
        <w:t xml:space="preserve">Communications in Soil Science and Plant Analysis</w:t>
      </w:r>
      <w:r>
        <w:t xml:space="preserve">,</w:t>
      </w:r>
      <w:r>
        <w:t xml:space="preserve"> </w:t>
      </w:r>
      <w:r>
        <w:rPr>
          <w:i/>
          <w:iCs/>
        </w:rPr>
        <w:t xml:space="preserve">53</w:t>
      </w:r>
      <w:r>
        <w:t xml:space="preserve">(21), 2892–2906.</w:t>
      </w:r>
      <w:r>
        <w:t xml:space="preserve"> </w:t>
      </w:r>
      <w:hyperlink r:id="rId107">
        <w:r>
          <w:rPr>
            <w:rStyle w:val="Hyperlink"/>
          </w:rPr>
          <w:t xml:space="preserve">https://doi.org/10.1080/00103624.2022.2096233</w:t>
        </w:r>
      </w:hyperlink>
    </w:p>
    <w:bookmarkEnd w:id="108"/>
    <w:bookmarkStart w:id="109" w:name="ref-filgueira2008_novo"/>
    <w:p>
      <w:pPr>
        <w:pStyle w:val="Bibliografia"/>
      </w:pPr>
      <w:r>
        <w:t xml:space="preserve">Filgueira, F. A. R. (2008).</w:t>
      </w:r>
      <w:r>
        <w:t xml:space="preserve"> </w:t>
      </w:r>
      <w:r>
        <w:rPr>
          <w:i/>
          <w:iCs/>
        </w:rPr>
        <w:t xml:space="preserve">Novo manual de olericultura: agrotecnologia moderna na produ��o e comercializa��o de hortali�as</w:t>
      </w:r>
      <w:r>
        <w:t xml:space="preserve"> </w:t>
      </w:r>
      <w:r>
        <w:t xml:space="preserve">(3º ed.). UFV.</w:t>
      </w:r>
    </w:p>
    <w:bookmarkEnd w:id="109"/>
    <w:bookmarkStart w:id="110" w:name="ref-gao2023_quenched"/>
    <w:p>
      <w:pPr>
        <w:pStyle w:val="Bibliografia"/>
      </w:pPr>
      <w:r>
        <w:t xml:space="preserve">Gao, W., Chang, J., Li, X., Li, S., Zhou, Y., Hou, X., Long, L., Zhao, J., &amp; Yuan, X. (2023). A quenched double-hydrophilic coating for enhancing water retention of hydrogels.</w:t>
      </w:r>
      <w:r>
        <w:t xml:space="preserve"> </w:t>
      </w:r>
      <w:r>
        <w:rPr>
          <w:i/>
          <w:iCs/>
        </w:rPr>
        <w:t xml:space="preserve">Advanced Functional Materials</w:t>
      </w:r>
      <w:r>
        <w:t xml:space="preserve">,</w:t>
      </w:r>
      <w:r>
        <w:t xml:space="preserve"> </w:t>
      </w:r>
      <w:r>
        <w:rPr>
          <w:i/>
          <w:iCs/>
        </w:rPr>
        <w:t xml:space="preserve">33</w:t>
      </w:r>
      <w:r>
        <w:t xml:space="preserve">.</w:t>
      </w:r>
    </w:p>
    <w:bookmarkEnd w:id="110"/>
    <w:bookmarkStart w:id="111" w:name="ref-ghosh2009_suitability"/>
    <w:p>
      <w:pPr>
        <w:pStyle w:val="Bibliografia"/>
      </w:pPr>
      <w:r>
        <w:t xml:space="preserve">Ghosh, M., Choudhury, P. K., &amp; Sanyal, T. (2009). Suitability of natural fibres in geotextile applications.</w:t>
      </w:r>
      <w:r>
        <w:t xml:space="preserve"> </w:t>
      </w:r>
      <w:r>
        <w:rPr>
          <w:i/>
          <w:iCs/>
        </w:rPr>
        <w:t xml:space="preserve">IGC Geotide</w:t>
      </w:r>
      <w:r>
        <w:t xml:space="preserve">, 497–501.</w:t>
      </w:r>
    </w:p>
    <w:bookmarkEnd w:id="111"/>
    <w:bookmarkStart w:id="113" w:name="ref-Giupponi2019HowProposals"/>
    <w:p>
      <w:pPr>
        <w:pStyle w:val="Bibliografia"/>
      </w:pPr>
      <w:r>
        <w:t xml:space="preserve">Giupponi, L., Borgonovo, G., Giorgi, A., &amp; Bischetti, G. B. (2019). How to renew soil bioengineering for slope stabilization: some proposals.</w:t>
      </w:r>
      <w:r>
        <w:t xml:space="preserve"> </w:t>
      </w:r>
      <w:r>
        <w:rPr>
          <w:i/>
          <w:iCs/>
        </w:rPr>
        <w:t xml:space="preserve">Landscape and Ecological Engineering</w:t>
      </w:r>
      <w:r>
        <w:t xml:space="preserve">,</w:t>
      </w:r>
      <w:r>
        <w:t xml:space="preserve"> </w:t>
      </w:r>
      <w:r>
        <w:rPr>
          <w:i/>
          <w:iCs/>
        </w:rPr>
        <w:t xml:space="preserve">15</w:t>
      </w:r>
      <w:r>
        <w:t xml:space="preserve">(1), 37–50.</w:t>
      </w:r>
      <w:r>
        <w:t xml:space="preserve"> </w:t>
      </w:r>
      <w:hyperlink r:id="rId112">
        <w:r>
          <w:rPr>
            <w:rStyle w:val="Hyperlink"/>
          </w:rPr>
          <w:t xml:space="preserve">https://doi.org/10.1007/s11355-018-0359-9</w:t>
        </w:r>
      </w:hyperlink>
    </w:p>
    <w:bookmarkEnd w:id="113"/>
    <w:bookmarkStart w:id="114" w:name="ref-grace1989_effects"/>
    <w:p>
      <w:pPr>
        <w:pStyle w:val="Bibliografia"/>
      </w:pPr>
      <w:r>
        <w:t xml:space="preserve">Grace, J. B. (1989). Effects of water depth on Typha latifolia and Typha domingensis.</w:t>
      </w:r>
      <w:r>
        <w:t xml:space="preserve"> </w:t>
      </w:r>
      <w:r>
        <w:rPr>
          <w:i/>
          <w:iCs/>
        </w:rPr>
        <w:t xml:space="preserve">American Journal of Botany</w:t>
      </w:r>
      <w:r>
        <w:t xml:space="preserve">,</w:t>
      </w:r>
      <w:r>
        <w:t xml:space="preserve"> </w:t>
      </w:r>
      <w:r>
        <w:rPr>
          <w:i/>
          <w:iCs/>
        </w:rPr>
        <w:t xml:space="preserve">76</w:t>
      </w:r>
      <w:r>
        <w:t xml:space="preserve">, 762–768.</w:t>
      </w:r>
    </w:p>
    <w:bookmarkEnd w:id="114"/>
    <w:bookmarkStart w:id="115" w:name="ref-grimes2019_trichoderma"/>
    <w:p>
      <w:pPr>
        <w:pStyle w:val="Bibliografia"/>
      </w:pPr>
      <w:r>
        <w:t xml:space="preserve">Grimes, R. (2019).</w:t>
      </w:r>
      <w:r>
        <w:t xml:space="preserve"> </w:t>
      </w:r>
      <w:r>
        <w:rPr>
          <w:i/>
          <w:iCs/>
        </w:rPr>
        <w:t xml:space="preserve">Potencial biológico de Trichoderma spp. em fungos fitopatogênicos in vitro</w:t>
      </w:r>
      <w:r>
        <w:t xml:space="preserve">.</w:t>
      </w:r>
    </w:p>
    <w:bookmarkEnd w:id="115"/>
    <w:bookmarkStart w:id="116" w:name="ref-hadad2018_longterm"/>
    <w:p>
      <w:pPr>
        <w:pStyle w:val="Bibliografia"/>
      </w:pPr>
      <w:r>
        <w:t xml:space="preserve">Hadad, H. R., Mufarrege, M. de las M., Di Luca, G. A., &amp; Maine, M. A. (2018). Long-term study of Cr, Ni, Zn, and P distribution in Typha domingensis in constructed wetlands.</w:t>
      </w:r>
      <w:r>
        <w:t xml:space="preserve"> </w:t>
      </w:r>
      <w:r>
        <w:rPr>
          <w:i/>
          <w:iCs/>
        </w:rPr>
        <w:t xml:space="preserve">Environmental Science and Pollution Research</w:t>
      </w:r>
      <w:r>
        <w:t xml:space="preserve">,</w:t>
      </w:r>
      <w:r>
        <w:t xml:space="preserve"> </w:t>
      </w:r>
      <w:r>
        <w:rPr>
          <w:i/>
          <w:iCs/>
        </w:rPr>
        <w:t xml:space="preserve">25</w:t>
      </w:r>
      <w:r>
        <w:t xml:space="preserve">, 18130–18137.</w:t>
      </w:r>
    </w:p>
    <w:bookmarkEnd w:id="116"/>
    <w:bookmarkStart w:id="117" w:name="ref-haiming2020_microbial"/>
    <w:p>
      <w:pPr>
        <w:pStyle w:val="Bibliografia"/>
      </w:pPr>
      <w:r>
        <w:t xml:space="preserve">Haiming, T., Xiaoping, X., Chao, L., Xiaochen, P., Kaikai, C., Weiyan, L., &amp; Ke, W. (2020). Microbial carbon source utilization in rice rhizosphere with manure N input.</w:t>
      </w:r>
      <w:r>
        <w:t xml:space="preserve"> </w:t>
      </w:r>
      <w:r>
        <w:rPr>
          <w:i/>
          <w:iCs/>
        </w:rPr>
        <w:t xml:space="preserve">Scientific Reports</w:t>
      </w:r>
      <w:r>
        <w:t xml:space="preserve">,</w:t>
      </w:r>
      <w:r>
        <w:t xml:space="preserve"> </w:t>
      </w:r>
      <w:r>
        <w:rPr>
          <w:i/>
          <w:iCs/>
        </w:rPr>
        <w:t xml:space="preserve">10</w:t>
      </w:r>
      <w:r>
        <w:t xml:space="preserve">, 1–9.</w:t>
      </w:r>
    </w:p>
    <w:bookmarkEnd w:id="117"/>
    <w:bookmarkStart w:id="118" w:name="ref-hegazy2011_phytoremediation"/>
    <w:p>
      <w:pPr>
        <w:pStyle w:val="Bibliografia"/>
      </w:pPr>
      <w:r>
        <w:t xml:space="preserve">Hegazy, A. K., Abdel-Ghani, N. T., &amp; El-Chaghaby, G. A. (2011). Phytoremediation of industrial wastewater by Typha domingensis.</w:t>
      </w:r>
      <w:r>
        <w:t xml:space="preserve"> </w:t>
      </w:r>
      <w:r>
        <w:rPr>
          <w:i/>
          <w:iCs/>
        </w:rPr>
        <w:t xml:space="preserve">International Journal of Environmental Science &amp; Technology</w:t>
      </w:r>
      <w:r>
        <w:t xml:space="preserve">,</w:t>
      </w:r>
      <w:r>
        <w:t xml:space="preserve"> </w:t>
      </w:r>
      <w:r>
        <w:rPr>
          <w:i/>
          <w:iCs/>
        </w:rPr>
        <w:t xml:space="preserve">8</w:t>
      </w:r>
      <w:r>
        <w:t xml:space="preserve">, 639–648.</w:t>
      </w:r>
    </w:p>
    <w:bookmarkEnd w:id="118"/>
    <w:bookmarkStart w:id="119" w:name="ref-hsu1996_multiplecomparisons"/>
    <w:p>
      <w:pPr>
        <w:pStyle w:val="Bibliografia"/>
      </w:pPr>
      <w:r>
        <w:t xml:space="preserve">Hsu, J. C. (1996).</w:t>
      </w:r>
      <w:r>
        <w:t xml:space="preserve"> </w:t>
      </w:r>
      <w:r>
        <w:rPr>
          <w:i/>
          <w:iCs/>
        </w:rPr>
        <w:t xml:space="preserve">Multiple Comparisons: Theory and Methods</w:t>
      </w:r>
      <w:r>
        <w:t xml:space="preserve">. Chapman; Hall.</w:t>
      </w:r>
    </w:p>
    <w:bookmarkEnd w:id="119"/>
    <w:bookmarkStart w:id="120" w:name="ref-inderjit1996_phenolics"/>
    <w:p>
      <w:pPr>
        <w:pStyle w:val="Bibliografia"/>
      </w:pPr>
      <w:r>
        <w:t xml:space="preserve">Inderjit. (1996). Plant phenolics in allelopathy.</w:t>
      </w:r>
      <w:r>
        <w:t xml:space="preserve"> </w:t>
      </w:r>
      <w:r>
        <w:rPr>
          <w:i/>
          <w:iCs/>
        </w:rPr>
        <w:t xml:space="preserve">The Botanical Review</w:t>
      </w:r>
      <w:r>
        <w:t xml:space="preserve">,</w:t>
      </w:r>
      <w:r>
        <w:t xml:space="preserve"> </w:t>
      </w:r>
      <w:r>
        <w:rPr>
          <w:i/>
          <w:iCs/>
        </w:rPr>
        <w:t xml:space="preserve">62</w:t>
      </w:r>
      <w:r>
        <w:t xml:space="preserve">, 186–202.</w:t>
      </w:r>
    </w:p>
    <w:bookmarkEnd w:id="120"/>
    <w:bookmarkStart w:id="122" w:name="ref-dujardin2015_biostimulants"/>
    <w:p>
      <w:pPr>
        <w:pStyle w:val="Bibliografia"/>
      </w:pPr>
      <w:r>
        <w:t xml:space="preserve">Jardin, P. du. (2015). Plant biostimulants: Definition, concept, main categories and regulation.</w:t>
      </w:r>
      <w:r>
        <w:t xml:space="preserve"> </w:t>
      </w:r>
      <w:r>
        <w:rPr>
          <w:i/>
          <w:iCs/>
        </w:rPr>
        <w:t xml:space="preserve">Scientia Horticulturae</w:t>
      </w:r>
      <w:r>
        <w:t xml:space="preserve">,</w:t>
      </w:r>
      <w:r>
        <w:t xml:space="preserve"> </w:t>
      </w:r>
      <w:r>
        <w:rPr>
          <w:i/>
          <w:iCs/>
        </w:rPr>
        <w:t xml:space="preserve">196</w:t>
      </w:r>
      <w:r>
        <w:t xml:space="preserve">, 3–14.</w:t>
      </w:r>
      <w:r>
        <w:t xml:space="preserve"> </w:t>
      </w:r>
      <w:hyperlink r:id="rId121">
        <w:r>
          <w:rPr>
            <w:rStyle w:val="Hyperlink"/>
          </w:rPr>
          <w:t xml:space="preserve">https://doi.org/10.1016/j.scienta.2015.09.021</w:t>
        </w:r>
      </w:hyperlink>
    </w:p>
    <w:bookmarkEnd w:id="122"/>
    <w:bookmarkStart w:id="123" w:name="ref-jimenez2021_soilphysical"/>
    <w:p>
      <w:pPr>
        <w:pStyle w:val="Bibliografia"/>
      </w:pPr>
      <w:r>
        <w:t xml:space="preserve">Jimenez, K. J., Rolim, M. M., Lima, R. P. de, Cavalcanti, R. Q., Silva, Ê. F. F., &amp; Pedrosa, E. M. R. (2021). Soil physical indicators of a sugarcane field under successive mechanised harvests.</w:t>
      </w:r>
      <w:r>
        <w:t xml:space="preserve"> </w:t>
      </w:r>
      <w:r>
        <w:rPr>
          <w:i/>
          <w:iCs/>
        </w:rPr>
        <w:t xml:space="preserve">Sugar Tech</w:t>
      </w:r>
      <w:r>
        <w:t xml:space="preserve">,</w:t>
      </w:r>
      <w:r>
        <w:t xml:space="preserve"> </w:t>
      </w:r>
      <w:r>
        <w:rPr>
          <w:i/>
          <w:iCs/>
        </w:rPr>
        <w:t xml:space="preserve">23</w:t>
      </w:r>
      <w:r>
        <w:t xml:space="preserve">, 811–818.</w:t>
      </w:r>
    </w:p>
    <w:bookmarkEnd w:id="123"/>
    <w:bookmarkStart w:id="125" w:name="ref-jolliffe2016_pca"/>
    <w:p>
      <w:pPr>
        <w:pStyle w:val="Bibliografia"/>
      </w:pPr>
      <w:r>
        <w:t xml:space="preserve">Jolliffe, I. T., &amp; Cadima, J. (2016). Principal component analysis: a review and recent developments.</w:t>
      </w:r>
      <w:r>
        <w:t xml:space="preserve"> </w:t>
      </w:r>
      <w:r>
        <w:rPr>
          <w:i/>
          <w:iCs/>
        </w:rPr>
        <w:t xml:space="preserve">Philosophical Transactions of the Royal Society A: Mathematical, Physical and Engineering Sciences</w:t>
      </w:r>
      <w:r>
        <w:t xml:space="preserve">,</w:t>
      </w:r>
      <w:r>
        <w:t xml:space="preserve"> </w:t>
      </w:r>
      <w:r>
        <w:rPr>
          <w:i/>
          <w:iCs/>
        </w:rPr>
        <w:t xml:space="preserve">374</w:t>
      </w:r>
      <w:r>
        <w:t xml:space="preserve">(2065), 20150202.</w:t>
      </w:r>
      <w:r>
        <w:t xml:space="preserve"> </w:t>
      </w:r>
      <w:hyperlink r:id="rId124">
        <w:r>
          <w:rPr>
            <w:rStyle w:val="Hyperlink"/>
          </w:rPr>
          <w:t xml:space="preserve">https://doi.org/10.1098/rsta.2015.0202</w:t>
        </w:r>
      </w:hyperlink>
    </w:p>
    <w:bookmarkEnd w:id="125"/>
    <w:bookmarkStart w:id="126" w:name="ref-kamali2022_typha"/>
    <w:p>
      <w:pPr>
        <w:pStyle w:val="Bibliografia"/>
      </w:pPr>
      <w:r>
        <w:t xml:space="preserve">Kamali Moghaddam, M. (2022). Typha leaves fiber and its composites: a review.</w:t>
      </w:r>
      <w:r>
        <w:t xml:space="preserve"> </w:t>
      </w:r>
      <w:r>
        <w:rPr>
          <w:i/>
          <w:iCs/>
        </w:rPr>
        <w:t xml:space="preserve">Journal of Natural Fibers</w:t>
      </w:r>
      <w:r>
        <w:t xml:space="preserve">,</w:t>
      </w:r>
      <w:r>
        <w:t xml:space="preserve"> </w:t>
      </w:r>
      <w:r>
        <w:rPr>
          <w:i/>
          <w:iCs/>
        </w:rPr>
        <w:t xml:space="preserve">19</w:t>
      </w:r>
      <w:r>
        <w:t xml:space="preserve">, 4993–5007.</w:t>
      </w:r>
    </w:p>
    <w:bookmarkEnd w:id="126"/>
    <w:bookmarkStart w:id="127" w:name="ref-kausar2019_interpenetrating"/>
    <w:p>
      <w:pPr>
        <w:pStyle w:val="Bibliografia"/>
      </w:pPr>
      <w:r>
        <w:t xml:space="preserve">Kausar, A. (2019). Interpenetrating polymer network of polyurethane/epoxy: fundamentals and advancements.</w:t>
      </w:r>
      <w:r>
        <w:t xml:space="preserve"> </w:t>
      </w:r>
      <w:r>
        <w:rPr>
          <w:i/>
          <w:iCs/>
        </w:rPr>
        <w:t xml:space="preserve">Polymer</w:t>
      </w:r>
      <w:r>
        <w:rPr>
          <w:i/>
          <w:iCs/>
        </w:rPr>
        <w:t xml:space="preserve">-</w:t>
      </w:r>
      <w:r>
        <w:rPr>
          <w:i/>
          <w:iCs/>
        </w:rPr>
        <w:t xml:space="preserve">Plastics Technology and Materials</w:t>
      </w:r>
      <w:r>
        <w:t xml:space="preserve">,</w:t>
      </w:r>
      <w:r>
        <w:t xml:space="preserve"> </w:t>
      </w:r>
      <w:r>
        <w:rPr>
          <w:i/>
          <w:iCs/>
        </w:rPr>
        <w:t xml:space="preserve">58</w:t>
      </w:r>
      <w:r>
        <w:t xml:space="preserve">, 691–706.</w:t>
      </w:r>
    </w:p>
    <w:bookmarkEnd w:id="127"/>
    <w:bookmarkStart w:id="129" w:name="ref-KhodadadiDehkordi2018"/>
    <w:p>
      <w:pPr>
        <w:pStyle w:val="Bibliografia"/>
      </w:pPr>
      <w:r>
        <w:t xml:space="preserve">Khodadadi Dehkordi, D. (2018). Effect of superabsorbent polymer on soil and plants on steep surfaces.</w:t>
      </w:r>
      <w:r>
        <w:t xml:space="preserve"> </w:t>
      </w:r>
      <w:r>
        <w:rPr>
          <w:i/>
          <w:iCs/>
        </w:rPr>
        <w:t xml:space="preserve">Water and Environment Journal</w:t>
      </w:r>
      <w:r>
        <w:t xml:space="preserve">,</w:t>
      </w:r>
      <w:r>
        <w:t xml:space="preserve"> </w:t>
      </w:r>
      <w:r>
        <w:rPr>
          <w:i/>
          <w:iCs/>
        </w:rPr>
        <w:t xml:space="preserve">32</w:t>
      </w:r>
      <w:r>
        <w:t xml:space="preserve">(2), 158–163.</w:t>
      </w:r>
      <w:r>
        <w:t xml:space="preserve"> </w:t>
      </w:r>
      <w:hyperlink r:id="rId128">
        <w:r>
          <w:rPr>
            <w:rStyle w:val="Hyperlink"/>
          </w:rPr>
          <w:t xml:space="preserve">https://doi.org/10.1111/wej.12309</w:t>
        </w:r>
      </w:hyperlink>
    </w:p>
    <w:bookmarkEnd w:id="129"/>
    <w:bookmarkStart w:id="130" w:name="ref-koerner2012_designing"/>
    <w:p>
      <w:pPr>
        <w:pStyle w:val="Bibliografia"/>
      </w:pPr>
      <w:r>
        <w:t xml:space="preserve">Koerner, R. M. (2012).</w:t>
      </w:r>
      <w:r>
        <w:t xml:space="preserve"> </w:t>
      </w:r>
      <w:r>
        <w:rPr>
          <w:i/>
          <w:iCs/>
        </w:rPr>
        <w:t xml:space="preserve">Designing with geosynthetics</w:t>
      </w:r>
      <w:r>
        <w:t xml:space="preserve">. Xlibris Corporation.</w:t>
      </w:r>
    </w:p>
    <w:bookmarkEnd w:id="130"/>
    <w:bookmarkStart w:id="131" w:name="ref-koppen1936_klimate"/>
    <w:p>
      <w:pPr>
        <w:pStyle w:val="Bibliografia"/>
      </w:pPr>
      <w:r>
        <w:t xml:space="preserve">Koppen, W. (1936).</w:t>
      </w:r>
      <w:r>
        <w:t xml:space="preserve"> </w:t>
      </w:r>
      <w:r>
        <w:rPr>
          <w:i/>
          <w:iCs/>
        </w:rPr>
        <w:t xml:space="preserve">Das geographische System de Klimate</w:t>
      </w:r>
      <w:r>
        <w:t xml:space="preserve">. Handbuch der klimatologie.</w:t>
      </w:r>
    </w:p>
    <w:bookmarkEnd w:id="131"/>
    <w:bookmarkStart w:id="132" w:name="ref-kumar2013_biochar"/>
    <w:p>
      <w:pPr>
        <w:pStyle w:val="Bibliografia"/>
      </w:pPr>
      <w:r>
        <w:t xml:space="preserve">Kumar, S., Masto, R. E., Ram, L. C., Sarkar, P., George, J., &amp; Selvi, V. A. (2013). Biochar preparation from Parthenium hysterophorus and use in soil.</w:t>
      </w:r>
      <w:r>
        <w:t xml:space="preserve"> </w:t>
      </w:r>
      <w:r>
        <w:rPr>
          <w:i/>
          <w:iCs/>
        </w:rPr>
        <w:t xml:space="preserve">Ecological Engineering</w:t>
      </w:r>
      <w:r>
        <w:t xml:space="preserve">,</w:t>
      </w:r>
      <w:r>
        <w:t xml:space="preserve"> </w:t>
      </w:r>
      <w:r>
        <w:rPr>
          <w:i/>
          <w:iCs/>
        </w:rPr>
        <w:t xml:space="preserve">55</w:t>
      </w:r>
      <w:r>
        <w:t xml:space="preserve">, 67–72.</w:t>
      </w:r>
    </w:p>
    <w:bookmarkEnd w:id="132"/>
    <w:bookmarkStart w:id="133" w:name="ref-labouriau1983_germinacao"/>
    <w:p>
      <w:pPr>
        <w:pStyle w:val="Bibliografia"/>
      </w:pPr>
      <w:r>
        <w:t xml:space="preserve">Labouriau, G. (1983).</w:t>
      </w:r>
      <w:r>
        <w:t xml:space="preserve"> </w:t>
      </w:r>
      <w:r>
        <w:rPr>
          <w:i/>
          <w:iCs/>
        </w:rPr>
        <w:t xml:space="preserve">A germinação das sementes</w:t>
      </w:r>
      <w:r>
        <w:t xml:space="preserve">. UnB.</w:t>
      </w:r>
    </w:p>
    <w:bookmarkEnd w:id="133"/>
    <w:bookmarkStart w:id="135" w:name="ref-Lejcu2018"/>
    <w:p>
      <w:pPr>
        <w:pStyle w:val="Bibliografia"/>
      </w:pPr>
      <w:r>
        <w:t xml:space="preserve">Lejcus, K., Spitalniak, M., &amp; Dabrowska, J. (2018). Swelling Behaviour of Superabsorbent Polymers for Soil Amendment under Different Loads.</w:t>
      </w:r>
      <w:r>
        <w:t xml:space="preserve"> </w:t>
      </w:r>
      <w:r>
        <w:rPr>
          <w:i/>
          <w:iCs/>
        </w:rPr>
        <w:t xml:space="preserve">Polymers</w:t>
      </w:r>
      <w:r>
        <w:t xml:space="preserve">,</w:t>
      </w:r>
      <w:r>
        <w:t xml:space="preserve"> </w:t>
      </w:r>
      <w:r>
        <w:rPr>
          <w:i/>
          <w:iCs/>
        </w:rPr>
        <w:t xml:space="preserve">10</w:t>
      </w:r>
      <w:r>
        <w:t xml:space="preserve">(3), 271.</w:t>
      </w:r>
      <w:r>
        <w:t xml:space="preserve"> </w:t>
      </w:r>
      <w:hyperlink r:id="rId134">
        <w:r>
          <w:rPr>
            <w:rStyle w:val="Hyperlink"/>
          </w:rPr>
          <w:t xml:space="preserve">https://doi.org/10.3390/polym10030271</w:t>
        </w:r>
      </w:hyperlink>
    </w:p>
    <w:bookmarkEnd w:id="135"/>
    <w:bookmarkStart w:id="136" w:name="ref-liu2020_borax"/>
    <w:p>
      <w:pPr>
        <w:pStyle w:val="Bibliografia"/>
      </w:pPr>
      <w:r>
        <w:t xml:space="preserve">Liu, C., Lei, F., Li, P., Jiang, J., &amp; Wang, K. (2020). Borax crosslinked fenugreek galactomannan hydrogel as water-retaining agent.</w:t>
      </w:r>
      <w:r>
        <w:t xml:space="preserve"> </w:t>
      </w:r>
      <w:r>
        <w:rPr>
          <w:i/>
          <w:iCs/>
        </w:rPr>
        <w:t xml:space="preserve">Carbohydrate Polymers</w:t>
      </w:r>
      <w:r>
        <w:t xml:space="preserve">,</w:t>
      </w:r>
      <w:r>
        <w:t xml:space="preserve"> </w:t>
      </w:r>
      <w:r>
        <w:rPr>
          <w:i/>
          <w:iCs/>
        </w:rPr>
        <w:t xml:space="preserve">236</w:t>
      </w:r>
      <w:r>
        <w:t xml:space="preserve">, 116100.</w:t>
      </w:r>
    </w:p>
    <w:bookmarkEnd w:id="136"/>
    <w:bookmarkStart w:id="137" w:name="ref-lucini2018_biostimulant"/>
    <w:p>
      <w:pPr>
        <w:pStyle w:val="Bibliografia"/>
      </w:pPr>
      <w:r>
        <w:t xml:space="preserve">Lucini, L., Rouphael, Y., Cardarelli, M., Bonini, P., Baffi, C., &amp; Colla, G. (2018). Vegetal biopolymer-based biostimulant promoted root growth in melon.</w:t>
      </w:r>
      <w:r>
        <w:t xml:space="preserve"> </w:t>
      </w:r>
      <w:r>
        <w:rPr>
          <w:i/>
          <w:iCs/>
        </w:rPr>
        <w:t xml:space="preserve">Frontiers in Plant Science</w:t>
      </w:r>
      <w:r>
        <w:t xml:space="preserve">,</w:t>
      </w:r>
      <w:r>
        <w:t xml:space="preserve"> </w:t>
      </w:r>
      <w:r>
        <w:rPr>
          <w:i/>
          <w:iCs/>
        </w:rPr>
        <w:t xml:space="preserve">9</w:t>
      </w:r>
      <w:r>
        <w:t xml:space="preserve">.</w:t>
      </w:r>
    </w:p>
    <w:bookmarkEnd w:id="137"/>
    <w:bookmarkStart w:id="138" w:name="ref-luligo2024_aloevera"/>
    <w:p>
      <w:pPr>
        <w:pStyle w:val="Bibliografia"/>
      </w:pPr>
      <w:r>
        <w:t xml:space="preserve">Luligo-Montealegre, W. E., Prado-Alzate, S., Ayala-Aponte, A., Tirado, D. F., &amp; Serna-Cock, L. (2024). Aloe vera cuticle as an organic water-retaining agent.</w:t>
      </w:r>
      <w:r>
        <w:t xml:space="preserve"> </w:t>
      </w:r>
      <w:r>
        <w:rPr>
          <w:i/>
          <w:iCs/>
        </w:rPr>
        <w:t xml:space="preserve">Horticulturae</w:t>
      </w:r>
      <w:r>
        <w:t xml:space="preserve">,</w:t>
      </w:r>
      <w:r>
        <w:t xml:space="preserve"> </w:t>
      </w:r>
      <w:r>
        <w:rPr>
          <w:i/>
          <w:iCs/>
        </w:rPr>
        <w:t xml:space="preserve">10</w:t>
      </w:r>
      <w:r>
        <w:t xml:space="preserve">, 797.</w:t>
      </w:r>
    </w:p>
    <w:bookmarkEnd w:id="138"/>
    <w:bookmarkStart w:id="139" w:name="ref-maguire1962_speed"/>
    <w:p>
      <w:pPr>
        <w:pStyle w:val="Bibliografia"/>
      </w:pPr>
      <w:r>
        <w:t xml:space="preserve">Maguire, J. D. (1962). Speed of germination–aid in selection and evaluation for seedling emergence and vigor.</w:t>
      </w:r>
      <w:r>
        <w:t xml:space="preserve"> </w:t>
      </w:r>
      <w:r>
        <w:rPr>
          <w:i/>
          <w:iCs/>
        </w:rPr>
        <w:t xml:space="preserve">Crop Science</w:t>
      </w:r>
      <w:r>
        <w:t xml:space="preserve">,</w:t>
      </w:r>
      <w:r>
        <w:t xml:space="preserve"> </w:t>
      </w:r>
      <w:r>
        <w:rPr>
          <w:i/>
          <w:iCs/>
        </w:rPr>
        <w:t xml:space="preserve">2</w:t>
      </w:r>
      <w:r>
        <w:t xml:space="preserve">, 176–177.</w:t>
      </w:r>
    </w:p>
    <w:bookmarkEnd w:id="139"/>
    <w:bookmarkStart w:id="140" w:name="ref-mapa2012_rnc_rucula"/>
    <w:p>
      <w:pPr>
        <w:pStyle w:val="Bibliografia"/>
      </w:pPr>
      <w:r>
        <w:t xml:space="preserve">MAPA. (2012).</w:t>
      </w:r>
      <w:r>
        <w:t xml:space="preserve"> </w:t>
      </w:r>
      <w:r>
        <w:rPr>
          <w:i/>
          <w:iCs/>
        </w:rPr>
        <w:t xml:space="preserve">Registro Nacional de Cultivares - Rúcula Gigante Folha Larga (Eruca sativa Mill.)</w:t>
      </w:r>
      <w:r>
        <w:t xml:space="preserve">.</w:t>
      </w:r>
    </w:p>
    <w:bookmarkEnd w:id="140"/>
    <w:bookmarkStart w:id="141" w:name="ref-maslinda2017_effect"/>
    <w:p>
      <w:pPr>
        <w:pStyle w:val="Bibliografia"/>
      </w:pPr>
      <w:r>
        <w:t xml:space="preserve">Maslinda, A. B., Abdul Majid, M. S., Ridzuan, M. J. M., Afendi, M., &amp; Gibson, A. G. (2017). Effect of water absorption on mechanical properties of hybrid cellulosic fibre epoxy composites.</w:t>
      </w:r>
      <w:r>
        <w:t xml:space="preserve"> </w:t>
      </w:r>
      <w:r>
        <w:rPr>
          <w:i/>
          <w:iCs/>
        </w:rPr>
        <w:t xml:space="preserve">Composite Structures</w:t>
      </w:r>
      <w:r>
        <w:t xml:space="preserve">,</w:t>
      </w:r>
      <w:r>
        <w:t xml:space="preserve"> </w:t>
      </w:r>
      <w:r>
        <w:rPr>
          <w:i/>
          <w:iCs/>
        </w:rPr>
        <w:t xml:space="preserve">167</w:t>
      </w:r>
      <w:r>
        <w:t xml:space="preserve">, 227–237.</w:t>
      </w:r>
    </w:p>
    <w:bookmarkEnd w:id="141"/>
    <w:bookmarkStart w:id="143" w:name="ref-Mo2024"/>
    <w:p>
      <w:pPr>
        <w:pStyle w:val="Bibliografia"/>
      </w:pPr>
      <w:r>
        <w:t xml:space="preserve">Mo, Y., Huang, X., &amp; Hu, C. (2024). Recent Advances in the Preparation and Application of Bio-Based Polyurethanes.</w:t>
      </w:r>
      <w:r>
        <w:t xml:space="preserve"> </w:t>
      </w:r>
      <w:r>
        <w:rPr>
          <w:i/>
          <w:iCs/>
        </w:rPr>
        <w:t xml:space="preserve">Polymers</w:t>
      </w:r>
      <w:r>
        <w:t xml:space="preserve">,</w:t>
      </w:r>
      <w:r>
        <w:t xml:space="preserve"> </w:t>
      </w:r>
      <w:r>
        <w:rPr>
          <w:i/>
          <w:iCs/>
        </w:rPr>
        <w:t xml:space="preserve">16</w:t>
      </w:r>
      <w:r>
        <w:t xml:space="preserve">(15), 2155.</w:t>
      </w:r>
      <w:r>
        <w:t xml:space="preserve"> </w:t>
      </w:r>
      <w:hyperlink r:id="rId142">
        <w:r>
          <w:rPr>
            <w:rStyle w:val="Hyperlink"/>
          </w:rPr>
          <w:t xml:space="preserve">https://doi.org/10.3390/polym16152155</w:t>
        </w:r>
      </w:hyperlink>
    </w:p>
    <w:bookmarkEnd w:id="143"/>
    <w:bookmarkStart w:id="145" w:name="ref-Mohammed2015"/>
    <w:p>
      <w:pPr>
        <w:pStyle w:val="Bibliografia"/>
      </w:pPr>
      <w:r>
        <w:t xml:space="preserve">Mohammed, L., Ansari, M. N. M., Pua, G., Jawaid, M., &amp; Islam, M. S. (2015). A Review on Natural Fiber Reinforced Polymer Composite and Its Applications.</w:t>
      </w:r>
      <w:r>
        <w:t xml:space="preserve"> </w:t>
      </w:r>
      <w:r>
        <w:rPr>
          <w:i/>
          <w:iCs/>
        </w:rPr>
        <w:t xml:space="preserve">International Journal of Polymer Science</w:t>
      </w:r>
      <w:r>
        <w:t xml:space="preserve">,</w:t>
      </w:r>
      <w:r>
        <w:t xml:space="preserve"> </w:t>
      </w:r>
      <w:r>
        <w:rPr>
          <w:i/>
          <w:iCs/>
        </w:rPr>
        <w:t xml:space="preserve">2015</w:t>
      </w:r>
      <w:r>
        <w:t xml:space="preserve">, 1–15.</w:t>
      </w:r>
      <w:r>
        <w:t xml:space="preserve"> </w:t>
      </w:r>
      <w:hyperlink r:id="rId144">
        <w:r>
          <w:rPr>
            <w:rStyle w:val="Hyperlink"/>
          </w:rPr>
          <w:t xml:space="preserve">https://doi.org/10.1155/2015/243947</w:t>
        </w:r>
      </w:hyperlink>
    </w:p>
    <w:bookmarkEnd w:id="145"/>
    <w:bookmarkStart w:id="146" w:name="ref-morrow2017_allelochemicals"/>
    <w:p>
      <w:pPr>
        <w:pStyle w:val="Bibliografia"/>
      </w:pPr>
      <w:r>
        <w:t xml:space="preserve">Morrow, K. M., Bromhall, K., Motti, C. A., Munn, C. B., &amp; Bourne, D. G. (2017). Allelochemicals produced by Lobophora macroalgae active against coral larvae.</w:t>
      </w:r>
      <w:r>
        <w:t xml:space="preserve"> </w:t>
      </w:r>
      <w:r>
        <w:rPr>
          <w:i/>
          <w:iCs/>
        </w:rPr>
        <w:t xml:space="preserve">Applied and Environmental Microbiology</w:t>
      </w:r>
      <w:r>
        <w:t xml:space="preserve">,</w:t>
      </w:r>
      <w:r>
        <w:t xml:space="preserve"> </w:t>
      </w:r>
      <w:r>
        <w:rPr>
          <w:i/>
          <w:iCs/>
        </w:rPr>
        <w:t xml:space="preserve">83</w:t>
      </w:r>
      <w:r>
        <w:t xml:space="preserve">.</w:t>
      </w:r>
    </w:p>
    <w:bookmarkEnd w:id="146"/>
    <w:bookmarkStart w:id="147" w:name="ref-muzell2016_allelopathy"/>
    <w:p>
      <w:pPr>
        <w:pStyle w:val="Bibliografia"/>
      </w:pPr>
      <w:r>
        <w:t xml:space="preserve">Muzell Trezzi, M., Vidal, R. A., Balbinot Junior, A. A., Hertwig Bittencourt, H. von, &amp; Silva Souza Filho, A. P. da. (2016). Allelopathy: driving mechanisms in agriculture.</w:t>
      </w:r>
      <w:r>
        <w:t xml:space="preserve"> </w:t>
      </w:r>
      <w:r>
        <w:rPr>
          <w:i/>
          <w:iCs/>
        </w:rPr>
        <w:t xml:space="preserve">Journal of Plant Interactions</w:t>
      </w:r>
      <w:r>
        <w:t xml:space="preserve">,</w:t>
      </w:r>
      <w:r>
        <w:t xml:space="preserve"> </w:t>
      </w:r>
      <w:r>
        <w:rPr>
          <w:i/>
          <w:iCs/>
        </w:rPr>
        <w:t xml:space="preserve">11</w:t>
      </w:r>
      <w:r>
        <w:t xml:space="preserve">, 53–60.</w:t>
      </w:r>
    </w:p>
    <w:bookmarkEnd w:id="147"/>
    <w:bookmarkStart w:id="149" w:name="ref-Nada2015_hydrogel"/>
    <w:p>
      <w:pPr>
        <w:pStyle w:val="Bibliografia"/>
      </w:pPr>
      <w:r>
        <w:t xml:space="preserve">Nada, W. M., &amp; Blumenstein, O. (2015). Characterization and Impact of Newly Synthesized Superabsorbent Hydrogel Nanocomposite on Water Retention Characteristics of Sandy Soil and Grass Seedling Growth.</w:t>
      </w:r>
      <w:r>
        <w:t xml:space="preserve"> </w:t>
      </w:r>
      <w:r>
        <w:rPr>
          <w:i/>
          <w:iCs/>
        </w:rPr>
        <w:t xml:space="preserve">International Journal of Soil Science</w:t>
      </w:r>
      <w:r>
        <w:t xml:space="preserve">,</w:t>
      </w:r>
      <w:r>
        <w:t xml:space="preserve"> </w:t>
      </w:r>
      <w:r>
        <w:rPr>
          <w:i/>
          <w:iCs/>
        </w:rPr>
        <w:t xml:space="preserve">10</w:t>
      </w:r>
      <w:r>
        <w:t xml:space="preserve">(4), 153–165.</w:t>
      </w:r>
      <w:r>
        <w:t xml:space="preserve"> </w:t>
      </w:r>
      <w:hyperlink r:id="rId148">
        <w:r>
          <w:rPr>
            <w:rStyle w:val="Hyperlink"/>
          </w:rPr>
          <w:t xml:space="preserve">https://doi.org/10.3923/ijss.2015.153.165</w:t>
        </w:r>
      </w:hyperlink>
    </w:p>
    <w:bookmarkEnd w:id="149"/>
    <w:bookmarkStart w:id="151" w:name="ref-Neyshaburi2017_pcaWaterRetention"/>
    <w:p>
      <w:pPr>
        <w:pStyle w:val="Bibliografia"/>
      </w:pPr>
      <w:r>
        <w:t xml:space="preserve">Neyshaburi, M. R., Bayat, H., Rastgou, M., Mohammadi, K., Gregory, A. S., &amp; Nariman-Zadeh, N. (2017). Parametric Estimation of Water Retention Using Mgmdh Method and Principal Component Analysis.</w:t>
      </w:r>
      <w:r>
        <w:t xml:space="preserve"> </w:t>
      </w:r>
      <w:r>
        <w:rPr>
          <w:i/>
          <w:iCs/>
        </w:rPr>
        <w:t xml:space="preserve">Polish Journal of Soil Science</w:t>
      </w:r>
      <w:r>
        <w:t xml:space="preserve">,</w:t>
      </w:r>
      <w:r>
        <w:t xml:space="preserve"> </w:t>
      </w:r>
      <w:r>
        <w:rPr>
          <w:i/>
          <w:iCs/>
        </w:rPr>
        <w:t xml:space="preserve">49</w:t>
      </w:r>
      <w:r>
        <w:t xml:space="preserve">(1), 29.</w:t>
      </w:r>
      <w:r>
        <w:t xml:space="preserve"> </w:t>
      </w:r>
      <w:hyperlink r:id="rId150">
        <w:r>
          <w:rPr>
            <w:rStyle w:val="Hyperlink"/>
          </w:rPr>
          <w:t xml:space="preserve">https://doi.org/10.17951/pjss.2016.49.1.29</w:t>
        </w:r>
      </w:hyperlink>
    </w:p>
    <w:bookmarkEnd w:id="151"/>
    <w:bookmarkStart w:id="152" w:name="ref-oliveira2017_cadmium"/>
    <w:p>
      <w:pPr>
        <w:pStyle w:val="Bibliografia"/>
      </w:pPr>
      <w:r>
        <w:t xml:space="preserve">Oliveira, J. P. V., Pereira, M. P., Duarte, V. P., Corrêa, F. F., Castro, E. M., &amp; Pereira, F. J. (2017). Cadmium tolerance of Typha domingensis related to growth and leaf morphophysiology.</w:t>
      </w:r>
      <w:r>
        <w:t xml:space="preserve"> </w:t>
      </w:r>
      <w:r>
        <w:rPr>
          <w:i/>
          <w:iCs/>
        </w:rPr>
        <w:t xml:space="preserve">Brazilian Journal of Biology</w:t>
      </w:r>
      <w:r>
        <w:t xml:space="preserve">,</w:t>
      </w:r>
      <w:r>
        <w:t xml:space="preserve"> </w:t>
      </w:r>
      <w:r>
        <w:rPr>
          <w:i/>
          <w:iCs/>
        </w:rPr>
        <w:t xml:space="preserve">78</w:t>
      </w:r>
      <w:r>
        <w:t xml:space="preserve">, 509–516.</w:t>
      </w:r>
    </w:p>
    <w:bookmarkEnd w:id="152"/>
    <w:bookmarkStart w:id="154" w:name="ref-Palma2024"/>
    <w:p>
      <w:pPr>
        <w:pStyle w:val="Bibliografia"/>
      </w:pPr>
      <w:r>
        <w:t xml:space="preserve">Palma, D., Lagos, O., Souto, C., Perez, A., Quezada, L., Hirzel, J., Vera, M., Ulloa, J., &amp; Urbano, B. (2024). Evaluation of a Natural Superabsorbent Polymer on Water Retention Capacity in Coarse-Textured Soils.</w:t>
      </w:r>
      <w:r>
        <w:t xml:space="preserve"> </w:t>
      </w:r>
      <w:r>
        <w:rPr>
          <w:i/>
          <w:iCs/>
        </w:rPr>
        <w:t xml:space="preserve">Water</w:t>
      </w:r>
      <w:r>
        <w:t xml:space="preserve">,</w:t>
      </w:r>
      <w:r>
        <w:t xml:space="preserve"> </w:t>
      </w:r>
      <w:r>
        <w:rPr>
          <w:i/>
          <w:iCs/>
        </w:rPr>
        <w:t xml:space="preserve">16</w:t>
      </w:r>
      <w:r>
        <w:t xml:space="preserve">(22), 3186.</w:t>
      </w:r>
      <w:r>
        <w:t xml:space="preserve"> </w:t>
      </w:r>
      <w:hyperlink r:id="rId153">
        <w:r>
          <w:rPr>
            <w:rStyle w:val="Hyperlink"/>
          </w:rPr>
          <w:t xml:space="preserve">https://doi.org/10.3390/w16223186</w:t>
        </w:r>
      </w:hyperlink>
    </w:p>
    <w:bookmarkEnd w:id="154"/>
    <w:bookmarkStart w:id="155" w:name="ref-prambauer2019_biodegradable"/>
    <w:p>
      <w:pPr>
        <w:pStyle w:val="Bibliografia"/>
      </w:pPr>
      <w:r>
        <w:t xml:space="preserve">Prambauer, M., Wendeler, C., Weitzenböck, J., &amp; Burgstaller, C. (2019). Biodegradable geotextiles – overview of materials.</w:t>
      </w:r>
      <w:r>
        <w:t xml:space="preserve"> </w:t>
      </w:r>
      <w:r>
        <w:rPr>
          <w:i/>
          <w:iCs/>
        </w:rPr>
        <w:t xml:space="preserve">Geotextiles and Geomembranes</w:t>
      </w:r>
      <w:r>
        <w:t xml:space="preserve">,</w:t>
      </w:r>
      <w:r>
        <w:t xml:space="preserve"> </w:t>
      </w:r>
      <w:r>
        <w:rPr>
          <w:i/>
          <w:iCs/>
        </w:rPr>
        <w:t xml:space="preserve">47</w:t>
      </w:r>
      <w:r>
        <w:t xml:space="preserve">, 48–59.</w:t>
      </w:r>
    </w:p>
    <w:bookmarkEnd w:id="155"/>
    <w:bookmarkStart w:id="156" w:name="ref-priolo2024_duckweed"/>
    <w:p>
      <w:pPr>
        <w:pStyle w:val="Bibliografia"/>
      </w:pPr>
      <w:r>
        <w:t xml:space="preserve">Priolo, D., Tolisano, C., Brienza, M., &amp; Del Buono, D. (2024). Biostimulant effect of duckweed extract on tomato plants.</w:t>
      </w:r>
      <w:r>
        <w:t xml:space="preserve"> </w:t>
      </w:r>
      <w:r>
        <w:rPr>
          <w:i/>
          <w:iCs/>
        </w:rPr>
        <w:t xml:space="preserve">Agriculture</w:t>
      </w:r>
      <w:r>
        <w:t xml:space="preserve">,</w:t>
      </w:r>
      <w:r>
        <w:t xml:space="preserve"> </w:t>
      </w:r>
      <w:r>
        <w:rPr>
          <w:i/>
          <w:iCs/>
        </w:rPr>
        <w:t xml:space="preserve">14</w:t>
      </w:r>
      <w:r>
        <w:t xml:space="preserve">, 808.</w:t>
      </w:r>
    </w:p>
    <w:bookmarkEnd w:id="156"/>
    <w:bookmarkStart w:id="157" w:name="ref-rezig2023_typha"/>
    <w:p>
      <w:pPr>
        <w:pStyle w:val="Bibliografia"/>
      </w:pPr>
      <w:r>
        <w:t xml:space="preserve">Rezig, S., Jaouadi, M., Khoffi, F., Msahli, S., &amp; Durand, B. (2023). Typha fiber reinforced polyester composites: tensile properties.</w:t>
      </w:r>
      <w:r>
        <w:t xml:space="preserve"> </w:t>
      </w:r>
      <w:r>
        <w:rPr>
          <w:i/>
          <w:iCs/>
        </w:rPr>
        <w:t xml:space="preserve">The Journal of The Textile Institute</w:t>
      </w:r>
      <w:r>
        <w:t xml:space="preserve">,</w:t>
      </w:r>
      <w:r>
        <w:t xml:space="preserve"> </w:t>
      </w:r>
      <w:r>
        <w:rPr>
          <w:i/>
          <w:iCs/>
        </w:rPr>
        <w:t xml:space="preserve">114</w:t>
      </w:r>
      <w:r>
        <w:t xml:space="preserve">, 717–725.</w:t>
      </w:r>
    </w:p>
    <w:bookmarkEnd w:id="157"/>
    <w:bookmarkStart w:id="158" w:name="ref-saleh2019_heavymetals"/>
    <w:p>
      <w:pPr>
        <w:pStyle w:val="Bibliografia"/>
      </w:pPr>
      <w:r>
        <w:t xml:space="preserve">Saleh Muneera, A., AL-Sodany Yassin, M., Abdel Khalik Kadry, N., &amp; Eid Ebrahim, M. (2019). Heavy metals accumulation and translocation by Typha elephantina and Typha domingensis.</w:t>
      </w:r>
      <w:r>
        <w:t xml:space="preserve"> </w:t>
      </w:r>
      <w:r>
        <w:rPr>
          <w:i/>
          <w:iCs/>
        </w:rPr>
        <w:t xml:space="preserve">World Journal of Advanced Research and Reviews</w:t>
      </w:r>
      <w:r>
        <w:t xml:space="preserve">,</w:t>
      </w:r>
      <w:r>
        <w:t xml:space="preserve"> </w:t>
      </w:r>
      <w:r>
        <w:rPr>
          <w:i/>
          <w:iCs/>
        </w:rPr>
        <w:t xml:space="preserve">4</w:t>
      </w:r>
      <w:r>
        <w:t xml:space="preserve">, 44–53.</w:t>
      </w:r>
    </w:p>
    <w:bookmarkEnd w:id="158"/>
    <w:bookmarkStart w:id="159" w:name="ref-santos2024_geogrid"/>
    <w:p>
      <w:pPr>
        <w:pStyle w:val="Bibliografia"/>
      </w:pPr>
      <w:r>
        <w:t xml:space="preserve">Santos, L. D. V., Holanda, F. S. R., Pedrotti, A., Lino, J. B., Santos Fontes, C. dos, Melo, J. C. R. de, Marino, R. H., &amp; Boge, G. M. (2024). Geogrid-type geotextile made from Typha domingensis fibers for erosion control.</w:t>
      </w:r>
      <w:r>
        <w:t xml:space="preserve"> </w:t>
      </w:r>
      <w:r>
        <w:rPr>
          <w:i/>
          <w:iCs/>
        </w:rPr>
        <w:t xml:space="preserve">Invention Disclosure</w:t>
      </w:r>
      <w:r>
        <w:t xml:space="preserve">,</w:t>
      </w:r>
      <w:r>
        <w:t xml:space="preserve"> </w:t>
      </w:r>
      <w:r>
        <w:rPr>
          <w:i/>
          <w:iCs/>
        </w:rPr>
        <w:t xml:space="preserve">4</w:t>
      </w:r>
      <w:r>
        <w:t xml:space="preserve">, 100025.</w:t>
      </w:r>
    </w:p>
    <w:bookmarkEnd w:id="159"/>
    <w:bookmarkStart w:id="160" w:name="ref-sayeb2010_watersorption"/>
    <w:p>
      <w:pPr>
        <w:pStyle w:val="Bibliografia"/>
      </w:pPr>
      <w:r>
        <w:t xml:space="preserve">Sayeb, S., Marzoug, I., Hassen, M. B., Sakli, F., &amp; Rodesli, S. (2010). Water sorption properties for esparto grass fibre.</w:t>
      </w:r>
      <w:r>
        <w:t xml:space="preserve"> </w:t>
      </w:r>
      <w:r>
        <w:rPr>
          <w:i/>
          <w:iCs/>
        </w:rPr>
        <w:t xml:space="preserve">Journal of the Textile Institute</w:t>
      </w:r>
      <w:r>
        <w:t xml:space="preserve">,</w:t>
      </w:r>
      <w:r>
        <w:t xml:space="preserve"> </w:t>
      </w:r>
      <w:r>
        <w:rPr>
          <w:i/>
          <w:iCs/>
        </w:rPr>
        <w:t xml:space="preserve">101</w:t>
      </w:r>
      <w:r>
        <w:t xml:space="preserve">, 19–27.</w:t>
      </w:r>
    </w:p>
    <w:bookmarkEnd w:id="160"/>
    <w:bookmarkStart w:id="161" w:name="ref-schandry2020_allelopathicplants"/>
    <w:p>
      <w:pPr>
        <w:pStyle w:val="Bibliografia"/>
      </w:pPr>
      <w:r>
        <w:t xml:space="preserve">Schandry, N., &amp; Becker, C. (2020). Allelopathic plants: models for interkingdom interactions.</w:t>
      </w:r>
      <w:r>
        <w:t xml:space="preserve"> </w:t>
      </w:r>
      <w:r>
        <w:rPr>
          <w:i/>
          <w:iCs/>
        </w:rPr>
        <w:t xml:space="preserve">Trends in Plant Science</w:t>
      </w:r>
      <w:r>
        <w:t xml:space="preserve">,</w:t>
      </w:r>
      <w:r>
        <w:t xml:space="preserve"> </w:t>
      </w:r>
      <w:r>
        <w:rPr>
          <w:i/>
          <w:iCs/>
        </w:rPr>
        <w:t xml:space="preserve">25</w:t>
      </w:r>
      <w:r>
        <w:t xml:space="preserve">, 176–185.</w:t>
      </w:r>
    </w:p>
    <w:bookmarkEnd w:id="161"/>
    <w:bookmarkStart w:id="163" w:name="ref-Shukla2004_pcaBiomass"/>
    <w:p>
      <w:pPr>
        <w:pStyle w:val="Bibliografia"/>
      </w:pPr>
      <w:r>
        <w:t xml:space="preserve">Shukla, M. K., Lal, R., &amp; Ebinger, M. (2004). Principal Component Analysis for Predicting Corn Biomass and Grain Yields.</w:t>
      </w:r>
      <w:r>
        <w:t xml:space="preserve"> </w:t>
      </w:r>
      <w:r>
        <w:rPr>
          <w:i/>
          <w:iCs/>
        </w:rPr>
        <w:t xml:space="preserve">Soil Science</w:t>
      </w:r>
      <w:r>
        <w:t xml:space="preserve">,</w:t>
      </w:r>
      <w:r>
        <w:t xml:space="preserve"> </w:t>
      </w:r>
      <w:r>
        <w:rPr>
          <w:i/>
          <w:iCs/>
        </w:rPr>
        <w:t xml:space="preserve">169</w:t>
      </w:r>
      <w:r>
        <w:t xml:space="preserve">(3), 215–224.</w:t>
      </w:r>
      <w:r>
        <w:t xml:space="preserve"> </w:t>
      </w:r>
      <w:hyperlink r:id="rId162">
        <w:r>
          <w:rPr>
            <w:rStyle w:val="Hyperlink"/>
          </w:rPr>
          <w:t xml:space="preserve">https://doi.org/10.1097/01.ss.0000122521.03492.eb</w:t>
        </w:r>
      </w:hyperlink>
    </w:p>
    <w:bookmarkEnd w:id="163"/>
    <w:bookmarkStart w:id="164" w:name="ref-silva2017_reaproveitamento"/>
    <w:p>
      <w:pPr>
        <w:pStyle w:val="Bibliografia"/>
      </w:pPr>
      <w:r>
        <w:t xml:space="preserve">Silva, A. A., Silva Brito, L. P. da, Cavalcante, M. Z. B., Neto, J. A. P., &amp; Cavalcante, Í. H. L. (2017). Reaproveitamento do resíduo de carnaúba no substrato para melancia.</w:t>
      </w:r>
      <w:r>
        <w:t xml:space="preserve"> </w:t>
      </w:r>
      <w:r>
        <w:rPr>
          <w:i/>
          <w:iCs/>
        </w:rPr>
        <w:t xml:space="preserve">Cultura Agronômica</w:t>
      </w:r>
      <w:r>
        <w:t xml:space="preserve">,</w:t>
      </w:r>
      <w:r>
        <w:t xml:space="preserve"> </w:t>
      </w:r>
      <w:r>
        <w:rPr>
          <w:i/>
          <w:iCs/>
        </w:rPr>
        <w:t xml:space="preserve">26</w:t>
      </w:r>
      <w:r>
        <w:t xml:space="preserve">, 10–20.</w:t>
      </w:r>
    </w:p>
    <w:bookmarkEnd w:id="164"/>
    <w:bookmarkStart w:id="165" w:name="ref-sujatha2022_cellulose"/>
    <w:p>
      <w:pPr>
        <w:pStyle w:val="Bibliografia"/>
      </w:pPr>
      <w:r>
        <w:t xml:space="preserve">Sujatha, E. R., &amp; Kannan, G. (2022). Potential of cellulose for soil stabilization.</w:t>
      </w:r>
      <w:r>
        <w:t xml:space="preserve"> </w:t>
      </w:r>
      <w:r>
        <w:rPr>
          <w:i/>
          <w:iCs/>
        </w:rPr>
        <w:t xml:space="preserve">Sustainability</w:t>
      </w:r>
      <w:r>
        <w:t xml:space="preserve">,</w:t>
      </w:r>
      <w:r>
        <w:t xml:space="preserve"> </w:t>
      </w:r>
      <w:r>
        <w:rPr>
          <w:i/>
          <w:iCs/>
        </w:rPr>
        <w:t xml:space="preserve">14</w:t>
      </w:r>
      <w:r>
        <w:t xml:space="preserve">, 16277.</w:t>
      </w:r>
    </w:p>
    <w:bookmarkEnd w:id="165"/>
    <w:bookmarkStart w:id="166" w:name="ref-taiz2017_physiology"/>
    <w:p>
      <w:pPr>
        <w:pStyle w:val="Bibliografia"/>
      </w:pPr>
      <w:r>
        <w:t xml:space="preserve">Taiz, L., Zeiger, E., M�ller, I. M., &amp; Murphy, A. (2017).</w:t>
      </w:r>
      <w:r>
        <w:t xml:space="preserve"> </w:t>
      </w:r>
      <w:r>
        <w:rPr>
          <w:i/>
          <w:iCs/>
        </w:rPr>
        <w:t xml:space="preserve">Plant Physiology and Development</w:t>
      </w:r>
      <w:r>
        <w:t xml:space="preserve"> </w:t>
      </w:r>
      <w:r>
        <w:t xml:space="preserve">(6th ed.). Sinauer Associates.</w:t>
      </w:r>
    </w:p>
    <w:bookmarkEnd w:id="166"/>
    <w:bookmarkStart w:id="167" w:name="ref-thombare2018_guargum"/>
    <w:p>
      <w:pPr>
        <w:pStyle w:val="Bibliografia"/>
      </w:pPr>
      <w:r>
        <w:t xml:space="preserve">Thombare, N., Mishra, S., Siddiqui, M. Z., Jha, U., Singh, D., &amp; Mahajan, G. R. (2018). Guar gum-based superabsorbent hydrogels for agriculture.</w:t>
      </w:r>
      <w:r>
        <w:t xml:space="preserve"> </w:t>
      </w:r>
      <w:r>
        <w:rPr>
          <w:i/>
          <w:iCs/>
        </w:rPr>
        <w:t xml:space="preserve">Carbohydrate Polymers</w:t>
      </w:r>
      <w:r>
        <w:t xml:space="preserve">,</w:t>
      </w:r>
      <w:r>
        <w:t xml:space="preserve"> </w:t>
      </w:r>
      <w:r>
        <w:rPr>
          <w:i/>
          <w:iCs/>
        </w:rPr>
        <w:t xml:space="preserve">185</w:t>
      </w:r>
      <w:r>
        <w:t xml:space="preserve">, 169–178.</w:t>
      </w:r>
    </w:p>
    <w:bookmarkEnd w:id="167"/>
    <w:bookmarkStart w:id="168" w:name="ref-ulrich2017_substratos"/>
    <w:p>
      <w:pPr>
        <w:pStyle w:val="Bibliografia"/>
      </w:pPr>
      <w:r>
        <w:t xml:space="preserve">Ulrich, A., Garcia, J. F., Delgado, G., Fagundes, B. F., &amp; Bicca, A. M. O. (2017). Avaliação de substratos para produção de mudas de rúcula.</w:t>
      </w:r>
      <w:r>
        <w:t xml:space="preserve"> </w:t>
      </w:r>
      <w:r>
        <w:rPr>
          <w:i/>
          <w:iCs/>
        </w:rPr>
        <w:t xml:space="preserve">Anais do Salão Internacional de Ensino, Pesquisa e Extensão</w:t>
      </w:r>
      <w:r>
        <w:t xml:space="preserve">,</w:t>
      </w:r>
      <w:r>
        <w:t xml:space="preserve"> </w:t>
      </w:r>
      <w:r>
        <w:rPr>
          <w:i/>
          <w:iCs/>
        </w:rPr>
        <w:t xml:space="preserve">9</w:t>
      </w:r>
      <w:r>
        <w:t xml:space="preserve">.</w:t>
      </w:r>
    </w:p>
    <w:bookmarkEnd w:id="168"/>
    <w:bookmarkStart w:id="169" w:name="ref-vieira2011_qualidade"/>
    <w:p>
      <w:pPr>
        <w:pStyle w:val="Bibliografia"/>
      </w:pPr>
      <w:r>
        <w:t xml:space="preserve">Vieira, R. D., Carvalho, L. F. de, Panobianco, M., &amp; França Neto, J. de B. (2011).</w:t>
      </w:r>
      <w:r>
        <w:t xml:space="preserve"> </w:t>
      </w:r>
      <w:r>
        <w:rPr>
          <w:i/>
          <w:iCs/>
        </w:rPr>
        <w:t xml:space="preserve">Qualidade fisiológica de sementes de rúcula em função da idade e do método de colheita</w:t>
      </w:r>
      <w:r>
        <w:t xml:space="preserve">.</w:t>
      </w:r>
    </w:p>
    <w:bookmarkEnd w:id="169"/>
    <w:bookmarkStart w:id="170" w:name="ref-zhang2021_semiinterpenetrating"/>
    <w:p>
      <w:pPr>
        <w:pStyle w:val="Bibliografia"/>
      </w:pPr>
      <w:r>
        <w:t xml:space="preserve">Zhang, W., Deng, H., Xia, L., Shen, L., Zhang, C., Lu, Q., &amp; Sun, S. (2021). Semi-interpenetrating polymer networks from castor oil-based waterborne polyurethanes and carboxymethyl chitosan.</w:t>
      </w:r>
      <w:r>
        <w:t xml:space="preserve"> </w:t>
      </w:r>
      <w:r>
        <w:rPr>
          <w:i/>
          <w:iCs/>
        </w:rPr>
        <w:t xml:space="preserve">Carbohydrate Polymers</w:t>
      </w:r>
      <w:r>
        <w:t xml:space="preserve">,</w:t>
      </w:r>
      <w:r>
        <w:t xml:space="preserve"> </w:t>
      </w:r>
      <w:r>
        <w:rPr>
          <w:i/>
          <w:iCs/>
        </w:rPr>
        <w:t xml:space="preserve">256</w:t>
      </w:r>
      <w:r>
        <w:t xml:space="preserve">, 117507.</w:t>
      </w:r>
    </w:p>
    <w:bookmarkEnd w:id="170"/>
    <w:bookmarkEnd w:id="171"/>
    <w:bookmarkEnd w:id="172"/>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79" Target="media/rId79.png" /><Relationship Type="http://schemas.openxmlformats.org/officeDocument/2006/relationships/image" Id="rId51" Target="media/rId51.png" /><Relationship Type="http://schemas.openxmlformats.org/officeDocument/2006/relationships/hyperlink" Id="rId86" Target="https://doi.org/10.1002/wics.101" TargetMode="External" /><Relationship Type="http://schemas.openxmlformats.org/officeDocument/2006/relationships/hyperlink" Id="rId112" Target="https://doi.org/10.1007/s11355-018-0359-9" TargetMode="External" /><Relationship Type="http://schemas.openxmlformats.org/officeDocument/2006/relationships/hyperlink" Id="rId121" Target="https://doi.org/10.1016/j.scienta.2015.09.021" TargetMode="External" /><Relationship Type="http://schemas.openxmlformats.org/officeDocument/2006/relationships/hyperlink" Id="rId107" Target="https://doi.org/10.1080/00103624.2022.2096233" TargetMode="External" /><Relationship Type="http://schemas.openxmlformats.org/officeDocument/2006/relationships/hyperlink" Id="rId162" Target="https://doi.org/10.1097/01.ss.0000122521.03492.eb" TargetMode="External" /><Relationship Type="http://schemas.openxmlformats.org/officeDocument/2006/relationships/hyperlink" Id="rId124" Target="https://doi.org/10.1098/rsta.2015.0202" TargetMode="External" /><Relationship Type="http://schemas.openxmlformats.org/officeDocument/2006/relationships/hyperlink" Id="rId128" Target="https://doi.org/10.1111/wej.12309" TargetMode="External" /><Relationship Type="http://schemas.openxmlformats.org/officeDocument/2006/relationships/hyperlink" Id="rId144" Target="https://doi.org/10.1155/2015/243947" TargetMode="External" /><Relationship Type="http://schemas.openxmlformats.org/officeDocument/2006/relationships/hyperlink" Id="rId150" Target="https://doi.org/10.17951/pjss.2016.49.1.29" TargetMode="External" /><Relationship Type="http://schemas.openxmlformats.org/officeDocument/2006/relationships/hyperlink" Id="rId134" Target="https://doi.org/10.3390/polym10030271" TargetMode="External" /><Relationship Type="http://schemas.openxmlformats.org/officeDocument/2006/relationships/hyperlink" Id="rId142" Target="https://doi.org/10.3390/polym16152155" TargetMode="External" /><Relationship Type="http://schemas.openxmlformats.org/officeDocument/2006/relationships/hyperlink" Id="rId153" Target="https://doi.org/10.3390/w16223186" TargetMode="External" /><Relationship Type="http://schemas.openxmlformats.org/officeDocument/2006/relationships/hyperlink" Id="rId148" Target="https://doi.org/10.3923/ijss.2015.153.165"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02/wics.101" TargetMode="External" /><Relationship Type="http://schemas.openxmlformats.org/officeDocument/2006/relationships/hyperlink" Id="rId112" Target="https://doi.org/10.1007/s11355-018-0359-9" TargetMode="External" /><Relationship Type="http://schemas.openxmlformats.org/officeDocument/2006/relationships/hyperlink" Id="rId121" Target="https://doi.org/10.1016/j.scienta.2015.09.021" TargetMode="External" /><Relationship Type="http://schemas.openxmlformats.org/officeDocument/2006/relationships/hyperlink" Id="rId107" Target="https://doi.org/10.1080/00103624.2022.2096233" TargetMode="External" /><Relationship Type="http://schemas.openxmlformats.org/officeDocument/2006/relationships/hyperlink" Id="rId162" Target="https://doi.org/10.1097/01.ss.0000122521.03492.eb" TargetMode="External" /><Relationship Type="http://schemas.openxmlformats.org/officeDocument/2006/relationships/hyperlink" Id="rId124" Target="https://doi.org/10.1098/rsta.2015.0202" TargetMode="External" /><Relationship Type="http://schemas.openxmlformats.org/officeDocument/2006/relationships/hyperlink" Id="rId128" Target="https://doi.org/10.1111/wej.12309" TargetMode="External" /><Relationship Type="http://schemas.openxmlformats.org/officeDocument/2006/relationships/hyperlink" Id="rId144" Target="https://doi.org/10.1155/2015/243947" TargetMode="External" /><Relationship Type="http://schemas.openxmlformats.org/officeDocument/2006/relationships/hyperlink" Id="rId150" Target="https://doi.org/10.17951/pjss.2016.49.1.29" TargetMode="External" /><Relationship Type="http://schemas.openxmlformats.org/officeDocument/2006/relationships/hyperlink" Id="rId134" Target="https://doi.org/10.3390/polym10030271" TargetMode="External" /><Relationship Type="http://schemas.openxmlformats.org/officeDocument/2006/relationships/hyperlink" Id="rId142" Target="https://doi.org/10.3390/polym16152155" TargetMode="External" /><Relationship Type="http://schemas.openxmlformats.org/officeDocument/2006/relationships/hyperlink" Id="rId153" Target="https://doi.org/10.3390/w16223186" TargetMode="External" /><Relationship Type="http://schemas.openxmlformats.org/officeDocument/2006/relationships/hyperlink" Id="rId148" Target="https://doi.org/10.3923/ijss.2015.153.165"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11</Words>
  <Characters>60</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Núcleo hidrorretentor orgânico como substrato para bioengenharia dos solos</dc:title>
  <dc:creator/>
  <dc:language>pt-BR</dc:language>
  <cp:keywords/>
  <dcterms:created xsi:type="dcterms:W3CDTF">2026-01-08T22:33:48Z</dcterms:created>
  <dcterms:modified xsi:type="dcterms:W3CDTF">2026-01-08T22:33:48Z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C:\Users\vidal\OneDrive\Documentos\13 - CLONEGIT\artigo-posdoc\2 - HIDRORRETENTOR\3 - MANUSCRITO\1-MARKDOWN\1-MANUSCRITOS\referencias.bib</vt:lpwstr>
  </property>
  <property fmtid="{D5CDD505-2E9C-101B-9397-08002B2CF9AE}" pid="3" name="csl">
    <vt:lpwstr>C:\Users\vidal\OneDrive\Documentos\13 - CLONEGIT\artigo-posdoc\2 - HIDRORRETENTOR\3 - MANUSCRITO\1-MARKDOWN\1-MANUSCRITOS\apa.csl</vt:lpwstr>
  </property>
  <property fmtid="{D5CDD505-2E9C-101B-9397-08002B2CF9AE}" pid="4" name="link-citations">
    <vt:lpwstr>True</vt:lpwstr>
  </property>
  <property fmtid="{D5CDD505-2E9C-101B-9397-08002B2CF9AE}" pid="5" name="reference-section-title">
    <vt:lpwstr>Referências</vt:lpwstr>
  </property>
  <property fmtid="{D5CDD505-2E9C-101B-9397-08002B2CF9AE}" pid="6" name="subtitle">
    <vt:lpwstr>Organic water-retaining core as a substrate for soil bioengineering</vt:lpwstr>
  </property>
  <property fmtid="{D5CDD505-2E9C-101B-9397-08002B2CF9AE}" pid="7" name="toc">
    <vt:lpwstr>False</vt:lpwstr>
  </property>
  <property fmtid="{D5CDD505-2E9C-101B-9397-08002B2CF9AE}" pid="8" name="toc-depth">
    <vt:lpwstr>2</vt:lpwstr>
  </property>
</Properties>
</file>