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Arquitetura Química, Confiabilidade e Serviços Ecossistêmicos de Geotêxteis Lignocelulósicos em Solos Tropicais</w:t>
      </w:r>
    </w:p>
    <w:p>
      <w:pPr>
        <w:pStyle w:val="Author"/>
      </w:pPr>
      <w:r>
        <w:t xml:space="preserve">Diego Vidal</w:t>
      </w:r>
    </w:p>
    <w:bookmarkStart w:id="17" w:name="resumo"/>
    <w:p>
      <w:pPr>
        <w:pStyle w:val="Ttulo2"/>
      </w:pPr>
      <w:r>
        <w:t xml:space="preserve">Resumo</w:t>
      </w:r>
    </w:p>
    <w:p>
      <w:pPr>
        <w:pStyle w:val="FirstParagraph"/>
      </w:pPr>
      <w:r>
        <w:t xml:space="preserve">A degradação de solos tropicais impulsionada por precipitação intensa e Oxissolos intemperizados demanda soluções de bioengenharia sustentável. Geotêxteis sintéticos, embora mecanicamente resilientes, geram passivos ambientais críticos incluindo fragmentação microplástica e disrupção de simbioses edáicas. Esta revisão sintetiza experiências experimentais sobre geotêxteis lignocelulósicos em bioengenharia tropical, estabelecendo a arquitetura química como fundamento para modelagem de confiabilidade. A síntese experimental estabelece a relação lignina-celulose (L/C) como a variável cinética determinante em diversas matrizes naturais, onde a recalcitrância diferencial é evidenciada pelo espectro que varia de fibras ricas em celulose de</w:t>
      </w:r>
      <w:r>
        <w:t xml:space="preserve"> </w:t>
      </w:r>
      <w:r>
        <w:rPr>
          <w:i/>
          <w:iCs/>
        </w:rPr>
        <w:t xml:space="preserve">Typha domingensis</w:t>
      </w:r>
      <w:r>
        <w:t xml:space="preserve"> </w:t>
      </w:r>
      <w:r>
        <w:t xml:space="preserve">(L/C = 0,46; meia-vida de 59 dias) a fibras densas em lignina de</w:t>
      </w:r>
      <w:r>
        <w:t xml:space="preserve"> </w:t>
      </w:r>
      <w:r>
        <w:rPr>
          <w:i/>
          <w:iCs/>
        </w:rPr>
        <w:t xml:space="preserve">Syagrus coronata</w:t>
      </w:r>
      <w:r>
        <w:t xml:space="preserve"> </w:t>
      </w:r>
      <w:r>
        <w:t xml:space="preserve">(L/C = 0,67). A modificação alcalina (6% NaOH) promove uma reorganização estrutural crítica, caracterizada por um aumento de 59,7% na orientação fibrilar e 31,1% na densidade, estendendo a Vida Útil Funcional (VUF) de 60 para 142 dias por meio da otimização da rugosidade e da retenção capilar de água. Revestimentos poliméricos revelam relações de compromisso não lineares, onde a aplicação de camada única atinge 120 dias, enquanto Paradoxalmente, a aplicação de dupla camada precipita a falha por delaminação em 90 dias. Geocompostos integrando núcleos hidrorretentores à base de</w:t>
      </w:r>
      <w:r>
        <w:t xml:space="preserve"> </w:t>
      </w:r>
      <w:r>
        <w:rPr>
          <w:i/>
          <w:iCs/>
        </w:rPr>
        <w:t xml:space="preserve">Typha</w:t>
      </w:r>
      <w:r>
        <w:t xml:space="preserve"> </w:t>
      </w:r>
      <w:r>
        <w:t xml:space="preserve">demonstram capacidade de retenção hídrica de 82,4% (72 horas, estabilidade térmica 285°C) e promovem taxa de germinação de 98% em</w:t>
      </w:r>
      <w:r>
        <w:t xml:space="preserve"> </w:t>
      </w:r>
      <w:r>
        <w:rPr>
          <w:i/>
          <w:iCs/>
        </w:rPr>
        <w:t xml:space="preserve">Eruca sativa</w:t>
      </w:r>
      <w:r>
        <w:t xml:space="preserve">, com aumento de na biomassa das plântulas, evidenciando efeitos bioestimulantes seletivos. A incerteza intrínseca é mitigada pela modelagem estocástica de Weibull (</w:t>
      </w:r>
      <m:oMath>
        <m:sSub>
          <m:e>
            <m:r>
              <m:t>P</m:t>
            </m:r>
          </m:e>
          <m:sub>
            <m:r>
              <m:t>10</m:t>
            </m:r>
          </m:sub>
        </m:sSub>
      </m:oMath>
      <w:r>
        <w:t xml:space="preserve">), que valida uma extensão de vida útil de 126% (parâmetro de forma</w:t>
      </w:r>
      <w:r>
        <w:t xml:space="preserve"> </w:t>
      </w:r>
      <m:oMath>
        <m:r>
          <m:t>β</m:t>
        </m:r>
      </m:oMath>
      <w:r>
        <w:t xml:space="preserve"> </w:t>
      </w:r>
      <w:r>
        <w:t xml:space="preserve">2,3</w:t>
      </w:r>
      <w:r>
        <w:t xml:space="preserve"> </w:t>
      </w:r>
      <m:oMath>
        <m:r>
          <m:rPr>
            <m:sty m:val="p"/>
          </m:rPr>
          <m:t>→</m:t>
        </m:r>
      </m:oMath>
      <w:r>
        <w:t xml:space="preserve"> </w:t>
      </w:r>
      <w:r>
        <w:t xml:space="preserve">2,8) sob decomposição. A sincronização entre a persistência do material e a coesão radicular resulta em sequestro de carbono (1,2 Mg·ha⁻¹). As fibras naturais apresentam viabilidade econômica satisfatória, com relação custo-benefício de US$ 3,33·dia⁻¹ para camada única versus US$ 9,44·dia⁻¹ para falha precoce da dupla camada, posicionando estes materiais como sistemas auditáveis de restauração ecológica que integram estabilização mecânica, modulação hídrica e bioestimulação vegetal.</w:t>
      </w:r>
    </w:p>
    <w:p>
      <w:pPr>
        <w:pStyle w:val="Corpodetexto"/>
      </w:pPr>
      <w:r>
        <w:rPr>
          <w:b/>
          <w:bCs/>
        </w:rPr>
        <w:t xml:space="preserve">Palavras-chave</w:t>
      </w:r>
      <w:r>
        <w:t xml:space="preserve">: Geotêxteis biodegradáveis; bioengenharia de solos; distribuição de Weibull; Vida Útil Funcional; morfometria quantitativa.</w:t>
      </w:r>
    </w:p>
    <w:bookmarkEnd w:id="17"/>
    <w:bookmarkStart w:id="19" w:name="introdução"/>
    <w:p>
      <w:pPr>
        <w:pStyle w:val="Ttulo2"/>
      </w:pPr>
      <w:r>
        <w:t xml:space="preserve">1. Introdução</w:t>
      </w:r>
    </w:p>
    <w:bookmarkStart w:id="18" w:name="Xe14f3eb3a5820aafaff1853eb69c8331627ae76"/>
    <w:p>
      <w:pPr>
        <w:pStyle w:val="Ttulo3"/>
      </w:pPr>
      <w:r>
        <w:t xml:space="preserve">1.1. A necessidade imperativa da bioengenharia sustentável do solo</w:t>
      </w:r>
    </w:p>
    <w:p>
      <w:pPr>
        <w:pStyle w:val="FirstParagraph"/>
      </w:pPr>
      <w:r>
        <w:t xml:space="preserve">A degradação do solo em regiões tropicais opera através de mecanismos distintos daqueles observados em contextos temperados, caracterizados por regimes de precipitação intensa conjugados com Oxissolos intemperizados (capacidade de troca catiônica 2–8 mmol_c·kg⁻¹) e mineralização acelerada de matéria orgânica sob temperaturas elevadas</w:t>
      </w:r>
      <w:r>
        <w:t xml:space="preserve"> </w:t>
      </w:r>
      <w:r>
        <w:t xml:space="preserve">(Brady &amp; Weil, 2009; I. M. Cardoso &amp; Kuyper, 2006)</w:t>
      </w:r>
      <w:r>
        <w:t xml:space="preserve"> </w:t>
      </w:r>
      <w:r>
        <w:t xml:space="preserve">resultam em taxas de perda excedendo 15 Mg·ha⁻¹·ano⁻¹ nos biomas Caatinga e Cerrado</w:t>
      </w:r>
      <w:r>
        <w:t xml:space="preserve"> </w:t>
      </w:r>
      <w:r>
        <w:t xml:space="preserve">(Lammel et al., 2015)</w:t>
      </w:r>
      <w:r>
        <w:t xml:space="preserve">, representando depleção biogeoquímica que compromete tanto matriz física quanto reservatórios nutricionais essenciais à produtividade agrícola (Figura 1). A predominância de minerais argilosos 1:1 na pedogênese tropical, conjugada com baixo carbono orgânico do solo (&lt;1,5% nos horizontes superficiais), produz solos de mínima coesão estrutural (C’≤ 5 kPa em superfícies não cimentadas), tornando-os vulneráveis à erosão por impacto de gotas de chuva (impacto cinético 0,5–5 J·cm⁻²) e transporte laminar durante tempestades convectivas</w:t>
      </w:r>
      <w:r>
        <w:t xml:space="preserve"> </w:t>
      </w:r>
      <w:r>
        <w:t xml:space="preserve">(Bispo et al., 2017; Brady &amp; Weil, 2009)</w:t>
      </w:r>
      <w:r>
        <w:t xml:space="preserve">.</w:t>
      </w:r>
    </w:p>
    <w:p>
      <w:pPr>
        <w:pStyle w:val="Corpodetexto"/>
      </w:pPr>
      <w:r>
        <w:t xml:space="preserve">A resistência ao cisalhamento do solo não coeso, quantificada pelo ângulo de atrito interno efetivo (φ’ = 28–38° em Oxissolos, dependente de granulometria e densidade)</w:t>
      </w:r>
      <w:r>
        <w:t xml:space="preserve"> </w:t>
      </w:r>
      <w:r>
        <w:t xml:space="preserve">(Veylon et al., 2015; Wu et al., 1979)</w:t>
      </w:r>
      <w:r>
        <w:t xml:space="preserve">, torna-se particularmente deficiente em Neossolos Quartzarênicos de margens fluviais tropicais, caracterizados por baixa coesão, alta porosidade e resistência mecânica limitada</w:t>
      </w:r>
      <w:r>
        <w:t xml:space="preserve"> </w:t>
      </w:r>
      <w:r>
        <w:t xml:space="preserve">(Mahannopkul &amp; Jotisankasa, 2019)</w:t>
      </w:r>
      <w:r>
        <w:t xml:space="preserve">. Em taludes com inclinação &gt; 25°, o fator de segurança (FS = tan φ’ / tan β) frequentemente permanece &lt; 1,0, configurando instabilidade incipiente acentuada durante períodos chuvosos quando o aumento da pressão de poros reduz a tensão normal efetiva (σ’_n = σ_n − u_w), precipitando falhas por escorregamento</w:t>
      </w:r>
      <w:r>
        <w:t xml:space="preserve"> </w:t>
      </w:r>
      <w:r>
        <w:t xml:space="preserve">(Islam &amp; Shahin, 2013; Mahannopkul &amp; Jotisankasa, 2019)</w:t>
      </w:r>
      <w:r>
        <w:t xml:space="preserve">. A capacidade de carga admissível de fundações superficiais fica limitada a 50–100 kPa, restringindo opções de estruturas de reforço convencionais</w:t>
      </w:r>
      <w:r>
        <w:t xml:space="preserve"> </w:t>
      </w:r>
      <w:r>
        <w:t xml:space="preserve">(Islam &amp; Shahin, 2013)</w:t>
      </w:r>
      <w:r>
        <w:t xml:space="preserve">.</w:t>
      </w:r>
    </w:p>
    <w:p>
      <w:pPr>
        <w:pStyle w:val="Corpodetexto"/>
      </w:pPr>
      <w:r>
        <w:t xml:space="preserve">Essa vulnerabilidade geotécnica amplifica-se exponencialmente sob ação antrópica, onde a perda irreversível da camada superficial do solo, concentradora de fósforo e nitrogênio biodisponíveis</w:t>
      </w:r>
      <w:r>
        <w:t xml:space="preserve"> </w:t>
      </w:r>
      <w:r>
        <w:t xml:space="preserve">(Borrelli et al., 2017)</w:t>
      </w:r>
      <w:r>
        <w:t xml:space="preserve">, conjuga-se com eutrofização induzida pela sedimentação em ecossistemas fluviais a jusante, comprometendo a qualidade hídrica regional. No nordeste brasileiro, a produção de sedimentos em encostas degradadas atinge 45 Mg·ha⁻¹ durante a estação chuvosa (90 dias), excedendo a taxa pedogênica em duas ordens de magnitude</w:t>
      </w:r>
      <w:r>
        <w:t xml:space="preserve"> </w:t>
      </w:r>
      <w:r>
        <w:t xml:space="preserve">(Niu &amp; Nan, 2017; Vannoppen et al., 2017)</w:t>
      </w:r>
      <w:r>
        <w:t xml:space="preserve">—dissipação de séculos de ciclos biogeoquímicos sem perspectivas de restauração ecológica em escalas temporais humanas. A Figura 1 sintetiza essa cascata de processos interconectados, desde impulsionadores climáticos até consequências socioambientais.</w:t>
      </w:r>
    </w:p>
    <w:p>
      <w:pPr>
        <w:pStyle w:val="Corpodetexto"/>
      </w:pPr>
      <w:r>
        <w:rPr>
          <w:b/>
          <w:bCs/>
        </w:rPr>
        <w:t xml:space="preserve">Figura 1.</w:t>
      </w:r>
      <w:r>
        <w:t xml:space="preserve"> </w:t>
      </w:r>
      <w:r>
        <w:t xml:space="preserve">Diagrama sobre fatores impulsionadores climáticos e geológicos, estados de vulnerabilidade intrínseca do solo, gatilhos por tempestades convectivas, e consequências ambientais e geotécnicas da degradação do solo em biomas tropicais brasileiros.</w:t>
      </w:r>
    </w:p>
    <w:p>
      <w:pPr>
        <w:pStyle w:val="SourceCode"/>
      </w:pPr>
      <w:r>
        <w:rPr>
          <w:rStyle w:val="VerbatimChar"/>
        </w:rPr>
        <w:t xml:space="preserve">{{&lt; include ../3-IMAGENS/figura_1.mmd &gt;}}</w:t>
      </w:r>
    </w:p>
    <w:p>
      <w:pPr>
        <w:pStyle w:val="FirstParagraph"/>
      </w:pPr>
      <w:r>
        <w:t xml:space="preserve">Diante dessa realidade, respostas tecnológicas tradicionais recorreram desproporcionalmente a geossintéticos derivados do petróleo. Polipropileno (resistência à tração 50–150 kN·m⁻¹), polietileno (40–100 kN·m⁻¹) e tereftalato de polietileno (80–200 kN·m⁻¹) caracterizam-se por resistência superior a 50 kN·m⁻¹, estabilização UV mediante benzotriazol e condutividade hidráulica &gt;10⁻² cm·s⁻¹, consolidando dependência de matérias-primas não renováveis</w:t>
      </w:r>
      <w:r>
        <w:t xml:space="preserve"> </w:t>
      </w:r>
      <w:r>
        <w:t xml:space="preserve">(Holanda et al., 2021)</w:t>
      </w:r>
      <w:r>
        <w:t xml:space="preserve">. A durabilidade desses materiais revela-se através de três modos de falha. Ruptura por tensão excessiva ocorre com deformação plástica seguida de endurecimento por orientação molecular</w:t>
      </w:r>
      <w:r>
        <w:t xml:space="preserve"> </w:t>
      </w:r>
      <w:r>
        <w:t xml:space="preserve">(Carneiro et al., 2018)</w:t>
      </w:r>
      <w:r>
        <w:t xml:space="preserve">. Creep manifesta-se como deformação progressiva sob carga sustentada, resultando em perda gradual de funcionalidade ao longo de décadas</w:t>
      </w:r>
      <w:r>
        <w:t xml:space="preserve"> </w:t>
      </w:r>
      <w:r>
        <w:t xml:space="preserve">(Barreira-Pinto et al., 2023)</w:t>
      </w:r>
      <w:r>
        <w:t xml:space="preserve">. Degradação por radiação UV sob irradiância tropical (5–8 kWh·m⁻²·dia⁻¹, espectros 280–350 nm) reduz progressivamente a resistência à tração</w:t>
      </w:r>
      <w:r>
        <w:t xml:space="preserve"> </w:t>
      </w:r>
      <w:r>
        <w:t xml:space="preserve">(Carneiro &amp; Lopes, 2017; Franco et al., 2022)</w:t>
      </w:r>
      <w:r>
        <w:t xml:space="preserve">, conforme especificações ISO 10319 e ASTM D4595.</w:t>
      </w:r>
    </w:p>
    <w:p>
      <w:pPr>
        <w:pStyle w:val="Corpodetexto"/>
      </w:pPr>
      <w:r>
        <w:t xml:space="preserve">Esse paradigma revela contradição estrutural, visto que materiais concebidos para persistência multidecadal em aterros sanitários e sub-bases viárias (vida útil projetada 30–50 anos</w:t>
      </w:r>
      <w:r>
        <w:t xml:space="preserve"> </w:t>
      </w:r>
      <w:r>
        <w:t xml:space="preserve">(Barreira-Pinto et al., 2023)</w:t>
      </w:r>
      <w:r>
        <w:t xml:space="preserve">) impõem passivos ambientais de longo prazo quando implantados em sistemas agroecológicos. Geotêxteis de polipropileno exibem recalcitrância extrema sob condições anaeróbicas, sofrendo fragmentação mecânica gradual em microplásticos (&lt;5 mm) cuja infiltração nas teias tróficas edáficas compromete simbioses micorrízicas arbusculares</w:t>
      </w:r>
      <w:r>
        <w:t xml:space="preserve"> </w:t>
      </w:r>
      <w:r>
        <w:t xml:space="preserve">(Ibáñez &amp; Mccarthy-Neumann, 2014; Konvalinková et al., 2015)</w:t>
      </w:r>
      <w:r>
        <w:t xml:space="preserve">. Estudos quantificaram densidades médias de 349±137 partículas·kg⁻¹ em solos cobertos após exposição UV, com emissões anuais estimadas em milhares de toneladas para ambientes marinhos</w:t>
      </w:r>
      <w:r>
        <w:t xml:space="preserve"> </w:t>
      </w:r>
      <w:r>
        <w:t xml:space="preserve">(Bai et al., 2022)</w:t>
      </w:r>
      <w:r>
        <w:t xml:space="preserve">, evidenciando transferência trófica em ecossistemas terrestres e aquáticos adjacentes. Essa limitação dos materiais sintéticos torna a persistência temporária controlada um atributo funcional estratégico para aplicações em bioengenharia. Geotêxteis sintéticos resistem à biodegradação por décadas, enquanto fibras lignocelulósicas de juta e coco demonstram degradação progressiva em 6–18 meses, compatível com estabelecimento de sistemas radiculares permanentes</w:t>
      </w:r>
      <w:r>
        <w:t xml:space="preserve"> </w:t>
      </w:r>
      <w:r>
        <w:t xml:space="preserve">(Chakravarthy et al., 2021; Midha et al., 2017)</w:t>
      </w:r>
      <w:r>
        <w:t xml:space="preserve">.</w:t>
      </w:r>
    </w:p>
    <w:p>
      <w:pPr>
        <w:pStyle w:val="Corpodetexto"/>
      </w:pPr>
      <w:r>
        <w:t xml:space="preserve">Estudos de durabilidade revelam que geotêxteis de fibras naturais tratadas com emulsões betuminosas mantêm 82–85% da resistência inicial após 90 dias de exposição edáfica</w:t>
      </w:r>
      <w:r>
        <w:t xml:space="preserve"> </w:t>
      </w:r>
      <w:r>
        <w:t xml:space="preserve">(Thakur et al., 2019)</w:t>
      </w:r>
      <w:r>
        <w:t xml:space="preserve">, evitando acúmulo de resíduos persistentes em agricultura sustentável.Geotêxteis de fibra natural apresentam inversão de paradigma ao explorar degradação programada como atributo funcional</w:t>
      </w:r>
      <w:r>
        <w:t xml:space="preserve"> </w:t>
      </w:r>
      <w:r>
        <w:t xml:space="preserve">(</w:t>
      </w:r>
      <w:r>
        <w:t xml:space="preserve">Pil &amp; et al.</w:t>
      </w:r>
      <w:r>
        <w:t xml:space="preserve">, 2022)</w:t>
      </w:r>
      <w:r>
        <w:t xml:space="preserve">. A composição lignocelulósica (celulose 40–60%, hemicelulose 20–35%, lignina 10–30%</w:t>
      </w:r>
      <w:r>
        <w:t xml:space="preserve"> </w:t>
      </w:r>
      <w:r>
        <w:t xml:space="preserve">(</w:t>
      </w:r>
      <w:r>
        <w:t xml:space="preserve">Rodríguez &amp; et al.</w:t>
      </w:r>
      <w:r>
        <w:t xml:space="preserve">, 2023)</w:t>
      </w:r>
      <w:r>
        <w:t xml:space="preserve">) confere prazo de funcionalidade intrínseco governado por consórcios microbianos e estresse oxidativo ambiental, sincronizando-se com cinética de estabelecimento vegetativo herbáceo onde redes radiculares atingem equivalência mecânica ao reforço sintético em 90–180 dias</w:t>
      </w:r>
      <w:r>
        <w:t xml:space="preserve"> </w:t>
      </w:r>
      <w:r>
        <w:t xml:space="preserve">(</w:t>
      </w:r>
      <w:r>
        <w:t xml:space="preserve">Almeida &amp; et al.</w:t>
      </w:r>
      <w:r>
        <w:t xml:space="preserve">, 2023;</w:t>
      </w:r>
      <w:r>
        <w:t xml:space="preserve"> </w:t>
      </w:r>
      <w:r>
        <w:t xml:space="preserve">Singh &amp; et al.</w:t>
      </w:r>
      <w:r>
        <w:t xml:space="preserve">, 2024)</w:t>
      </w:r>
      <w:r>
        <w:t xml:space="preserve">.</w:t>
      </w:r>
    </w:p>
    <w:p>
      <w:pPr>
        <w:pStyle w:val="Corpodetexto"/>
      </w:pPr>
      <w:r>
        <w:t xml:space="preserve">Ensaios longitudinais em</w:t>
      </w:r>
      <w:r>
        <w:t xml:space="preserve"> </w:t>
      </w:r>
      <w:r>
        <w:rPr>
          <w:i/>
          <w:iCs/>
        </w:rPr>
        <w:t xml:space="preserve">Typha domingensis</w:t>
      </w:r>
      <w:r>
        <w:t xml:space="preserve"> </w:t>
      </w:r>
      <w:r>
        <w:t xml:space="preserve">(taboa) e</w:t>
      </w:r>
      <w:r>
        <w:t xml:space="preserve"> </w:t>
      </w:r>
      <w:r>
        <w:rPr>
          <w:i/>
          <w:iCs/>
        </w:rPr>
        <w:t xml:space="preserve">Syagrus coronata</w:t>
      </w:r>
      <w:r>
        <w:t xml:space="preserve"> </w:t>
      </w:r>
      <w:r>
        <w:t xml:space="preserve">(palmeira-ouricuri) na bacia do Baixo Rio São Francisco demonstram geotêxteis sustentando cargas de tração de 3–9 N·mm⁻² durante janela de serviço funcional de 120–180 dias sob condições semiáridas (precipitação 350 mm·estação⁻¹, temperatura média 27°C)</w:t>
      </w:r>
      <w:r>
        <w:t xml:space="preserve"> </w:t>
      </w:r>
      <w:r>
        <w:t xml:space="preserve">(Fontes et al., 2021; Holanda et al., 2021)</w:t>
      </w:r>
      <w:r>
        <w:t xml:space="preserve">. O valor estratégico de</w:t>
      </w:r>
      <w:r>
        <w:t xml:space="preserve"> </w:t>
      </w:r>
      <w:r>
        <w:rPr>
          <w:i/>
          <w:iCs/>
        </w:rPr>
        <w:t xml:space="preserve">Typha</w:t>
      </w:r>
      <w:r>
        <w:t xml:space="preserve"> </w:t>
      </w:r>
      <w:r>
        <w:t xml:space="preserve">reside na estrutura do colmo rica em celulose (48% celulose, 18% hemicelulose, 22% lignina), enquanto fibras foliares de</w:t>
      </w:r>
      <w:r>
        <w:t xml:space="preserve"> </w:t>
      </w:r>
      <w:r>
        <w:rPr>
          <w:i/>
          <w:iCs/>
        </w:rPr>
        <w:t xml:space="preserve">Syagrus</w:t>
      </w:r>
      <w:r>
        <w:t xml:space="preserve"> </w:t>
      </w:r>
      <w:r>
        <w:t xml:space="preserve">exibem elevado teor de lignina (32%), conferindo recalcitrância à hidrólise enzimática durante degradação inicial.</w:t>
      </w:r>
    </w:p>
    <w:p>
      <w:pPr>
        <w:pStyle w:val="Corpodetexto"/>
      </w:pPr>
      <w:r>
        <w:t xml:space="preserve">Geotêxteis derivados de fibras naturais fabricados em campo incorrem em custos de US$2,50·m⁻², comparados com US$8–12·m⁻² para produtos sintéticos equivalentes, diferencial amplificado pela eliminação de externalidades de descarte</w:t>
      </w:r>
      <w:r>
        <w:t xml:space="preserve"> </w:t>
      </w:r>
      <w:r>
        <w:t xml:space="preserve">(</w:t>
      </w:r>
      <w:r>
        <w:t xml:space="preserve">Amadou &amp; et al.</w:t>
      </w:r>
      <w:r>
        <w:t xml:space="preserve">, 2022)</w:t>
      </w:r>
      <w:r>
        <w:t xml:space="preserve">. A colheita de biomassa renovável em zonas úmidas oferece co-benefícios no manejo de espécies invasoras, visto que monoculturas de</w:t>
      </w:r>
      <w:r>
        <w:t xml:space="preserve"> </w:t>
      </w:r>
      <w:r>
        <w:rPr>
          <w:i/>
          <w:iCs/>
        </w:rPr>
        <w:t xml:space="preserve">Typha</w:t>
      </w:r>
      <w:r>
        <w:t xml:space="preserve"> </w:t>
      </w:r>
      <w:r>
        <w:t xml:space="preserve">apresentam produtividade anual de 20–30 Mg·ha⁻¹ de matéria seca em sistemas lênticos eutróficos</w:t>
      </w:r>
      <w:r>
        <w:t xml:space="preserve"> </w:t>
      </w:r>
      <w:r>
        <w:t xml:space="preserve">(</w:t>
      </w:r>
      <w:r>
        <w:t xml:space="preserve">Lorenzo &amp; et al.</w:t>
      </w:r>
      <w:r>
        <w:t xml:space="preserve">, 2024)</w:t>
      </w:r>
      <w:r>
        <w:t xml:space="preserve">.</w:t>
      </w:r>
    </w:p>
    <w:p>
      <w:pPr>
        <w:pStyle w:val="Corpodetexto"/>
      </w:pPr>
      <w:r>
        <w:t xml:space="preserve">Esta revisão sintetiza experiências experimentais sobre geotêxteis lignocelulósicos em bioengenharia tropical, estabelecendo a arquitetura química como fundamento para modelagem de confiabilidade. Postula-se que a razão lignina-celulose (L/C) atua como variável preditiva central da cinética de degradação e da Vida Útil Funcional (VUF), enquanto estratégias de engenharia de superfície mediante tratamentos alcalinos e revestimentos poliméricos podem modular temporalmente o desempenho mecânico, permitindo sincronização com desenvolvimento vegetal e posterior estabelecimento radicular vegetal.</w:t>
      </w:r>
    </w:p>
    <w:bookmarkEnd w:id="18"/>
    <w:bookmarkEnd w:id="19"/>
    <w:bookmarkStart w:id="22" w:name="X6102eda65b9da6e21403fdfc1c9ad84a95ff31e"/>
    <w:p>
      <w:pPr>
        <w:pStyle w:val="Ttulo2"/>
      </w:pPr>
      <w:r>
        <w:t xml:space="preserve">2. Fundamentos da Arquitetura Química de Polímeros Naturais e Vida Útil Funcional (VUF)</w:t>
      </w:r>
    </w:p>
    <w:bookmarkStart w:id="20" w:name="X0281896dbb8d3c3bbba2248097a5951f436d08e"/>
    <w:p>
      <w:pPr>
        <w:pStyle w:val="Ttulo3"/>
      </w:pPr>
      <w:r>
        <w:t xml:space="preserve">2.1. Arquitetura Lignocelulósica e Perfil Químico</w:t>
      </w:r>
    </w:p>
    <w:p>
      <w:pPr>
        <w:pStyle w:val="FirstParagraph"/>
      </w:pPr>
      <w:r>
        <w:t xml:space="preserve">O desempenho mecânico e a trajetória de biodegradação de geotêxteis de fibra natural estão intrinsecamente ligados à arquitetura molecular dos bipolímeros que os constituem. A celulose, principal componente estrutural, forma um arcabouço semicristalino no qual as cadeias de β-1,4-glucana com grau de polimerização entre 7.000 e 15.000 alinham-se através de ligações de hidrogênio inter e intramoleculares, formando domínios cristalinos com índice de cristalinidade de 40 a 70%. Essas microfibrilas, imersas em uma matriz amorfa de hemicelulose composta por heteropolissacarídeos ramificados como xilana, arabinana e galactana, e lignina (olígomeros fenilpropanoides reticulados), constituem uma estrutura composta análoga ao concreto reforçado com fibras.</w:t>
      </w:r>
    </w:p>
    <w:p>
      <w:pPr>
        <w:pStyle w:val="Corpodetexto"/>
      </w:pPr>
      <w:r>
        <w:t xml:space="preserve">A lignina, especificamente, funciona como uma barreira hidrofóbica tridimensional que impede estericamente a penetração de celulases e hemicelulases. Sua arquitetura aromática, composta por monômeros de guaiacil (G), siringil (S) e p-hidroxifenil (H), exibe resistência à despolimerização microbiana ordens de magnitude maiores que as da celulose. Análise quantitativa por pirólise-GC/MS revela que fibras de</w:t>
      </w:r>
      <w:r>
        <w:t xml:space="preserve"> </w:t>
      </w:r>
      <w:r>
        <w:rPr>
          <w:i/>
          <w:iCs/>
        </w:rPr>
        <w:t xml:space="preserve">Syagrus coronata</w:t>
      </w:r>
      <w:r>
        <w:t xml:space="preserve"> </w:t>
      </w:r>
      <w:r>
        <w:t xml:space="preserve">contém 32% de lignina e razão S/G de 1,8, comparadas com 22% em</w:t>
      </w:r>
      <w:r>
        <w:t xml:space="preserve"> </w:t>
      </w:r>
      <w:r>
        <w:rPr>
          <w:i/>
          <w:iCs/>
        </w:rPr>
        <w:t xml:space="preserve">Typha domingensis</w:t>
      </w:r>
      <w:r>
        <w:t xml:space="preserve">, correlacionando-se com uma redução de 40% na perda de massa após 90 dias de enterramento em solo (18% vs. 30% para</w:t>
      </w:r>
      <w:r>
        <w:t xml:space="preserve"> </w:t>
      </w:r>
      <w:r>
        <w:rPr>
          <w:i/>
          <w:iCs/>
        </w:rPr>
        <w:t xml:space="preserve">Typha</w:t>
      </w:r>
      <w:r>
        <w:t xml:space="preserve">).</w:t>
      </w:r>
    </w:p>
    <w:p>
      <w:pPr>
        <w:pStyle w:val="Corpodetexto"/>
      </w:pPr>
      <w:r>
        <w:t xml:space="preserve">A relação lignina-celulose (L/C) emerge como o principal índice preditivo de recalcitrância. Observações empíricas em nosso conjunto de dados demonstram uma relação exponencial inversa entre L/C e a constante de taxa de degradação (</w:t>
      </w:r>
      <m:oMath>
        <m:r>
          <m:t>k</m:t>
        </m:r>
      </m:oMath>
      <w:r>
        <w:t xml:space="preserve">, dia⁻¹), dada por:</w:t>
      </w:r>
    </w:p>
    <w:p>
      <w:pPr>
        <w:pStyle w:val="Corpodetexto"/>
      </w:pPr>
      <m:oMathPara>
        <m:oMathParaPr>
          <m:jc m:val="center"/>
        </m:oMathParaPr>
        <m:oMath>
          <m:r>
            <m:t>k</m:t>
          </m:r>
          <m:r>
            <m:rPr>
              <m:sty m:val="p"/>
            </m:rPr>
            <m:t>=</m:t>
          </m:r>
          <m:r>
            <m:t>0</m:t>
          </m:r>
          <m:r>
            <m:rPr>
              <m:sty m:val="p"/>
            </m:rPr>
            <m:t>,</m:t>
          </m:r>
          <m:r>
            <m:t>032</m:t>
          </m:r>
          <m:r>
            <m:rPr>
              <m:sty m:val="p"/>
            </m:rPr>
            <m:t>⋅</m:t>
          </m:r>
          <m:sSup>
            <m:e>
              <m:r>
                <m:t>e</m:t>
              </m:r>
            </m:e>
            <m:sup>
              <m:r>
                <m:rPr>
                  <m:sty m:val="p"/>
                </m:rPr>
                <m:t>−</m:t>
              </m:r>
              <m:r>
                <m:t>2</m:t>
              </m:r>
              <m:r>
                <m:rPr>
                  <m:sty m:val="p"/>
                </m:rPr>
                <m:t>,</m:t>
              </m:r>
              <m:r>
                <m:t>1</m:t>
              </m:r>
              <m:r>
                <m:rPr>
                  <m:sty m:val="p"/>
                </m:rPr>
                <m:t>⋅</m:t>
              </m:r>
              <m:r>
                <m:rPr>
                  <m:sty m:val="p"/>
                </m:rPr>
                <m:t>(</m:t>
              </m:r>
              <m:r>
                <m:t>L</m:t>
              </m:r>
              <m:r>
                <m:rPr>
                  <m:sty m:val="p"/>
                </m:rPr>
                <m:t>/</m:t>
              </m:r>
              <m:r>
                <m:t>C</m:t>
              </m:r>
              <m:r>
                <m:rPr>
                  <m:sty m:val="p"/>
                </m:rPr>
                <m:t>)</m:t>
              </m:r>
            </m:sup>
          </m:sSup>
        </m:oMath>
      </m:oMathPara>
    </w:p>
    <w:p>
      <w:pPr>
        <w:pStyle w:val="FirstParagraph"/>
      </w:pPr>
      <w:r>
        <w:t xml:space="preserve">Para</w:t>
      </w:r>
      <w:r>
        <w:t xml:space="preserve"> </w:t>
      </w:r>
      <w:r>
        <w:rPr>
          <w:i/>
          <w:iCs/>
        </w:rPr>
        <w:t xml:space="preserve">Typha</w:t>
      </w:r>
      <w:r>
        <w:t xml:space="preserve"> </w:t>
      </w:r>
      <w:r>
        <w:t xml:space="preserve">(L/C = 0,46), isso resulta em</w:t>
      </w:r>
      <w:r>
        <w:t xml:space="preserve"> </w:t>
      </w:r>
      <m:oMath>
        <m:r>
          <m:t>k</m:t>
        </m:r>
      </m:oMath>
      <w:r>
        <w:t xml:space="preserve"> </w:t>
      </w:r>
      <w:r>
        <w:t xml:space="preserve">= 0,0118 dia⁻¹, o que implica uma meia-vida de 59 dias sob condições mesofílicas (25°C, 60% de umidade relativa). Em contraste,</w:t>
      </w:r>
      <w:r>
        <w:t xml:space="preserve"> </w:t>
      </w:r>
      <w:r>
        <w:rPr>
          <w:i/>
          <w:iCs/>
        </w:rPr>
        <w:t xml:space="preserve">Syagrus</w:t>
      </w:r>
      <w:r>
        <w:t xml:space="preserve"> </w:t>
      </w:r>
      <w:r>
        <w:t xml:space="preserve">(L/C = 0,67) apresenta</w:t>
      </w:r>
      <w:r>
        <w:t xml:space="preserve"> </w:t>
      </w:r>
      <m:oMath>
        <m:r>
          <m:t>k</m:t>
        </m:r>
      </m:oMath>
      <w:r>
        <w:t xml:space="preserve"> </w:t>
      </w:r>
      <w:r>
        <w:t xml:space="preserve">= 0,0082 dia⁻¹ (meia-vida = 85 dias), consistente com observações de campo onde geotêxteis de</w:t>
      </w:r>
      <w:r>
        <w:t xml:space="preserve"> </w:t>
      </w:r>
      <w:r>
        <w:rPr>
          <w:i/>
          <w:iCs/>
        </w:rPr>
        <w:t xml:space="preserve">Syagrus</w:t>
      </w:r>
      <w:r>
        <w:t xml:space="preserve"> </w:t>
      </w:r>
      <w:r>
        <w:t xml:space="preserve">não tratados mantiveram integridade estrutural após 120 dias de exposição, enquanto os geotêxteis de</w:t>
      </w:r>
      <w:r>
        <w:t xml:space="preserve"> </w:t>
      </w:r>
      <w:r>
        <w:rPr>
          <w:i/>
          <w:iCs/>
        </w:rPr>
        <w:t xml:space="preserve">Typha</w:t>
      </w:r>
      <w:r>
        <w:t xml:space="preserve"> </w:t>
      </w:r>
      <w:r>
        <w:t xml:space="preserve">falharam em 60 dias.</w:t>
      </w:r>
    </w:p>
    <w:p>
      <w:pPr>
        <w:pStyle w:val="Corpodetexto"/>
      </w:pPr>
      <w:r>
        <w:rPr>
          <w:b/>
          <w:bCs/>
        </w:rPr>
        <w:t xml:space="preserve">Tabela Suplementar 1.</w:t>
      </w:r>
      <w:r>
        <w:t xml:space="preserve"> </w:t>
      </w:r>
      <w:r>
        <w:t xml:space="preserve">Perfil químico-mecânico comparativo de fibras lignocelulósicas tropicais para geotêxteis biodegradáveis.</w:t>
      </w:r>
    </w:p>
    <w:tbl>
      <w:tblPr>
        <w:tblStyle w:val="Table"/>
        <w:tblW w:type="pct" w:w="5000"/>
        <w:tblLayout w:type="fixed"/>
        <w:tblLook w:firstRow="1" w:lastRow="0" w:firstColumn="0" w:lastColumn="0" w:noHBand="0" w:noVBand="0" w:val="0020"/>
      </w:tblPr>
      <w:tblGrid>
        <w:gridCol w:w="609"/>
        <w:gridCol w:w="880"/>
        <w:gridCol w:w="880"/>
        <w:gridCol w:w="338"/>
        <w:gridCol w:w="1489"/>
        <w:gridCol w:w="1083"/>
        <w:gridCol w:w="744"/>
        <w:gridCol w:w="744"/>
        <w:gridCol w:w="1150"/>
      </w:tblGrid>
      <w:tr>
        <w:trPr>
          <w:tblHeader w:val="on"/>
        </w:trPr>
        <w:tc>
          <w:tcPr/>
          <w:p>
            <w:pPr>
              <w:pStyle w:val="Compact"/>
            </w:pPr>
            <w:r>
              <w:t xml:space="preserve">Espécie</w:t>
            </w:r>
          </w:p>
        </w:tc>
        <w:tc>
          <w:tcPr/>
          <w:p>
            <w:pPr>
              <w:pStyle w:val="Compact"/>
            </w:pPr>
            <w:r>
              <w:t xml:space="preserve">Celulose (%)</w:t>
            </w:r>
          </w:p>
        </w:tc>
        <w:tc>
          <w:tcPr/>
          <w:p>
            <w:pPr>
              <w:pStyle w:val="Compact"/>
            </w:pPr>
            <w:r>
              <w:t xml:space="preserve">Lignina (%)</w:t>
            </w:r>
          </w:p>
        </w:tc>
        <w:tc>
          <w:tcPr/>
          <w:p>
            <w:pPr>
              <w:pStyle w:val="Compact"/>
            </w:pPr>
            <w:r>
              <w:t xml:space="preserve">L/C</w:t>
            </w:r>
          </w:p>
        </w:tc>
        <w:tc>
          <w:tcPr/>
          <w:p>
            <w:pPr>
              <w:pStyle w:val="Compact"/>
            </w:pPr>
            <w:r>
              <w:t xml:space="preserve">Tração inicial (N/mm)</w:t>
            </w:r>
          </w:p>
        </w:tc>
        <w:tc>
          <w:tcPr/>
          <w:p>
            <w:pPr>
              <w:pStyle w:val="Compact"/>
            </w:pPr>
            <w:r>
              <w:t xml:space="preserve">Deformação (%)</w:t>
            </w:r>
          </w:p>
        </w:tc>
        <w:tc>
          <w:tcPr/>
          <w:p>
            <w:pPr>
              <w:pStyle w:val="Compact"/>
            </w:pPr>
            <w:r>
              <w:t xml:space="preserve">k (dia⁻¹)</w:t>
            </w:r>
          </w:p>
        </w:tc>
        <w:tc>
          <w:tcPr/>
          <w:p>
            <w:pPr>
              <w:pStyle w:val="Compact"/>
            </w:pPr>
            <w:r>
              <w:t xml:space="preserve">t½ (dias)</w:t>
            </w:r>
          </w:p>
        </w:tc>
        <w:tc>
          <w:tcPr/>
          <w:p>
            <w:pPr>
              <w:pStyle w:val="Compact"/>
            </w:pPr>
            <w:r>
              <w:t xml:space="preserve">VUF P₁₀ (dias)†</w:t>
            </w:r>
          </w:p>
        </w:tc>
      </w:tr>
      <w:tr>
        <w:tc>
          <w:tcPr/>
          <w:p>
            <w:pPr>
              <w:pStyle w:val="Compact"/>
            </w:pPr>
            <w:r>
              <w:rPr>
                <w:b/>
                <w:bCs/>
              </w:rPr>
              <w:t xml:space="preserve">Typha domingensis</w:t>
            </w:r>
          </w:p>
        </w:tc>
        <w:tc>
          <w:tcPr/>
          <w:p>
            <w:pPr>
              <w:pStyle w:val="Compact"/>
            </w:pPr>
            <w:r>
              <w:t xml:space="preserve">48</w:t>
            </w:r>
          </w:p>
        </w:tc>
        <w:tc>
          <w:tcPr/>
          <w:p>
            <w:pPr>
              <w:pStyle w:val="Compact"/>
            </w:pPr>
            <w:r>
              <w:t xml:space="preserve">22</w:t>
            </w:r>
          </w:p>
        </w:tc>
        <w:tc>
          <w:tcPr/>
          <w:p>
            <w:pPr>
              <w:pStyle w:val="Compact"/>
            </w:pPr>
            <w:r>
              <w:t xml:space="preserve">0.46</w:t>
            </w:r>
          </w:p>
        </w:tc>
        <w:tc>
          <w:tcPr/>
          <w:p>
            <w:pPr>
              <w:pStyle w:val="Compact"/>
            </w:pPr>
            <w:r>
              <w:t xml:space="preserve">107.6 ± 25.3</w:t>
            </w:r>
          </w:p>
        </w:tc>
        <w:tc>
          <w:tcPr/>
          <w:p>
            <w:pPr>
              <w:pStyle w:val="Compact"/>
            </w:pPr>
            <w:r>
              <w:t xml:space="preserve">2.9 ± 2.1</w:t>
            </w:r>
          </w:p>
        </w:tc>
        <w:tc>
          <w:tcPr/>
          <w:p>
            <w:pPr>
              <w:pStyle w:val="Compact"/>
            </w:pPr>
            <w:r>
              <w:t xml:space="preserve">0.0118</w:t>
            </w:r>
          </w:p>
        </w:tc>
        <w:tc>
          <w:tcPr/>
          <w:p>
            <w:pPr>
              <w:pStyle w:val="Compact"/>
            </w:pPr>
            <w:r>
              <w:t xml:space="preserve">59</w:t>
            </w:r>
          </w:p>
        </w:tc>
        <w:tc>
          <w:tcPr/>
          <w:p>
            <w:pPr>
              <w:pStyle w:val="Compact"/>
            </w:pPr>
            <w:r>
              <w:t xml:space="preserve">42</w:t>
            </w:r>
          </w:p>
        </w:tc>
      </w:tr>
      <w:tr>
        <w:tc>
          <w:tcPr/>
          <w:p>
            <w:pPr>
              <w:pStyle w:val="Compact"/>
            </w:pPr>
            <w:r>
              <w:rPr>
                <w:b/>
                <w:bCs/>
              </w:rPr>
              <w:t xml:space="preserve">Juncus sp.</w:t>
            </w:r>
          </w:p>
        </w:tc>
        <w:tc>
          <w:tcPr/>
          <w:p>
            <w:pPr>
              <w:pStyle w:val="Compact"/>
            </w:pPr>
            <w:r>
              <w:t xml:space="preserve">n.d.</w:t>
            </w:r>
          </w:p>
        </w:tc>
        <w:tc>
          <w:tcPr/>
          <w:p>
            <w:pPr>
              <w:pStyle w:val="Compact"/>
            </w:pPr>
            <w:r>
              <w:t xml:space="preserve">n.d.</w:t>
            </w:r>
          </w:p>
        </w:tc>
        <w:tc>
          <w:tcPr/>
          <w:p>
            <w:pPr>
              <w:pStyle w:val="Compact"/>
            </w:pPr>
            <w:r>
              <w:t xml:space="preserve">n.d.</w:t>
            </w:r>
          </w:p>
        </w:tc>
        <w:tc>
          <w:tcPr/>
          <w:p>
            <w:pPr>
              <w:pStyle w:val="Compact"/>
            </w:pPr>
            <w:r>
              <w:t xml:space="preserve">72.6 ± 16.9</w:t>
            </w:r>
          </w:p>
        </w:tc>
        <w:tc>
          <w:tcPr/>
          <w:p>
            <w:pPr>
              <w:pStyle w:val="Compact"/>
            </w:pPr>
            <w:r>
              <w:t xml:space="preserve">n.d.</w:t>
            </w:r>
          </w:p>
        </w:tc>
        <w:tc>
          <w:tcPr/>
          <w:p>
            <w:pPr>
              <w:pStyle w:val="Compact"/>
            </w:pPr>
            <w:r>
              <w:t xml:space="preserve">&gt;0.015*</w:t>
            </w:r>
          </w:p>
        </w:tc>
        <w:tc>
          <w:tcPr/>
          <w:p>
            <w:pPr>
              <w:pStyle w:val="Compact"/>
            </w:pPr>
            <w:r>
              <w:t xml:space="preserve">&lt;46*</w:t>
            </w:r>
          </w:p>
        </w:tc>
        <w:tc>
          <w:tcPr/>
          <w:p>
            <w:pPr>
              <w:pStyle w:val="Compact"/>
            </w:pPr>
            <w:r>
              <w:t xml:space="preserve">&lt;30*</w:t>
            </w:r>
          </w:p>
        </w:tc>
      </w:tr>
      <w:tr>
        <w:tc>
          <w:tcPr/>
          <w:p>
            <w:pPr>
              <w:pStyle w:val="Compact"/>
            </w:pPr>
            <w:r>
              <w:rPr>
                <w:b/>
                <w:bCs/>
              </w:rPr>
              <w:t xml:space="preserve">Syagrus coronata</w:t>
            </w:r>
          </w:p>
        </w:tc>
        <w:tc>
          <w:tcPr/>
          <w:p>
            <w:pPr>
              <w:pStyle w:val="Compact"/>
            </w:pPr>
            <w:r>
              <w:t xml:space="preserve">40‡</w:t>
            </w:r>
          </w:p>
        </w:tc>
        <w:tc>
          <w:tcPr/>
          <w:p>
            <w:pPr>
              <w:pStyle w:val="Compact"/>
            </w:pPr>
            <w:r>
              <w:t xml:space="preserve">32</w:t>
            </w:r>
          </w:p>
        </w:tc>
        <w:tc>
          <w:tcPr/>
          <w:p>
            <w:pPr>
              <w:pStyle w:val="Compact"/>
            </w:pPr>
            <w:r>
              <w:t xml:space="preserve">0.80</w:t>
            </w:r>
          </w:p>
        </w:tc>
        <w:tc>
          <w:tcPr/>
          <w:p>
            <w:pPr>
              <w:pStyle w:val="Compact"/>
            </w:pPr>
            <w:r>
              <w:t xml:space="preserve">142.1 ± 31.6</w:t>
            </w:r>
          </w:p>
        </w:tc>
        <w:tc>
          <w:tcPr/>
          <w:p>
            <w:pPr>
              <w:pStyle w:val="Compact"/>
            </w:pPr>
            <w:r>
              <w:t xml:space="preserve">2.9 ± 2.1</w:t>
            </w:r>
          </w:p>
        </w:tc>
        <w:tc>
          <w:tcPr/>
          <w:p>
            <w:pPr>
              <w:pStyle w:val="Compact"/>
            </w:pPr>
            <w:r>
              <w:t xml:space="preserve">0.0082</w:t>
            </w:r>
          </w:p>
        </w:tc>
        <w:tc>
          <w:tcPr/>
          <w:p>
            <w:pPr>
              <w:pStyle w:val="Compact"/>
            </w:pPr>
            <w:r>
              <w:t xml:space="preserve">85</w:t>
            </w:r>
          </w:p>
        </w:tc>
        <w:tc>
          <w:tcPr/>
          <w:p>
            <w:pPr>
              <w:pStyle w:val="Compact"/>
            </w:pPr>
            <w:r>
              <w:t xml:space="preserve">38§</w:t>
            </w:r>
          </w:p>
        </w:tc>
      </w:tr>
    </w:tbl>
    <w:p>
      <w:pPr>
        <w:pStyle w:val="Corpodetexto"/>
      </w:pPr>
      <w:r>
        <w:rPr>
          <w:b/>
          <w:bCs/>
        </w:rPr>
        <w:t xml:space="preserve">Notas:</w:t>
      </w:r>
      <w:r>
        <w:t xml:space="preserve"> </w:t>
      </w:r>
      <w:r>
        <w:t xml:space="preserve">n.d. = não determinado; †VUF baseada em 10º percentil de falha Weibull (P₁₀);</w:t>
      </w:r>
      <w:r>
        <w:t xml:space="preserve"> </w:t>
      </w:r>
      <w:r>
        <w:rPr>
          <w:i/>
          <w:iCs/>
        </w:rPr>
        <w:t xml:space="preserve">Estimado a partir de perda de 97% aos 60 dias; ‡Estimado por diferença (100% - lignina - hemicelulose - extrativos); §Paradoxo observado: t½ teórico de 85 dias contradiz colapso real aos 60 dias, indicando que L/C sozinho é preditor insuficiente. Dados de n=5 repetições por tratamento, CV=22-24%. O valor L/C=0,80 para</w:t>
      </w:r>
      <w:r>
        <w:rPr>
          <w:i/>
          <w:iCs/>
        </w:rPr>
        <w:t xml:space="preserve"> </w:t>
      </w:r>
      <w:r>
        <w:t xml:space="preserve">Syagrus coronata* permanece provisório até confirmação do teor exato de celulose.</w:t>
      </w:r>
    </w:p>
    <w:p>
      <w:pPr>
        <w:pStyle w:val="Corpodetexto"/>
      </w:pPr>
      <w:r>
        <w:t xml:space="preserve">A espectroscopia de infravermelho com transformada de Fourier (FTIR) revela assinaturas moleculares que diferenciam os dois sistemas de fibras</w:t>
      </w:r>
      <w:r>
        <w:t xml:space="preserve"> </w:t>
      </w:r>
      <w:r>
        <w:t xml:space="preserve">(Ray et al., 2002)</w:t>
      </w:r>
      <w:r>
        <w:t xml:space="preserve">.</w:t>
      </w:r>
      <w:r>
        <w:t xml:space="preserve"> </w:t>
      </w:r>
      <w:r>
        <w:rPr>
          <w:i/>
          <w:iCs/>
        </w:rPr>
        <w:t xml:space="preserve">Typha domingensis</w:t>
      </w:r>
      <w:r>
        <w:t xml:space="preserve"> </w:t>
      </w:r>
      <w:r>
        <w:t xml:space="preserve">exibe absorção intensa em 1730 cm⁻¹ (estiramento C=O em grupos acetil de hemicelulose) e 1630 cm⁻¹ (deformação angular O-H de água adsorvida), refletindo seu caráter hidrofílico pronunciado. A banda aromática C=C em 1510 cm⁻¹ (lignina) mostra menor intensidade comparada a</w:t>
      </w:r>
      <w:r>
        <w:t xml:space="preserve"> </w:t>
      </w:r>
      <w:r>
        <w:rPr>
          <w:i/>
          <w:iCs/>
        </w:rPr>
        <w:t xml:space="preserve">Syagrus coronata</w:t>
      </w:r>
      <w:r>
        <w:t xml:space="preserve">, que apresenta pico dominante em 1590 cm⁻¹ (lignina siringil) e intensidade reduzida em 1730 cm⁻¹, indicando menor teor de hemicelulose. Essas diferenças espectrais correlacionam-se diretamente com a recalcitrância diferencial observada em ensaios de biodegradação acelerada.</w:t>
      </w:r>
    </w:p>
    <w:p>
      <w:pPr>
        <w:pStyle w:val="Corpodetexto"/>
      </w:pPr>
      <w:r>
        <w:t xml:space="preserve">Índices de cristalinidade por difração de raios X (DRX), calculados via método de Segal</w:t>
      </w:r>
      <w:r>
        <w:t xml:space="preserve"> </w:t>
      </w:r>
      <w:r>
        <w:t xml:space="preserve">(Segal et al., 1959)</w:t>
      </w:r>
      <w:r>
        <w:t xml:space="preserve">, revelam 52% para</w:t>
      </w:r>
      <w:r>
        <w:t xml:space="preserve"> </w:t>
      </w:r>
      <w:r>
        <w:rPr>
          <w:i/>
          <w:iCs/>
        </w:rPr>
        <w:t xml:space="preserve">Typha</w:t>
      </w:r>
      <w:r>
        <w:t xml:space="preserve"> </w:t>
      </w:r>
      <w:r>
        <w:t xml:space="preserve">versus 46% para</w:t>
      </w:r>
      <w:r>
        <w:t xml:space="preserve"> </w:t>
      </w:r>
      <w:r>
        <w:rPr>
          <w:i/>
          <w:iCs/>
        </w:rPr>
        <w:t xml:space="preserve">Syagrus</w:t>
      </w:r>
      <w:r>
        <w:t xml:space="preserve">, sugerindo que o teor elevado de lignina em</w:t>
      </w:r>
      <w:r>
        <w:t xml:space="preserve"> </w:t>
      </w:r>
      <w:r>
        <w:rPr>
          <w:i/>
          <w:iCs/>
        </w:rPr>
        <w:t xml:space="preserve">Syagrus</w:t>
      </w:r>
      <w:r>
        <w:t xml:space="preserve"> </w:t>
      </w:r>
      <w:r>
        <w:t xml:space="preserve">compensa a cristalinidade reduzida. Esse balanceamento composicional resulta em resistências à tração iniciais equiparáveis, sendo 3,14 N·mm⁻² para</w:t>
      </w:r>
      <w:r>
        <w:t xml:space="preserve"> </w:t>
      </w:r>
      <w:r>
        <w:rPr>
          <w:i/>
          <w:iCs/>
        </w:rPr>
        <w:t xml:space="preserve">Syagrus</w:t>
      </w:r>
      <w:r>
        <w:t xml:space="preserve"> </w:t>
      </w:r>
      <w:r>
        <w:t xml:space="preserve">e 3,57 N·mm⁻² para</w:t>
      </w:r>
      <w:r>
        <w:t xml:space="preserve"> </w:t>
      </w:r>
      <w:r>
        <w:rPr>
          <w:i/>
          <w:iCs/>
        </w:rPr>
        <w:t xml:space="preserve">Typha</w:t>
      </w:r>
      <w:r>
        <w:t xml:space="preserve"> </w:t>
      </w:r>
      <w:r>
        <w:t xml:space="preserve">não tratada. Análises termogravimétricas sob atmosfera oxidativa (ar, 10 °C·min⁻¹)</w:t>
      </w:r>
      <w:r>
        <w:t xml:space="preserve"> </w:t>
      </w:r>
      <w:r>
        <w:t xml:space="preserve">(Liu et al., 2008)</w:t>
      </w:r>
      <w:r>
        <w:t xml:space="preserve"> </w:t>
      </w:r>
      <w:r>
        <w:t xml:space="preserve">demonstram que</w:t>
      </w:r>
      <w:r>
        <w:t xml:space="preserve"> </w:t>
      </w:r>
      <w:r>
        <w:rPr>
          <w:i/>
          <w:iCs/>
        </w:rPr>
        <w:t xml:space="preserve">Syagrus</w:t>
      </w:r>
      <w:r>
        <w:t xml:space="preserve"> </w:t>
      </w:r>
      <w:r>
        <w:t xml:space="preserve">retém 28% de massa residual a 600 °C (formação de carvão por condensação de lignina), em comparação com 21% para</w:t>
      </w:r>
      <w:r>
        <w:t xml:space="preserve"> </w:t>
      </w:r>
      <w:r>
        <w:rPr>
          <w:i/>
          <w:iCs/>
        </w:rPr>
        <w:t xml:space="preserve">Typha</w:t>
      </w:r>
      <w:r>
        <w:t xml:space="preserve">. Essa diferença correlaciona-se com persistência observada em campo de esqueletos fibrosos de</w:t>
      </w:r>
      <w:r>
        <w:t xml:space="preserve"> </w:t>
      </w:r>
      <w:r>
        <w:rPr>
          <w:i/>
          <w:iCs/>
        </w:rPr>
        <w:t xml:space="preserve">Syagrus</w:t>
      </w:r>
      <w:r>
        <w:t xml:space="preserve"> </w:t>
      </w:r>
      <w:r>
        <w:t xml:space="preserve">após 180 dias, sugerindo potencial para sequestro de carbono no solo a longo prazo, estimado em 0,8–1,2 Mg C·ha⁻¹ pós-degradação, dependendo da densidade de implantação.</w:t>
      </w:r>
    </w:p>
    <w:bookmarkEnd w:id="20"/>
    <w:bookmarkStart w:id="21" w:name="X337bce321c3e9629cb4f06cb115e8bb983ff45e"/>
    <w:p>
      <w:pPr>
        <w:pStyle w:val="Ttulo3"/>
      </w:pPr>
      <w:r>
        <w:t xml:space="preserve">2.2. Hidrofilicidade, Biodegradação e a Definição de Vida Útil Funcional</w:t>
      </w:r>
    </w:p>
    <w:p>
      <w:pPr>
        <w:pStyle w:val="FirstParagraph"/>
      </w:pPr>
      <w:r>
        <w:t xml:space="preserve">A onipresença de grupos funcionais hidroxila (-OH) nas superfícies de celulose e hemicelulose confere uma hidrofilia acentuada (ângulo de contato com água &lt;30°), facilitando a entrada de umidade e estabelecendo condições microambientais propícias à proliferação microbiana. Microscopia eletrônica de varredura (MEV) de amostras expostas em campo por 60 dias revela densa colonização fûngica (</w:t>
      </w:r>
      <w:r>
        <w:rPr>
          <w:i/>
          <w:iCs/>
        </w:rPr>
        <w:t xml:space="preserve">Aspergillus</w:t>
      </w:r>
      <w:r>
        <w:t xml:space="preserve">,</w:t>
      </w:r>
      <w:r>
        <w:t xml:space="preserve"> </w:t>
      </w:r>
      <w:r>
        <w:rPr>
          <w:i/>
          <w:iCs/>
        </w:rPr>
        <w:t xml:space="preserve">Trichoderma</w:t>
      </w:r>
      <w:r>
        <w:t xml:space="preserve"> </w:t>
      </w:r>
      <w:r>
        <w:t xml:space="preserve">spp.) nas camadas celulares corticais, com penetração hifal superior a 200 µm. Essa invassão microbiana correlaciona-se com atividade extracelular de celulase (endoglucanase, celobiohidrolase) entre 12–18 U·g⁻¹ de fibra seca, conforme quantificado por ensaios enzimáticos. Tais níveis enzimáticos são suficientes para clivar ligações β-1,4-glicosidicas a taxas de perda de massa de 0,5–1,0% por dia, explicando a trajetória de degradação observada em fibras não tratadas.</w:t>
      </w:r>
    </w:p>
    <w:p>
      <w:pPr>
        <w:pStyle w:val="Corpodetexto"/>
      </w:pPr>
      <w:r>
        <w:t xml:space="preserve">Schneider &amp; et al.</w:t>
      </w:r>
      <w:r>
        <w:t xml:space="preserve"> </w:t>
      </w:r>
      <w:r>
        <w:t xml:space="preserve">(2023)</w:t>
      </w:r>
      <w:r>
        <w:t xml:space="preserve"> </w:t>
      </w:r>
      <w:r>
        <w:t xml:space="preserve">observaram que a biodegradação de fibras lignocelulósicas ocorre por dois mecanismos simultâneos, a erosão superficial por ataque enzimático inicial a partir da cutícula e penetração radial por hifas fúngicas que criam túneis microscópicos e zonas de cavitação sob tração.</w:t>
      </w:r>
      <w:r>
        <w:t xml:space="preserve"> </w:t>
      </w:r>
      <w:r>
        <w:t xml:space="preserve">Nilsson &amp; Daniel (1988)</w:t>
      </w:r>
      <w:r>
        <w:t xml:space="preserve"> </w:t>
      </w:r>
      <w:r>
        <w:t xml:space="preserve">documentaram por SEM a predominância inicial de erosão superficial nos primeiros 30 dias, evoluindo para penetração radial que rompe a lâmela média lignificada em estágios subsequentes.</w:t>
      </w:r>
    </w:p>
    <w:p>
      <w:pPr>
        <w:pStyle w:val="Corpodetexto"/>
      </w:pPr>
      <w:r>
        <w:t xml:space="preserve">A análise termogravimétrica (TGA) de fibras lignocelulósicas degradadas revela perfil de decomposição bimodal característico, com ombro inicial entre 220–280°C correspondente à pirólise da hemicelulose, que diminui progressivamente com o tempo de exposição ambiental</w:t>
      </w:r>
      <w:r>
        <w:t xml:space="preserve"> </w:t>
      </w:r>
      <w:r>
        <w:t xml:space="preserve">(C. R. Cardoso &amp; Ataíde, 2023)</w:t>
      </w:r>
      <w:r>
        <w:t xml:space="preserve">. O pico principal de celulose (300–360°C) desloca-se para temperaturas mais baixas durante a biodegradação, evidenciando despolimerização progressiva, enquanto a fração de lignina (&gt;400°C) permanece relativamente invariante, confirmando seu papel como resíduo recalcitrante que persiste pós-degradação e contribui para o acúmulo de matéria orgânica no solo</w:t>
      </w:r>
      <w:r>
        <w:t xml:space="preserve"> </w:t>
      </w:r>
      <w:r>
        <w:t xml:space="preserve">(</w:t>
      </w:r>
      <w:r>
        <w:t xml:space="preserve">Leng &amp; et al.</w:t>
      </w:r>
      <w:r>
        <w:t xml:space="preserve">, 2020)</w:t>
      </w:r>
      <w:r>
        <w:t xml:space="preserve">.​</w:t>
      </w:r>
    </w:p>
    <w:p>
      <w:pPr>
        <w:pStyle w:val="Corpodetexto"/>
      </w:pPr>
      <w:r>
        <w:t xml:space="preserve">Dados experimentais de geotêxteis naturais confirmam a influência da arquitetura química sobre as propriedades mecânicas iniciais. O Ouricuri (</w:t>
      </w:r>
      <w:r>
        <w:rPr>
          <w:i/>
          <w:iCs/>
        </w:rPr>
        <w:t xml:space="preserve">Syagrus coronata</w:t>
      </w:r>
      <w:r>
        <w:t xml:space="preserve">), com razão lignina/celulose superior, apresentou resistência à tração inicial significativamente maior que a Taboa (Typha domingensis). Contudo, esta vantagem inicial não se traduziu em durabilidade estendida, o Ouricuri sofreu colapso estrutural abrupto aos 30 dias com perda de 65% da resistência, enquanto a Taboa manteve degradação linear previsível até 120 dias. Esta divergência entre recalcitrância química teórica e desempenho temporal revela que a distribuição espacial da lignina, e não apenas sua proporção absoluta, governa a resistência à biodegradação. Matrizes altamente lignificadas mas com arquitetura espacial inadequada são vulneráveis à penetração microbiana localizada, resultando em falhas catastróficas incompatíveis com aplicações que demandam vida útil funcional superior a 90 dias</w:t>
      </w:r>
      <w:r>
        <w:t xml:space="preserve"> </w:t>
      </w:r>
      <w:r>
        <w:t xml:space="preserve">(</w:t>
      </w:r>
      <w:r>
        <w:t xml:space="preserve">Silva &amp; et al.</w:t>
      </w:r>
      <w:r>
        <w:t xml:space="preserve">, 2025)</w:t>
      </w:r>
      <w:r>
        <w:t xml:space="preserve">.​</w:t>
      </w:r>
    </w:p>
    <w:p>
      <w:pPr>
        <w:pStyle w:val="Corpodetexto"/>
      </w:pPr>
      <w:r>
        <w:t xml:space="preserve">A caracterização dessa cinética de degradação expõe a inadequação de especificações tradicionais de geotêxteis. Normas convencionais fundamentam desempenho na resistência média à tração na instalação, negligenciando a variabilidade estocástica inerente aos materiais biológicos e a dimensão temporal da degradação. Essa estrutura determinística mostra-se inadequada para fibras naturais, onde coeficientes de variação (CV) entre amostras excedem 25% e a perda de resistência ao longo do tempo não é linear. A superação desses critérios determinísticos demanda redefinição da Vida Útil Funcional (VUF) como parâmetro probabilístico, representando a duração durante a qual 90% dos geotêxteis implantados mantém capacidade de suportar carga acima de um limite crítico (tipicamente 1,5 kN·m⁻¹ para aplicações em taludes). A VUF é estatisticamente limitada pelo 10º percentil (</w:t>
      </w:r>
      <m:oMath>
        <m:sSub>
          <m:e>
            <m:r>
              <m:t>P</m:t>
            </m:r>
          </m:e>
          <m:sub>
            <m:r>
              <m:t>10</m:t>
            </m:r>
          </m:sub>
        </m:sSub>
      </m:oMath>
      <w:r>
        <w:t xml:space="preserve">) da distribuição de falhas de Weibull, expressa como:</w:t>
      </w:r>
    </w:p>
    <w:p>
      <w:pPr>
        <w:pStyle w:val="Corpodetexto"/>
      </w:pPr>
      <m:oMathPara>
        <m:oMathParaPr>
          <m:jc m:val="center"/>
        </m:oMathParaPr>
        <m:oMath>
          <m:r>
            <m:t>P</m:t>
          </m:r>
          <m:r>
            <m:rPr>
              <m:sty m:val="p"/>
            </m:rPr>
            <m:t>(</m:t>
          </m:r>
          <m:r>
            <m:t>t</m:t>
          </m:r>
          <m:r>
            <m:rPr>
              <m:sty m:val="p"/>
            </m:rPr>
            <m:t>)</m:t>
          </m:r>
          <m:r>
            <m:rPr>
              <m:sty m:val="p"/>
            </m:rPr>
            <m:t>=</m:t>
          </m:r>
          <m:r>
            <m:t>1</m:t>
          </m:r>
          <m:r>
            <m:rPr>
              <m:sty m:val="p"/>
            </m:rPr>
            <m:t>−</m:t>
          </m:r>
          <m:r>
            <m:rPr>
              <m:sty m:val="p"/>
            </m:rPr>
            <m:t>exp</m:t>
          </m:r>
          <m:d>
            <m:dPr>
              <m:begChr m:val="["/>
              <m:sepChr m:val=""/>
              <m:endChr m:val="]"/>
              <m:grow/>
            </m:dPr>
            <m:e>
              <m:r>
                <m:rPr>
                  <m:sty m:val="p"/>
                </m:rPr>
                <m:t>−</m:t>
              </m:r>
              <m:sSup>
                <m:e>
                  <m:d>
                    <m:dPr>
                      <m:begChr m:val="("/>
                      <m:sepChr m:val=""/>
                      <m:endChr m:val=")"/>
                      <m:grow/>
                    </m:dPr>
                    <m:e>
                      <m:f>
                        <m:fPr>
                          <m:type m:val="bar"/>
                        </m:fPr>
                        <m:num>
                          <m:r>
                            <m:t>t</m:t>
                          </m:r>
                        </m:num>
                        <m:den>
                          <m:r>
                            <m:t>η</m:t>
                          </m:r>
                        </m:den>
                      </m:f>
                    </m:e>
                  </m:d>
                </m:e>
                <m:sup>
                  <m:r>
                    <m:t>β</m:t>
                  </m:r>
                </m:sup>
              </m:sSup>
            </m:e>
          </m:d>
        </m:oMath>
      </m:oMathPara>
    </w:p>
    <w:p>
      <w:pPr>
        <w:pStyle w:val="FirstParagraph"/>
      </w:pPr>
      <w:r>
        <w:t xml:space="preserve">Onde η representa o parâmetro de escala (vida característica) e β o parâmetro de forma (descritor do modo de falha). A aplicação desse modelo a fibras de</w:t>
      </w:r>
      <w:r>
        <w:t xml:space="preserve"> </w:t>
      </w:r>
      <w:r>
        <w:rPr>
          <w:i/>
          <w:iCs/>
        </w:rPr>
        <w:t xml:space="preserve">Typha</w:t>
      </w:r>
      <w:r>
        <w:t xml:space="preserve"> </w:t>
      </w:r>
      <w:r>
        <w:t xml:space="preserve">não tratadas resulta em β = 2,3 (indicando falha por desgaste) e η = 68 dias, produzindo P₁₀ = 42 dias como VUF em condições de campo.</w:t>
      </w:r>
    </w:p>
    <w:p>
      <w:pPr>
        <w:pStyle w:val="Corpodetexto"/>
      </w:pPr>
      <w:r>
        <w:t xml:space="preserve">O tratamento alcalino (6% NaOH) desloca a distribuição para a direita, resultando em β = 2,8 e η = 142 dias, estendendo a VUF para 95 dias. A aplicação de resina acrílica de camada única aumenta ainda mais η para 187 dias (P₁₀ = 128 dias), aproximando-se do limiar de estabelecimento da vegetação de 180 dias necessário para que redes radiculares de</w:t>
      </w:r>
      <w:r>
        <w:t xml:space="preserve"> </w:t>
      </w:r>
      <w:r>
        <w:rPr>
          <w:i/>
          <w:iCs/>
        </w:rPr>
        <w:t xml:space="preserve">Chrysopogon zizanioides</w:t>
      </w:r>
      <w:r>
        <w:t xml:space="preserve"> </w:t>
      </w:r>
      <w:r>
        <w:t xml:space="preserve">atinjam resistência à tração entre 15 e 25 kN·m⁻¹.</w:t>
      </w:r>
    </w:p>
    <w:p>
      <w:pPr>
        <w:pStyle w:val="Corpodetexto"/>
      </w:pPr>
      <w:r>
        <w:t xml:space="preserve">Essa estrutura de VUF permite projeto baseado em confiabilidade, onde as especificações do geotêxtil consideram simultaneamente a cinética de degradação e a variabilidade da carga. Modelos Lineares Generalizados (GLM) que incorporam tempo, tratamento e relação L/C como covariáveis prevêem a evolução da resistência à tração com R² = 0,87, conforme a expressão:</w:t>
      </w:r>
    </w:p>
    <w:p>
      <w:pPr>
        <w:pStyle w:val="Corpodetexto"/>
      </w:pPr>
      <m:oMathPara>
        <m:oMathParaPr>
          <m:jc m:val="center"/>
        </m:oMathParaPr>
        <m:oMath>
          <m:r>
            <m:t>σ</m:t>
          </m:r>
          <m:r>
            <m:rPr>
              <m:sty m:val="p"/>
            </m:rPr>
            <m:t>(</m:t>
          </m:r>
          <m:r>
            <m:t>t</m:t>
          </m:r>
          <m:r>
            <m:rPr>
              <m:sty m:val="p"/>
            </m:rPr>
            <m:t>)</m:t>
          </m:r>
          <m:r>
            <m:rPr>
              <m:sty m:val="p"/>
            </m:rPr>
            <m:t>=</m:t>
          </m:r>
          <m:r>
            <m:t>σ</m:t>
          </m:r>
          <m:r>
            <m:rPr>
              <m:sty m:val="p"/>
            </m:rPr>
            <m:t>₀</m:t>
          </m:r>
          <m:r>
            <m:rPr>
              <m:sty m:val="p"/>
            </m:rPr>
            <m:t>⋅</m:t>
          </m:r>
          <m:r>
            <m:t>e</m:t>
          </m:r>
          <m:r>
            <m:t>x</m:t>
          </m:r>
          <m:r>
            <m:t>p</m:t>
          </m:r>
          <m:r>
            <m:rPr>
              <m:sty m:val="p"/>
            </m:rPr>
            <m:t>[</m:t>
          </m:r>
          <m:r>
            <m:rPr>
              <m:sty m:val="p"/>
            </m:rPr>
            <m:t>−</m:t>
          </m:r>
          <m:r>
            <m:t>k</m:t>
          </m:r>
          <m:r>
            <m:rPr>
              <m:sty m:val="p"/>
            </m:rPr>
            <m:t>⋅</m:t>
          </m:r>
          <m:r>
            <m:t>t</m:t>
          </m:r>
          <m:r>
            <m:rPr>
              <m:sty m:val="p"/>
            </m:rPr>
            <m:t>⋅</m:t>
          </m:r>
          <m:r>
            <m:rPr>
              <m:sty m:val="p"/>
            </m:rPr>
            <m:t>(</m:t>
          </m:r>
          <m:r>
            <m:t>1</m:t>
          </m:r>
          <m:r>
            <m:rPr>
              <m:sty m:val="p"/>
            </m:rPr>
            <m:t>+</m:t>
          </m:r>
          <m:r>
            <m:t>0</m:t>
          </m:r>
          <m:r>
            <m:rPr>
              <m:sty m:val="p"/>
            </m:rPr>
            <m:t>,</m:t>
          </m:r>
          <m:r>
            <m:t>3</m:t>
          </m:r>
          <m:r>
            <m:rPr>
              <m:sty m:val="p"/>
            </m:rPr>
            <m:t>⋅</m:t>
          </m:r>
          <m:r>
            <m:t>U</m:t>
          </m:r>
          <m:r>
            <m:t>V</m:t>
          </m:r>
          <m:r>
            <m:t>ₐ</m:t>
          </m:r>
          <m:r>
            <m:t>ₓ</m:t>
          </m:r>
          <m:r>
            <m:rPr>
              <m:sty m:val="p"/>
            </m:rPr>
            <m:t>)</m:t>
          </m:r>
          <m:r>
            <m:rPr>
              <m:sty m:val="p"/>
            </m:rPr>
            <m:t>]</m:t>
          </m:r>
        </m:oMath>
      </m:oMathPara>
    </w:p>
    <w:p>
      <w:pPr>
        <w:pStyle w:val="FirstParagraph"/>
      </w:pPr>
      <w:r>
        <w:t xml:space="preserve">Onde</w:t>
      </w:r>
      <w:r>
        <w:t xml:space="preserve"> </w:t>
      </w:r>
      <m:oMath>
        <m:sSub>
          <m:e>
            <m:r>
              <m:t>σ</m:t>
            </m:r>
          </m:e>
          <m:sub>
            <m:r>
              <m:t>0</m:t>
            </m:r>
          </m:sub>
        </m:sSub>
      </m:oMath>
      <w:r>
        <w:t xml:space="preserve"> </w:t>
      </w:r>
      <w:r>
        <w:t xml:space="preserve">é a resistência inicial,</w:t>
      </w:r>
      <w:r>
        <w:t xml:space="preserve"> </w:t>
      </w:r>
      <m:oMath>
        <m:r>
          <m:t>k</m:t>
        </m:r>
      </m:oMath>
      <w:r>
        <w:t xml:space="preserve"> </w:t>
      </w:r>
      <w:r>
        <w:t xml:space="preserve">é a constante de degradação (modulada por L/C) e</w:t>
      </w:r>
      <w:r>
        <w:t xml:space="preserve"> </w:t>
      </w:r>
      <m:oMath>
        <m:sSub>
          <m:e>
            <m:r>
              <m:rPr>
                <m:nor/>
                <m:sty m:val="p"/>
              </m:rPr>
              <m:t>UV</m:t>
            </m:r>
          </m:e>
          <m:sub>
            <m:r>
              <m:rPr>
                <m:nor/>
                <m:sty m:val="p"/>
              </m:rPr>
              <m:t>index</m:t>
            </m:r>
          </m:sub>
        </m:sSub>
      </m:oMath>
      <w:r>
        <w:t xml:space="preserve"> </w:t>
      </w:r>
      <w:r>
        <w:t xml:space="preserve">quantifica a fotodegradação acelerada sob insolação tropical (6–8 kWh·m ⁻ ²· dia ⁻ ¹ ). Esta expressão permite a análise preditiva de falhas em condições climáticas específicas, transcendendo as limitações geográficas dos padrões de origem temperada.</w:t>
      </w:r>
    </w:p>
    <w:bookmarkEnd w:id="21"/>
    <w:bookmarkEnd w:id="22"/>
    <w:bookmarkStart w:id="25" w:name="X0157789fa26244ad62913ee12bf211108ad7241"/>
    <w:p>
      <w:pPr>
        <w:pStyle w:val="Ttulo2"/>
      </w:pPr>
      <w:r>
        <w:t xml:space="preserve">3. Engenharia da Durabilidade: Modificação de Superfície e a Relação entre Flexibilidade e Recalcitrância</w:t>
      </w:r>
    </w:p>
    <w:bookmarkStart w:id="23" w:name="Xbc0c83e4cfa9f03300e7159282a0d4cb8d49dad"/>
    <w:p>
      <w:pPr>
        <w:pStyle w:val="Ttulo3"/>
      </w:pPr>
      <w:r>
        <w:t xml:space="preserve">3.1. Modificação de Superfície: Mercerização Alcalina e Revestimentos Poliméricos</w:t>
      </w:r>
    </w:p>
    <w:p>
      <w:pPr>
        <w:pStyle w:val="FirstParagraph"/>
      </w:pPr>
      <w:r>
        <w:t xml:space="preserve">A mercerização com hidróxido de sódio (NaOH) induz a deslignificação seletiva e a solubilização da hemicelulose, expondo as microfibrilas de celulose cristalina a uma maior adesão interfibras e menor hidrofilicidade</w:t>
      </w:r>
      <w:r>
        <w:t xml:space="preserve"> </w:t>
      </w:r>
      <w:r>
        <w:t xml:space="preserve">(Ray et al., 2002; Thakur et al., 2019)</w:t>
      </w:r>
      <w:r>
        <w:t xml:space="preserve">. Ensaios longitudinais em colmos de</w:t>
      </w:r>
      <w:r>
        <w:t xml:space="preserve"> </w:t>
      </w:r>
      <w:r>
        <w:rPr>
          <w:i/>
          <w:iCs/>
        </w:rPr>
        <w:t xml:space="preserve">Typha domingensis</w:t>
      </w:r>
      <w:r>
        <w:t xml:space="preserve"> </w:t>
      </w:r>
      <w:r>
        <w:t xml:space="preserve">demonstraram que a resistência à tração apresenta uma relação não monotônica com a concentração de NaOH, onde as fibras não tratadas apresentaram uma resistência à tração máxima (UTS) média de 18,88 N·mm⁻², enquanto o tratamento com 3% de NaOH resultou em 17,62 N·mm⁻² (ΔM = −1,26 N·mm⁻², p = 0,625), refletindo uma alteração estrutural mínima. Entretanto, a concentração de 6% de NaOH gerou uma resistência à tração de 21,39 N·mm⁻² (ΔM=+2,51 N·mm⁻², p=0,021), representando um aumento de 13,3% em relação ao controle, com capacidade de carga máxima atingindo 29,94 N 30 dias após o tratamento.</w:t>
      </w:r>
    </w:p>
    <w:p>
      <w:pPr>
        <w:pStyle w:val="Corpodetexto"/>
      </w:pPr>
      <w:r>
        <w:t xml:space="preserve">Essa eficácia dependente da concentração surge do equilíbrio entre a remoção da lignina (que reduz os locais de colonização microbiana) e a quebra da cadeia de celulose (que compromete a capacidade de suportar carga). A 9% de NaOH, a alcalinidade excessiva induziu corrosão superficial e despolimerização parcial, resultando em uma resistência à tração (UTS) de 22,49 N·mm⁻² ( ΔM = +3,61 N · mm⁻² , p = 0,004), estatisticamente significativa , mas operacionalmente comprometida pelo aumento da fragilidade . A métrica de resistência à perfuração elucidou ainda mais essa relação de compromisso: aos 30 dias, o tratamento com NaOH a 6% apresentou uma carga média de perfuração de 28,64 N·mm⁻² versus 22,91 N·mm⁻² para o controle não tratado ( ΔM = +5,73 N · mm⁻² , p = 0,006), enquanto o NaOH a 9% apresentou apenas uma melhora marginal (ΔM = +2,63 N · mm⁻² , p = 0,190).</w:t>
      </w:r>
    </w:p>
    <w:p>
      <w:pPr>
        <w:pStyle w:val="Corpodetexto"/>
      </w:pPr>
      <w:r>
        <w:t xml:space="preserve">A trajetória de degradação temporal sob exposição em campo durante 180 dias (350 mm de precipitação sazonal, 6,5 kWh·m⁻².dia⁻¹ de UV -B) revelou o efeito de limiar crítico, no qual as fibras não tratadas mantiveram a funcionalidade até 60 dias, enquanto o NaOH a 6% prolongou a viabilidade para 142 dias (FSL: 95 dias no limiar P10 de Weibull), e o NaOH a 9% manteve a integridade durante todo o período de 180 dias do ensaio. A análise do Modelo Linear Generalizado (GLM) confirmou a robustez estatística desses resultados, com fator de tratamento F(3,71) igual a 35,564, p&lt;0,001, η² parcial =0,835, indicando que 83,5% da variância da resistência à tração é atribuível à seleção da concentração de NaOH.</w:t>
      </w:r>
    </w:p>
    <w:p>
      <w:pPr>
        <w:pStyle w:val="Corpodetexto"/>
      </w:pPr>
      <w:r>
        <w:t xml:space="preserve">Ainda, para as fibras de</w:t>
      </w:r>
      <w:r>
        <w:t xml:space="preserve"> </w:t>
      </w:r>
      <w:r>
        <w:rPr>
          <w:i/>
          <w:iCs/>
        </w:rPr>
        <w:t xml:space="preserve">Typha domingensis</w:t>
      </w:r>
      <w:r>
        <w:t xml:space="preserve"> </w:t>
      </w:r>
      <w:r>
        <w:t xml:space="preserve">a deformação por ruptura (ε) apresentou comportamento inverso, onde o tratamento com 3% de NaOH preservou a capacidade de alongamento em 2,86% (similar ao material não tratado: 2,95%), enquanto os tratamentos com 6% e 9% reduziram ε para 2,31% e 2,18%, respectivamente, indicando uma perda de rigidez. Implicação para a engenharia é que 6% de NaOH representa a concentração Pareto-ótima para aplicações em geotêxteis que requerem vida útil de 120 a 150 dias, equilibrando resistência à tração (+13,3%), resistência à perfuração (+25,0%) e flexibilidade aceitável (ε &gt; 2,3%).</w:t>
      </w:r>
    </w:p>
    <w:p>
      <w:pPr>
        <w:pStyle w:val="Corpodetexto"/>
      </w:pPr>
      <w:r>
        <w:t xml:space="preserve">Essa combinação singular de propriedades mecânicas encontra sua justificativa nas transformações estruturais nanoscópicas reveladas pela análise morfométrica quantitativa (Tabela 1). Contrariamente à expectativa simplista de preenchimento de poros, a mercerização com 6% NaOH promoveu reorganização da arquitetura porosa através da consolidação de múltiplos poros pequenos em cavidades maiores e mais eficientes (área média +73,6%), com melhoria simultânea da circularidade (+5,9%) e redução da heterogeneidade dimensional (desvio padrão angular -24,4%). Esse fenômeno de</w:t>
      </w:r>
      <w:r>
        <w:t xml:space="preserve"> </w:t>
      </w:r>
      <w:r>
        <w:t xml:space="preserve">“otimização estrutural controlada”</w:t>
      </w:r>
      <w:r>
        <w:t xml:space="preserve"> </w:t>
      </w:r>
      <w:r>
        <w:t xml:space="preserve">resulta em porosidade total ligeiramente aumentada (+7,6%) apesar da redução no número de poros (-42,1%), indicando que o tratamento não atua como simples agente de vedação, mas como modificador estrutural que maximiza a eficiência do transporte capilar.</w:t>
      </w:r>
    </w:p>
    <w:p>
      <w:pPr>
        <w:pStyle w:val="Corpodetexto"/>
      </w:pPr>
      <w:r>
        <w:rPr>
          <w:b/>
          <w:bCs/>
        </w:rPr>
        <w:t xml:space="preserve">Tabela 1.</w:t>
      </w:r>
      <w:r>
        <w:t xml:space="preserve"> </w:t>
      </w:r>
      <w:r>
        <w:t xml:space="preserve">Efeitos comparativos da mercerização alcalina e tratamentos com resina sobre as características morfológicas e estruturais de fibras de</w:t>
      </w:r>
      <w:r>
        <w:t xml:space="preserve"> </w:t>
      </w:r>
      <w:r>
        <w:rPr>
          <w:i/>
          <w:iCs/>
        </w:rPr>
        <w:t xml:space="preserve">Typha domingensis</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Parâmetro</w:t>
            </w:r>
          </w:p>
        </w:tc>
        <w:tc>
          <w:tcPr/>
          <w:p>
            <w:pPr>
              <w:pStyle w:val="Compact"/>
            </w:pPr>
            <w:r>
              <w:rPr>
                <w:b/>
                <w:bCs/>
              </w:rPr>
              <w:t xml:space="preserve">Fibras Não Tratadas</w:t>
            </w:r>
          </w:p>
        </w:tc>
        <w:tc>
          <w:tcPr/>
          <w:p>
            <w:pPr>
              <w:pStyle w:val="Compact"/>
            </w:pPr>
            <w:r>
              <w:rPr>
                <w:b/>
                <w:bCs/>
              </w:rPr>
              <w:t xml:space="preserve">NaOH 6%</w:t>
            </w:r>
          </w:p>
        </w:tc>
        <w:tc>
          <w:tcPr/>
          <w:p>
            <w:pPr>
              <w:pStyle w:val="Compact"/>
            </w:pPr>
            <w:r>
              <w:rPr>
                <w:b/>
                <w:bCs/>
              </w:rPr>
              <w:t xml:space="preserve">Resina Monocamada</w:t>
            </w:r>
          </w:p>
        </w:tc>
        <w:tc>
          <w:tcPr/>
          <w:p>
            <w:pPr>
              <w:pStyle w:val="Compact"/>
            </w:pPr>
            <w:r>
              <w:rPr>
                <w:b/>
                <w:bCs/>
              </w:rPr>
              <w:t xml:space="preserve">Variação (%)</w:t>
            </w:r>
          </w:p>
        </w:tc>
      </w:tr>
      <w:tr>
        <w:tc>
          <w:tcPr/>
          <w:p>
            <w:pPr>
              <w:pStyle w:val="Compact"/>
            </w:pPr>
            <w:r>
              <w:rPr>
                <w:b/>
                <w:bCs/>
              </w:rPr>
              <w:t xml:space="preserve">Morfologia Superficial</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Porosidade total (%)</w:t>
            </w:r>
          </w:p>
        </w:tc>
        <w:tc>
          <w:tcPr/>
          <w:p>
            <w:pPr>
              <w:pStyle w:val="Compact"/>
            </w:pPr>
            <w:r>
              <w:t xml:space="preserve">29,83</w:t>
            </w:r>
          </w:p>
        </w:tc>
        <w:tc>
          <w:tcPr/>
          <w:p>
            <w:pPr>
              <w:pStyle w:val="Compact"/>
            </w:pPr>
            <w:r>
              <w:t xml:space="preserve">32,10</w:t>
            </w:r>
          </w:p>
        </w:tc>
        <w:tc>
          <w:tcPr/>
          <w:p>
            <w:pPr>
              <w:pStyle w:val="Compact"/>
            </w:pPr>
            <w:r>
              <w:t xml:space="preserve">32,10</w:t>
            </w:r>
          </w:p>
        </w:tc>
        <w:tc>
          <w:tcPr/>
          <w:p>
            <w:pPr>
              <w:pStyle w:val="Compact"/>
            </w:pPr>
            <w:r>
              <w:t xml:space="preserve">+7,6</w:t>
            </w:r>
          </w:p>
        </w:tc>
      </w:tr>
      <w:tr>
        <w:tc>
          <w:tcPr/>
          <w:p>
            <w:pPr>
              <w:pStyle w:val="Compact"/>
            </w:pPr>
            <w:r>
              <w:t xml:space="preserve">Número de poros (poros·campo⁻¹)</w:t>
            </w:r>
          </w:p>
        </w:tc>
        <w:tc>
          <w:tcPr/>
          <w:p>
            <w:pPr>
              <w:pStyle w:val="Compact"/>
            </w:pPr>
            <w:r>
              <w:t xml:space="preserve">140</w:t>
            </w:r>
          </w:p>
        </w:tc>
        <w:tc>
          <w:tcPr/>
          <w:p>
            <w:pPr>
              <w:pStyle w:val="Compact"/>
            </w:pPr>
            <w:r>
              <w:t xml:space="preserve">81</w:t>
            </w:r>
          </w:p>
        </w:tc>
        <w:tc>
          <w:tcPr/>
          <w:p>
            <w:pPr>
              <w:pStyle w:val="Compact"/>
            </w:pPr>
            <w:r>
              <w:t xml:space="preserve">81</w:t>
            </w:r>
          </w:p>
        </w:tc>
        <w:tc>
          <w:tcPr/>
          <w:p>
            <w:pPr>
              <w:pStyle w:val="Compact"/>
            </w:pPr>
            <w:r>
              <w:t xml:space="preserve">-42,1</w:t>
            </w:r>
          </w:p>
        </w:tc>
      </w:tr>
      <w:tr>
        <w:tc>
          <w:tcPr/>
          <w:p>
            <w:pPr>
              <w:pStyle w:val="Compact"/>
            </w:pPr>
            <w:r>
              <w:t xml:space="preserve">Área média dos poros (pixels)</w:t>
            </w:r>
          </w:p>
        </w:tc>
        <w:tc>
          <w:tcPr/>
          <w:p>
            <w:pPr>
              <w:pStyle w:val="Compact"/>
            </w:pPr>
            <w:r>
              <w:t xml:space="preserve">1.935</w:t>
            </w:r>
          </w:p>
        </w:tc>
        <w:tc>
          <w:tcPr/>
          <w:p>
            <w:pPr>
              <w:pStyle w:val="Compact"/>
            </w:pPr>
            <w:r>
              <w:t xml:space="preserve">3.360</w:t>
            </w:r>
          </w:p>
        </w:tc>
        <w:tc>
          <w:tcPr/>
          <w:p>
            <w:pPr>
              <w:pStyle w:val="Compact"/>
            </w:pPr>
            <w:r>
              <w:t xml:space="preserve">3.360</w:t>
            </w:r>
          </w:p>
        </w:tc>
        <w:tc>
          <w:tcPr/>
          <w:p>
            <w:pPr>
              <w:pStyle w:val="Compact"/>
            </w:pPr>
            <w:r>
              <w:t xml:space="preserve">+73,6</w:t>
            </w:r>
          </w:p>
        </w:tc>
      </w:tr>
      <w:tr>
        <w:tc>
          <w:tcPr/>
          <w:p>
            <w:pPr>
              <w:pStyle w:val="Compact"/>
            </w:pPr>
            <w:r>
              <w:t xml:space="preserve">Circularidade dos poros</w:t>
            </w:r>
          </w:p>
        </w:tc>
        <w:tc>
          <w:tcPr/>
          <w:p>
            <w:pPr>
              <w:pStyle w:val="Compact"/>
            </w:pPr>
            <w:r>
              <w:t xml:space="preserve">0,581</w:t>
            </w:r>
          </w:p>
        </w:tc>
        <w:tc>
          <w:tcPr/>
          <w:p>
            <w:pPr>
              <w:pStyle w:val="Compact"/>
            </w:pPr>
            <w:r>
              <w:t xml:space="preserve">0,615</w:t>
            </w:r>
          </w:p>
        </w:tc>
        <w:tc>
          <w:tcPr/>
          <w:p>
            <w:pPr>
              <w:pStyle w:val="Compact"/>
            </w:pPr>
            <w:r>
              <w:t xml:space="preserve">0,615</w:t>
            </w:r>
          </w:p>
        </w:tc>
        <w:tc>
          <w:tcPr/>
          <w:p>
            <w:pPr>
              <w:pStyle w:val="Compact"/>
            </w:pPr>
            <w:r>
              <w:t xml:space="preserve">+5,9</w:t>
            </w:r>
          </w:p>
        </w:tc>
      </w:tr>
      <w:tr>
        <w:tc>
          <w:tcPr/>
          <w:p>
            <w:pPr>
              <w:pStyle w:val="Compact"/>
            </w:pPr>
            <w:r>
              <w:t xml:space="preserve">Rugosidade superficial</w:t>
            </w:r>
          </w:p>
        </w:tc>
        <w:tc>
          <w:tcPr/>
          <w:p>
            <w:pPr>
              <w:pStyle w:val="Compact"/>
            </w:pPr>
            <w:r>
              <w:t xml:space="preserve">0,0353</w:t>
            </w:r>
          </w:p>
        </w:tc>
        <w:tc>
          <w:tcPr/>
          <w:p>
            <w:pPr>
              <w:pStyle w:val="Compact"/>
            </w:pPr>
            <w:r>
              <w:t xml:space="preserve">0,0523</w:t>
            </w:r>
          </w:p>
        </w:tc>
        <w:tc>
          <w:tcPr/>
          <w:p>
            <w:pPr>
              <w:pStyle w:val="Compact"/>
            </w:pPr>
            <w:r>
              <w:t xml:space="preserve">0,0523</w:t>
            </w:r>
          </w:p>
        </w:tc>
        <w:tc>
          <w:tcPr/>
          <w:p>
            <w:pPr>
              <w:pStyle w:val="Compact"/>
            </w:pPr>
            <w:r>
              <w:t xml:space="preserve">+48,2</w:t>
            </w:r>
          </w:p>
        </w:tc>
      </w:tr>
      <w:tr>
        <w:tc>
          <w:tcPr/>
          <w:p>
            <w:pPr>
              <w:pStyle w:val="Compact"/>
            </w:pPr>
            <w:r>
              <w:rPr>
                <w:b/>
                <w:bCs/>
              </w:rPr>
              <w:t xml:space="preserve">Organização Fibrilar</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Índice de orientação</w:t>
            </w:r>
          </w:p>
        </w:tc>
        <w:tc>
          <w:tcPr/>
          <w:p>
            <w:pPr>
              <w:pStyle w:val="Compact"/>
            </w:pPr>
            <w:r>
              <w:t xml:space="preserve">0,290</w:t>
            </w:r>
          </w:p>
        </w:tc>
        <w:tc>
          <w:tcPr/>
          <w:p>
            <w:pPr>
              <w:pStyle w:val="Compact"/>
            </w:pPr>
            <w:r>
              <w:t xml:space="preserve">0,463</w:t>
            </w:r>
          </w:p>
        </w:tc>
        <w:tc>
          <w:tcPr/>
          <w:p>
            <w:pPr>
              <w:pStyle w:val="Compact"/>
            </w:pPr>
            <w:r>
              <w:t xml:space="preserve">0,463</w:t>
            </w:r>
          </w:p>
        </w:tc>
        <w:tc>
          <w:tcPr/>
          <w:p>
            <w:pPr>
              <w:pStyle w:val="Compact"/>
            </w:pPr>
            <w:r>
              <w:t xml:space="preserve">+59,7</w:t>
            </w:r>
          </w:p>
        </w:tc>
      </w:tr>
      <w:tr>
        <w:tc>
          <w:tcPr/>
          <w:p>
            <w:pPr>
              <w:pStyle w:val="Compact"/>
            </w:pPr>
            <w:r>
              <w:t xml:space="preserve">Desvio padrão angular (°)</w:t>
            </w:r>
          </w:p>
        </w:tc>
        <w:tc>
          <w:tcPr/>
          <w:p>
            <w:pPr>
              <w:pStyle w:val="Compact"/>
            </w:pPr>
            <w:r>
              <w:t xml:space="preserve">63,9</w:t>
            </w:r>
          </w:p>
        </w:tc>
        <w:tc>
          <w:tcPr/>
          <w:p>
            <w:pPr>
              <w:pStyle w:val="Compact"/>
            </w:pPr>
            <w:r>
              <w:t xml:space="preserve">48,3</w:t>
            </w:r>
          </w:p>
        </w:tc>
        <w:tc>
          <w:tcPr/>
          <w:p>
            <w:pPr>
              <w:pStyle w:val="Compact"/>
            </w:pPr>
            <w:r>
              <w:t xml:space="preserve">48,3</w:t>
            </w:r>
          </w:p>
        </w:tc>
        <w:tc>
          <w:tcPr/>
          <w:p>
            <w:pPr>
              <w:pStyle w:val="Compact"/>
            </w:pPr>
            <w:r>
              <w:t xml:space="preserve">-24,4</w:t>
            </w:r>
          </w:p>
        </w:tc>
      </w:tr>
      <w:tr>
        <w:tc>
          <w:tcPr/>
          <w:p>
            <w:pPr>
              <w:pStyle w:val="Compact"/>
            </w:pPr>
            <w:r>
              <w:t xml:space="preserve">Densidade fibrilar</w:t>
            </w:r>
          </w:p>
        </w:tc>
        <w:tc>
          <w:tcPr/>
          <w:p>
            <w:pPr>
              <w:pStyle w:val="Compact"/>
            </w:pPr>
            <w:r>
              <w:t xml:space="preserve">0,0292</w:t>
            </w:r>
          </w:p>
        </w:tc>
        <w:tc>
          <w:tcPr/>
          <w:p>
            <w:pPr>
              <w:pStyle w:val="Compact"/>
            </w:pPr>
            <w:r>
              <w:t xml:space="preserve">0,0383</w:t>
            </w:r>
          </w:p>
        </w:tc>
        <w:tc>
          <w:tcPr/>
          <w:p>
            <w:pPr>
              <w:pStyle w:val="Compact"/>
            </w:pPr>
            <w:r>
              <w:t xml:space="preserve">0,0383</w:t>
            </w:r>
          </w:p>
        </w:tc>
        <w:tc>
          <w:tcPr/>
          <w:p>
            <w:pPr>
              <w:pStyle w:val="Compact"/>
            </w:pPr>
            <w:r>
              <w:t xml:space="preserve">+31,1</w:t>
            </w:r>
          </w:p>
        </w:tc>
      </w:tr>
      <w:tr>
        <w:tc>
          <w:tcPr/>
          <w:p>
            <w:pPr>
              <w:pStyle w:val="Compact"/>
            </w:pPr>
            <w:r>
              <w:t xml:space="preserve">Comprimento esqueletal (pixels)</w:t>
            </w:r>
          </w:p>
        </w:tc>
        <w:tc>
          <w:tcPr/>
          <w:p>
            <w:pPr>
              <w:pStyle w:val="Compact"/>
            </w:pPr>
            <w:r>
              <w:t xml:space="preserve">26.534</w:t>
            </w:r>
          </w:p>
        </w:tc>
        <w:tc>
          <w:tcPr/>
          <w:p>
            <w:pPr>
              <w:pStyle w:val="Compact"/>
            </w:pPr>
            <w:r>
              <w:t xml:space="preserve">32.458</w:t>
            </w:r>
          </w:p>
        </w:tc>
        <w:tc>
          <w:tcPr/>
          <w:p>
            <w:pPr>
              <w:pStyle w:val="Compact"/>
            </w:pPr>
            <w:r>
              <w:t xml:space="preserve">32.458</w:t>
            </w:r>
          </w:p>
        </w:tc>
        <w:tc>
          <w:tcPr/>
          <w:p>
            <w:pPr>
              <w:pStyle w:val="Compact"/>
            </w:pPr>
            <w:r>
              <w:t xml:space="preserve">+22,3</w:t>
            </w:r>
          </w:p>
        </w:tc>
      </w:tr>
      <w:tr>
        <w:tc>
          <w:tcPr/>
          <w:p>
            <w:pPr>
              <w:pStyle w:val="Compact"/>
            </w:pPr>
            <w:r>
              <w:rPr>
                <w:b/>
                <w:bCs/>
              </w:rPr>
              <w:t xml:space="preserve">Conectividade Estrutural</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Junções (junções·campo⁻¹)</w:t>
            </w:r>
          </w:p>
        </w:tc>
        <w:tc>
          <w:tcPr/>
          <w:p>
            <w:pPr>
              <w:pStyle w:val="Compact"/>
            </w:pPr>
            <w:r>
              <w:t xml:space="preserve">666</w:t>
            </w:r>
          </w:p>
        </w:tc>
        <w:tc>
          <w:tcPr/>
          <w:p>
            <w:pPr>
              <w:pStyle w:val="Compact"/>
            </w:pPr>
            <w:r>
              <w:t xml:space="preserve">831</w:t>
            </w:r>
          </w:p>
        </w:tc>
        <w:tc>
          <w:tcPr/>
          <w:p>
            <w:pPr>
              <w:pStyle w:val="Compact"/>
            </w:pPr>
            <w:r>
              <w:t xml:space="preserve">831</w:t>
            </w:r>
          </w:p>
        </w:tc>
        <w:tc>
          <w:tcPr/>
          <w:p>
            <w:pPr>
              <w:pStyle w:val="Compact"/>
            </w:pPr>
            <w:r>
              <w:t xml:space="preserve">+24,8</w:t>
            </w:r>
          </w:p>
        </w:tc>
      </w:tr>
      <w:tr>
        <w:tc>
          <w:tcPr/>
          <w:p>
            <w:pPr>
              <w:pStyle w:val="Compact"/>
            </w:pPr>
            <w:r>
              <w:rPr>
                <w:b/>
                <w:bCs/>
              </w:rPr>
              <w:t xml:space="preserve">Propriedades Mecânicas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Resistência à tração (N·mm⁻²)</w:t>
            </w:r>
          </w:p>
        </w:tc>
        <w:tc>
          <w:tcPr/>
          <w:p>
            <w:pPr>
              <w:pStyle w:val="Compact"/>
            </w:pPr>
            <w:r>
              <w:t xml:space="preserve">18,88</w:t>
            </w:r>
          </w:p>
        </w:tc>
        <w:tc>
          <w:tcPr/>
          <w:p>
            <w:pPr>
              <w:pStyle w:val="Compact"/>
            </w:pPr>
            <w:r>
              <w:t xml:space="preserve">21,39</w:t>
            </w:r>
          </w:p>
        </w:tc>
        <w:tc>
          <w:tcPr/>
          <w:p>
            <w:pPr>
              <w:pStyle w:val="Compact"/>
            </w:pPr>
            <w:r>
              <w:t xml:space="preserve">5,24</w:t>
            </w:r>
          </w:p>
        </w:tc>
        <w:tc>
          <w:tcPr/>
          <w:p>
            <w:pPr>
              <w:pStyle w:val="Compact"/>
            </w:pPr>
            <w:r>
              <w:t xml:space="preserve">+13,3 / +177,8†</w:t>
            </w:r>
          </w:p>
        </w:tc>
      </w:tr>
      <w:tr>
        <w:tc>
          <w:tcPr/>
          <w:p>
            <w:pPr>
              <w:pStyle w:val="Compact"/>
            </w:pPr>
            <w:r>
              <w:t xml:space="preserve">Estabilidade térmica (°C, TGA)</w:t>
            </w:r>
          </w:p>
        </w:tc>
        <w:tc>
          <w:tcPr/>
          <w:p>
            <w:pPr>
              <w:pStyle w:val="Compact"/>
            </w:pPr>
            <w:r>
              <w:t xml:space="preserve">245</w:t>
            </w:r>
          </w:p>
        </w:tc>
        <w:tc>
          <w:tcPr/>
          <w:p>
            <w:pPr>
              <w:pStyle w:val="Compact"/>
            </w:pPr>
            <w:r>
              <w:t xml:space="preserve">265</w:t>
            </w:r>
          </w:p>
        </w:tc>
        <w:tc>
          <w:tcPr/>
          <w:p>
            <w:pPr>
              <w:pStyle w:val="Compact"/>
            </w:pPr>
            <w:r>
              <w:t xml:space="preserve">285</w:t>
            </w:r>
          </w:p>
        </w:tc>
        <w:tc>
          <w:tcPr/>
          <w:p>
            <w:pPr>
              <w:pStyle w:val="Compact"/>
            </w:pPr>
            <w:r>
              <w:t xml:space="preserve">+16,3</w:t>
            </w:r>
          </w:p>
        </w:tc>
      </w:tr>
    </w:tbl>
    <w:p>
      <w:pPr>
        <w:pStyle w:val="Corpodetexto"/>
      </w:pPr>
      <w:r>
        <w:t xml:space="preserve">†Aumento atribuível à contribuição estrutural da matriz polimérica.</w:t>
      </w:r>
    </w:p>
    <w:p>
      <w:pPr>
        <w:pStyle w:val="Corpodetexto"/>
      </w:pPr>
      <w:r>
        <w:t xml:space="preserve">Essa reestruturação porosa macroscópica reflete reorganização fibrilar subjacente, onde o índice de orientação melhorou dramaticamente em +59,7% (0,290 → 0,463), acompanhado por aumento de 31,1% na densidade fibrilar e 22,3% no comprimento esqueletal total. Tais transformações na organização estrutural interna explicam o ganho de resistência à tração (+13,3%) sem comprometimento substancial da flexibilidade, evidenciando que a mercerização não atua por simples remoção de componentes, mas por realinhamento direcional das microfibrilas de celulose. O aumento de 24,8% no número de junções e ramificações (666 → 831 junções·campo⁻¹) complementa esse efeito de orientação, gerando maior redundância estrutural e capacidade otimizada de distribuição de tensões, atributos fundamentais para resistência a falhas progressivas sob carregamento cíclico.</w:t>
      </w:r>
    </w:p>
    <w:p>
      <w:pPr>
        <w:pStyle w:val="Corpodetexto"/>
      </w:pPr>
      <w:r>
        <w:t xml:space="preserve">A rugosidade superficial elevada (+48,2%) resultante do tratamento, caracterizada por microirregularidades de 1–2 μm distribuídas continuamente ao longo da superfície fibrilar, não representa degradação estrutural, mas zonas de ancoragem e microrreservatórios com potencial de retenção hídrica capilar. Em aplicações de bioengenharia, essa microtopografia favorece o acúmulo e liberação gradual de umidade, aumentando a eficiência funcional durante períodos de estiagem. A estabilidade térmica melhorada (+16,3%, TGA 245 → 265°C) decorre diretamente dessa reestruturação composicional, refletindo a remoção seletiva de hemicelulose (Td ≈ 220–315°C) e exposição de celulose cristalina mais recalcitrante (Td ≈ 315–400°C). Essa recalcitrância química manifesta-se macroscopicamente na extensão observada da vida útil funcional em campo (60 → 142 dias), consolidando a cadeia causal: tratamento alcalino → remoção de hemicelulose → exposição de celulose cristalina → aumento de estabilidade térmica → prolongamento de VUF.</w:t>
      </w:r>
    </w:p>
    <w:p>
      <w:pPr>
        <w:pStyle w:val="Corpodetexto"/>
      </w:pPr>
      <w:r>
        <w:t xml:space="preserve">Revestimentos com resina impermeabilizante de base acrílica (Hydronorth®) em camada única (0,0932 ml·m⁻²) prolongam a vida útil funcional de 60 para 120 dias, enquanto tratamentos de camada dupla (0,1864 ml·m⁻²) paradoxalmente precipitam falhas prematuras aos 90 dias. Ensaios longitudinais sistematicamente controlados em fibras foliares de</w:t>
      </w:r>
      <w:r>
        <w:t xml:space="preserve"> </w:t>
      </w:r>
      <w:r>
        <w:rPr>
          <w:i/>
          <w:iCs/>
        </w:rPr>
        <w:t xml:space="preserve">Syagrus coronata</w:t>
      </w:r>
      <w:r>
        <w:t xml:space="preserve"> </w:t>
      </w:r>
      <w:r>
        <w:t xml:space="preserve">(Mart.) Becc., com diâmetro médio de 4 mm e massa por unidade de área de 153,7 g·m⁻², submetidas a exposição ambiental em campo durante 120 dias em talude de Typic Quartzipsamment sob condições de temperatura de 21–29°C e precipitação total de 720 mm no período (março-agosto 2021), quantificaram esse fenômeno através de trajetórias mecânicas diferenciais.</w:t>
      </w:r>
    </w:p>
    <w:p>
      <w:pPr>
        <w:pStyle w:val="Corpodetexto"/>
      </w:pPr>
      <w:r>
        <w:t xml:space="preserve">Fibras de</w:t>
      </w:r>
      <w:r>
        <w:t xml:space="preserve"> </w:t>
      </w:r>
      <w:r>
        <w:rPr>
          <w:i/>
          <w:iCs/>
        </w:rPr>
        <w:t xml:space="preserve">Syagrus</w:t>
      </w:r>
      <w:r>
        <w:t xml:space="preserve"> </w:t>
      </w:r>
      <w:r>
        <w:t xml:space="preserve">não tratadas estabeleceram a linha de base de degradação: resistência última à tração inicial (σu) de 3,569 N·m⁻² em T₀ (dia 0), diminuindo progressivamente para 1,563 N·m⁻² aos 30 dias (ΔM = −2,006 N·m⁻², p = 0,539, não significativo), 1,312 N·m⁻² aos 60 dias (ΔM = −2,257 N·m⁻², p = 0,033, significativo), com falha estrutural completa além desse período temporal. Essa redução cumulativa de −63,2% entre T₀ e T₂ decorre da dominância de colonização microbiana acelerada por elevada umidade relativa, particularmente a atividade de fungos filamentosos (</w:t>
      </w:r>
      <w:r>
        <w:rPr>
          <w:i/>
          <w:iCs/>
        </w:rPr>
        <w:t xml:space="preserve">Aspergillus</w:t>
      </w:r>
      <w:r>
        <w:t xml:space="preserve">,</w:t>
      </w:r>
      <w:r>
        <w:t xml:space="preserve"> </w:t>
      </w:r>
      <w:r>
        <w:rPr>
          <w:i/>
          <w:iCs/>
        </w:rPr>
        <w:t xml:space="preserve">Trichoderma</w:t>
      </w:r>
      <w:r>
        <w:t xml:space="preserve"> </w:t>
      </w:r>
      <w:r>
        <w:t xml:space="preserve">spp.) que degradam celulose e hemicelulose por secreção de complexos de celulases.</w:t>
      </w:r>
    </w:p>
    <w:p>
      <w:pPr>
        <w:pStyle w:val="Corpodetexto"/>
      </w:pPr>
      <w:r>
        <w:t xml:space="preserve">O tratamento com resina em camada única alterou radicalmente essa trajetória. Fibras de</w:t>
      </w:r>
      <w:r>
        <w:t xml:space="preserve"> </w:t>
      </w:r>
      <w:r>
        <w:rPr>
          <w:i/>
          <w:iCs/>
        </w:rPr>
        <w:t xml:space="preserve">Syagrus</w:t>
      </w:r>
      <w:r>
        <w:t xml:space="preserve"> </w:t>
      </w:r>
      <w:r>
        <w:t xml:space="preserve">com revestimento acrílico apresentaram resistência inicial de 5,238 N·m⁻² (aumento de +46,7% relativamente ao não tratado, atribuível à contribuição estrutural da camada de resina na dissipação de carga), mantendo viabilidade mecânica estendida: 3,696 N·m⁻² aos 30 dias (ΔM = −1,542 N·m⁻²), 1,390 N·m⁻² aos 60 dias (ΔM = −3,849 N·m⁻², p &lt; 0,001), 1,360 N·m⁻² aos 90 dias (ΔM = −3,878 N·m⁻², p &lt; 0,001), e permanecendo viável até a medição final de 120 dias com σu = 0,964 N·m⁻² (ΔM = −4,274 N·m⁻², p &lt; 0,001).</w:t>
      </w:r>
    </w:p>
    <w:p>
      <w:pPr>
        <w:pStyle w:val="Corpodetexto"/>
      </w:pPr>
      <w:r>
        <w:t xml:space="preserve">Crítico para aplicações de engenharia, este tratamento demonstrou cinética de degradação progressiva e monotônica (R² linear = 0,94), indicando deterioração previsível e passível de modelagem probabilística por distribuição de Weibull. A redução cumulativa de −81,6% representava uma taxa de degradação aproximadamente 30% maior que o material não tratado (0,680 N·m⁻²·dia⁻¹ vs. 0,533 N·m⁻²·dia⁻¹), refletindo que o revestimento acrílico, ao retardar a invasão microbiana inicial, não elimina os mecanismos de degradação mas os reorganiza em cronograma estendido e controlado.</w:t>
      </w:r>
    </w:p>
    <w:p>
      <w:pPr>
        <w:pStyle w:val="Corpodetexto"/>
      </w:pPr>
      <w:r>
        <w:t xml:space="preserve">Essa previsibilidade monotônica contrasta radicalmente com a patologia mecânica do tratamento com resina de dupla camada. A resistência inicial foi 5,088 N·m⁻² (−10,3% relativamente à camada única, p não significativo), mas a trajetória temporal divergiu radicalmente: 5,761 N·m⁻² aos 30 dias (aumento anômalo, ΔM = +0,674 N·m⁻², p = 0,745, não significativo), 1,977 N·m⁻² aos 60 dias (redução abrupta de −65,7%), 1,548 N·m⁻² aos 90 dias (ΔM = −3,539 N·m⁻², p &lt; 0,001), com falha catastrófica ocorrendo antes da avaliação programada de 120 dias. O teste de Student-t revelou significância estatística entre camada única e dupla aos 60 dias (F(12) = −2,327, p &lt; 0,05), com tamanho de efeito de Cohen’s D = 0,620 (magnitude média).</w:t>
      </w:r>
    </w:p>
    <w:p>
      <w:pPr>
        <w:pStyle w:val="Corpodetexto"/>
      </w:pPr>
      <w:r>
        <w:t xml:space="preserve">O exame microscópico (microscopia eletrônica de varredura, 15 keV)</w:t>
      </w:r>
      <w:r>
        <w:t xml:space="preserve"> </w:t>
      </w:r>
      <w:r>
        <w:t xml:space="preserve">(Thakur et al., 2019)</w:t>
      </w:r>
      <w:r>
        <w:t xml:space="preserve"> </w:t>
      </w:r>
      <w:r>
        <w:t xml:space="preserve">de amostras após 90 dias revelou delaminação interfacial progressiva entre as camadas de resina e a matriz lignocelulósica, com penetração de umidade subsuperficial que criava microambiente hidrofílico propício à colonização fúngica apesar da barreira externa da resina. A presença de ciclos higrotérmicos intensos (amplitude diurna de temperatura entre 18 e 35°C e umidade relativa de 45 a 85%) promovia swelling-shrinkage repetitivo da celulose subjacente, gerando tensões internas que descolavam a resina da fibra. Essa degradação hidrolítica acelerada ocorria paradoxalmente sob proteção física externa, violando a suposição simplista de que mais revestimento equivale a maior proteção. A análise ANOVA com medidas repetidas confirmou significância da interação (tempo × tratamento): F(1,488; 23,880) = 48,200, p = 0,040, η² = 0,891, indicando que o tipo de revestimento determinava fundamentalmente a trajetória temporal de degradação.</w:t>
      </w:r>
    </w:p>
    <w:p>
      <w:pPr>
        <w:pStyle w:val="Corpodetexto"/>
      </w:pPr>
      <w:r>
        <w:t xml:space="preserve">Essa delaminação observada microscopicamente encontra sua explicação na física dos polímeros, onde a resina de dupla camada cria barreira de difusão (coeficiente permeabilidade &lt;10⁻¹² m²·s⁻¹) que retém água metabólica gerada por consórcios microbianos dentro da matriz lignocelulósica. Essa saturação localizada (umidade &gt;30% em base seca) facilita hidrólise enzimática das ligações glicosídicas e acelera colonização fúngica (</w:t>
      </w:r>
      <w:r>
        <w:rPr>
          <w:i/>
          <w:iCs/>
        </w:rPr>
        <w:t xml:space="preserve">Aspergillus</w:t>
      </w:r>
      <w:r>
        <w:t xml:space="preserve">,</w:t>
      </w:r>
      <w:r>
        <w:t xml:space="preserve"> </w:t>
      </w:r>
      <w:r>
        <w:rPr>
          <w:i/>
          <w:iCs/>
        </w:rPr>
        <w:t xml:space="preserve">Penicillium</w:t>
      </w:r>
      <w:r>
        <w:t xml:space="preserve"> </w:t>
      </w:r>
      <w:r>
        <w:t xml:space="preserve">spp.), apesar da proteção externa da resina. O tratamento com camada única, por contraste, mantém permeabilidade ao vapor (~10⁻¹⁰ m²·s⁻¹), permitindo saída de umidade enquanto retarda fotodegradação induzida por UV dos cromóforos da lignina.</w:t>
      </w:r>
    </w:p>
    <w:p>
      <w:pPr>
        <w:pStyle w:val="Corpodetexto"/>
      </w:pPr>
      <w:r>
        <w:rPr>
          <w:b/>
          <w:bCs/>
        </w:rPr>
        <w:t xml:space="preserve">Fenômeno de Inversão Temporal:</w:t>
      </w:r>
      <w:r>
        <w:t xml:space="preserve"> </w:t>
      </w:r>
      <w:r>
        <w:t xml:space="preserve">A aplicação de monocamada de resina acrílica (0.093 ml/m²) sobre Taboa induziu um fenômeno de inversão de desempenho temporal: embora a resistência à punção inicial fosse 52% inferior ao controle não-tratado (24.3 vs 50.6 kN/m), o efeito protetor tornou-se dominante após 60 dias, produzindo ganho de 89% (38.1 vs 20.1 kN/m, Cohen’s</w:t>
      </w:r>
      <w:r>
        <w:t xml:space="preserve"> </w:t>
      </w:r>
      <w:r>
        <w:rPr>
          <w:i/>
          <w:iCs/>
        </w:rPr>
        <w:t xml:space="preserve">D</w:t>
      </w:r>
      <w:r>
        <w:t xml:space="preserve">=2.4,</w:t>
      </w:r>
      <w:r>
        <w:t xml:space="preserve"> </w:t>
      </w:r>
      <w:r>
        <w:rPr>
          <w:i/>
          <w:iCs/>
        </w:rPr>
        <w:t xml:space="preserve">p</w:t>
      </w:r>
      <w:r>
        <w:t xml:space="preserve">&lt;0.001). Aos 90 dias, geotêxteis tratados retinham 278% mais resistência que controles, estendendo a VUF de 60-80 dias para 120-150 dias. Este trade-off temporal sugere a existência de um</w:t>
      </w:r>
      <w:r>
        <w:t xml:space="preserve"> </w:t>
      </w:r>
      <w:r>
        <w:rPr>
          <w:b/>
          <w:bCs/>
        </w:rPr>
        <w:t xml:space="preserve">limiar crítico de permeabilidade</w:t>
      </w:r>
      <w:r>
        <w:t xml:space="preserve"> </w:t>
      </w:r>
      <w:r>
        <w:t xml:space="preserve">onde o sacrifício de 50% da capacidade inicial é compensado pela supressão de 50% da taxa de degradação (</w:t>
      </w:r>
      <w:r>
        <w:rPr>
          <w:i/>
          <w:iCs/>
        </w:rPr>
        <w:t xml:space="preserve">k</w:t>
      </w:r>
      <w:r>
        <w:t xml:space="preserve"> </w:t>
      </w:r>
      <w:r>
        <w:t xml:space="preserve">reduzido de 0.0118 para 0.0062 dia⁻¹). Tratamentos bicamada (0.186 ml/m²), contudo, induziram delaminação prematura, corroborando a hipótese de que camadas excessivamente impermeáveis criam interfaces de cisalhamento que anulam os benefícios de proteção superficial.</w:t>
      </w:r>
    </w:p>
    <w:p>
      <w:pPr>
        <w:pStyle w:val="Corpodetexto"/>
      </w:pPr>
      <w:r>
        <w:t xml:space="preserve">A análise ANOVA-RM validou essas observações: interação tempo × tratamento F(2,139, 21,561) = 9,764, p &lt; 0,001, η² = 0,550, com tamanho do efeito D de Cohen de 0,620 (médio a grande) comparando camada única versus não tratada aos 90 dias.</w:t>
      </w:r>
    </w:p>
    <w:bookmarkEnd w:id="23"/>
    <w:bookmarkStart w:id="24" w:name="Xf6070eca23a65a6ca8ff82266e8a5f0e3e8e69c"/>
    <w:p>
      <w:pPr>
        <w:pStyle w:val="Ttulo3"/>
      </w:pPr>
      <w:r>
        <w:t xml:space="preserve">3.2. Desempenho Mecânico Comparativo e Critérios de Instalação</w:t>
      </w:r>
    </w:p>
    <w:p>
      <w:pPr>
        <w:pStyle w:val="FirstParagraph"/>
      </w:pPr>
      <w:r>
        <w:t xml:space="preserve">A integração sistemática dos dados de mercerização com NaOH e revestimento com resina estabelece uma matriz de decisão para especificação de geotêxteis tropicais. A linha de base não tratada apresenta FSL de 42 dias sob distribuição de Weibull com percentil P10, exibindo taxa de degradação UTS k de 0,0118 dia⁻¹. O tratamento com NaOH a 6% estende o FSL para 95 dias com k reduzida a 0,0073 dia⁻¹, representando redução de taxa de degradação de 38%. Aplicando resina de camada única em</w:t>
      </w:r>
      <w:r>
        <w:t xml:space="preserve"> </w:t>
      </w:r>
      <w:r>
        <w:rPr>
          <w:i/>
          <w:iCs/>
        </w:rPr>
        <w:t xml:space="preserve">Syagrus</w:t>
      </w:r>
      <w:r>
        <w:t xml:space="preserve">, o FSL alcança 128 dias com k de 0,0061 dia⁻¹, correspondendo a redução de 48% na taxa de degradação. Tratamentos com NaOH a 9% apresentam FSL superior a 180 dias com dados censurados, exibindo k de 0,0041 dia⁻¹, equivalente a redução de 65% na taxa de degradação.</w:t>
      </w:r>
    </w:p>
    <w:p>
      <w:pPr>
        <w:pStyle w:val="Corpodetexto"/>
      </w:pPr>
      <w:r>
        <w:t xml:space="preserve">Essas diferenças cinéticas traduzem-se em otimização econômica específica por aplicação. O cálculo favorece NaOH a 6% para janelas de serviço de 90 a 150 dias (estabelecimento de culturas anuais, controle de erosão na estação chuvosa), visto que os custos de tratamento permanecem abaixo de US$ 0,80·m⁻² sem externalidades de descarte. A resina de camada única atinge paridade de custos (US$ 1,20 · m⁻²) para instalações perenes (por exemplo, restauração de áreas ribeirinhas, taludes de rodovias), onde o período de serviço prolongado justifica o custo adicional do material. Tratamentos de camada dupla são contraindicados em todos os casos de uso, representando um exemplo de advertência sobre como o excesso de engenharia pode levar a falhas sistêmicas.</w:t>
      </w:r>
    </w:p>
    <w:p>
      <w:pPr>
        <w:pStyle w:val="Corpodetexto"/>
      </w:pPr>
      <w:r>
        <w:t xml:space="preserve">Embora a resistência à tração domine a literatura acadêmica, a resistência à perfuração (ISO 12236/NBR 13359) determina a sobrevivência em campo durante a instalação sobre substratos rochosos e o tráfego de animais. A</w:t>
      </w:r>
      <w:r>
        <w:t xml:space="preserve"> </w:t>
      </w:r>
      <w:r>
        <w:rPr>
          <w:i/>
          <w:iCs/>
        </w:rPr>
        <w:t xml:space="preserve">Typha</w:t>
      </w:r>
      <w:r>
        <w:t xml:space="preserve"> </w:t>
      </w:r>
      <w:r>
        <w:t xml:space="preserve">tratada com NaOH apresentou cargas de perfuração superiores a 25 N·mm⁻² durante 120 dias (em comparação com 18 N · mm⁻² para sintéticos de massa equivalente), atribuídas à morfologia fibrosa que redistribui a tensão localizada por meio do atrito interfibras, em vez de deformação elástica .</w:t>
      </w:r>
    </w:p>
    <w:p>
      <w:pPr>
        <w:pStyle w:val="Corpodetexto"/>
      </w:pPr>
      <w:r>
        <w:t xml:space="preserve">A redução da resistência à perfuração ao longo do tempo seguiu uma cinética de lei de potência expressa por</w:t>
      </w:r>
      <w:r>
        <w:t xml:space="preserve"> </w:t>
      </w:r>
      <m:oMath>
        <m:sSub>
          <m:e>
            <m:r>
              <m:t>R</m:t>
            </m:r>
          </m:e>
          <m:sub>
            <m:r>
              <m:t>p</m:t>
            </m:r>
          </m:sub>
        </m:sSub>
        <m:r>
          <m:rPr>
            <m:sty m:val="p"/>
          </m:rPr>
          <m:t>(</m:t>
        </m:r>
        <m:r>
          <m:t>t</m:t>
        </m:r>
        <m:r>
          <m:rPr>
            <m:sty m:val="p"/>
          </m:rPr>
          <m:t>)</m:t>
        </m:r>
        <m:r>
          <m:rPr>
            <m:sty m:val="p"/>
          </m:rPr>
          <m:t>=</m:t>
        </m:r>
        <m:sSub>
          <m:e>
            <m:r>
              <m:t>R</m:t>
            </m:r>
          </m:e>
          <m:sub>
            <m:r>
              <m:t>p</m:t>
            </m:r>
            <m:r>
              <m:t>0</m:t>
            </m:r>
          </m:sub>
        </m:sSub>
        <m:r>
          <m:rPr>
            <m:sty m:val="p"/>
          </m:rPr>
          <m:t>⋅</m:t>
        </m:r>
        <m:sSup>
          <m:e>
            <m:r>
              <m:t>t</m:t>
            </m:r>
          </m:e>
          <m:sup>
            <m:r>
              <m:rPr>
                <m:sty m:val="p"/>
              </m:rPr>
              <m:t>−</m:t>
            </m:r>
            <m:r>
              <m:t>α</m:t>
            </m:r>
          </m:sup>
        </m:sSup>
      </m:oMath>
      <w:r>
        <w:t xml:space="preserve">, onde α = 0,16 para o tratamento com NaOH a 6% (R² = 0,82), indicando uma degradação previsível, passível de previsão determinística em horizontes de 6 meses. De forma crucial, o termo de interação (tratamento × tempo) no GLM apresentou p = 0,015 ( η² parcial = 0,137), confirmando que a eficácia do NaOH varia com o tempo, onde a proteção máxima ocorre durante o período de 30 a 90 dias, quando as redes radiculares da vegetação permanecem imaturas e a contribuição mecânica do geotêxtil é indispensável.</w:t>
      </w:r>
    </w:p>
    <w:p>
      <w:pPr>
        <w:pStyle w:val="Corpodetexto"/>
      </w:pPr>
      <w:r>
        <w:t xml:space="preserve">A extensão sob carga máxima, um indicador da capacidade de absorção de energia, demonstrou que tratamentos moderados (3–6% de NaOH) preservaram a ductilidade (ε entre 2,3 e 2,9%), enquanto altas concentrações (9% de NaOH) induziram fragilidade (ε de 1,8%). Para aplicações em taludes íngremes (&gt;30° de inclinação), onde o carregamento dinâmico proveniente do impulso do escoamento superficial predomina, a retenção da flexibilidade com 6% de NaOH justifica sua seleção, apesar da resistência à tração marginalmente inferior em relação ao tratamento com 9%.</w:t>
      </w:r>
    </w:p>
    <w:bookmarkEnd w:id="24"/>
    <w:bookmarkEnd w:id="25"/>
    <w:bookmarkStart w:id="28" w:name="X9b70420e4e97365357d57cb0c1054942603e7ff"/>
    <w:p>
      <w:pPr>
        <w:pStyle w:val="Ttulo2"/>
      </w:pPr>
      <w:r>
        <w:t xml:space="preserve">4. Confiabilidade Estrutural e Modelagem Estocástica de Degradação</w:t>
      </w:r>
    </w:p>
    <w:bookmarkStart w:id="26" w:name="X732a6bc4565be0404c5bbabe0c000bf8e10df94"/>
    <w:p>
      <w:pPr>
        <w:pStyle w:val="Ttulo3"/>
      </w:pPr>
      <w:r>
        <w:t xml:space="preserve">4.1. Fundamentos da Análise de Sobrevivência e Distribuição de Weibull</w:t>
      </w:r>
    </w:p>
    <w:p>
      <w:pPr>
        <w:pStyle w:val="FirstParagraph"/>
      </w:pPr>
      <w:r>
        <w:t xml:space="preserve">A degradação de geotêxteis naturais não segue cinética linear determinística, mas comporta-se como processo estocástico governado por falhas de elo mais fraco, onde a ruptura ocorre no ponto de menor resistência estrutural da fibra. A distribuição de Weibull fornece a estrutura matemática rigorosa para modelar essa confiabilidade, superando as limitações das médias aritméticas simples que mascaram a variabilidade intrínseca dos materiais biológicos. A função de densidade de probabilidade de Weibull de dois parâmetros é expressa por</w:t>
      </w:r>
      <w:r>
        <w:t xml:space="preserve"> </w:t>
      </w:r>
      <m:oMath>
        <m:r>
          <m:t>f</m:t>
        </m:r>
        <m:r>
          <m:rPr>
            <m:sty m:val="p"/>
          </m:rPr>
          <m:t>(</m:t>
        </m:r>
        <m:r>
          <m:t>t</m:t>
        </m:r>
        <m:r>
          <m:rPr>
            <m:sty m:val="p"/>
          </m:rPr>
          <m:t>)</m:t>
        </m:r>
        <m:r>
          <m:rPr>
            <m:sty m:val="p"/>
          </m:rPr>
          <m:t>=</m:t>
        </m:r>
        <m:r>
          <m:rPr>
            <m:sty m:val="p"/>
          </m:rPr>
          <m:t>(</m:t>
        </m:r>
        <m:r>
          <m:t>β</m:t>
        </m:r>
        <m:r>
          <m:rPr>
            <m:sty m:val="p"/>
          </m:rPr>
          <m:t>/</m:t>
        </m:r>
        <m:r>
          <m:t>η</m:t>
        </m:r>
        <m:r>
          <m:rPr>
            <m:sty m:val="p"/>
          </m:rPr>
          <m:t>)</m:t>
        </m:r>
        <m:r>
          <m:rPr>
            <m:sty m:val="p"/>
          </m:rPr>
          <m:t>(</m:t>
        </m:r>
        <m:r>
          <m:t>t</m:t>
        </m:r>
        <m:r>
          <m:rPr>
            <m:sty m:val="p"/>
          </m:rPr>
          <m:t>/</m:t>
        </m:r>
        <m:r>
          <m:t>η</m:t>
        </m:r>
        <m:sSup>
          <m:e>
            <m:r>
              <m:rPr>
                <m:sty m:val="p"/>
              </m:rPr>
              <m:t>)</m:t>
            </m:r>
          </m:e>
          <m:sup>
            <m:r>
              <m:t>β</m:t>
            </m:r>
            <m:r>
              <m:rPr>
                <m:sty m:val="p"/>
              </m:rPr>
              <m:t>−</m:t>
            </m:r>
            <m:r>
              <m:t>1</m:t>
            </m:r>
          </m:sup>
        </m:sSup>
        <m:sSup>
          <m:e>
            <m:r>
              <m:t>e</m:t>
            </m:r>
          </m:e>
          <m:sup>
            <m:r>
              <m:rPr>
                <m:sty m:val="p"/>
              </m:rPr>
              <m:t>−</m:t>
            </m:r>
            <m:r>
              <m:rPr>
                <m:sty m:val="p"/>
              </m:rPr>
              <m:t>(</m:t>
            </m:r>
            <m:r>
              <m:t>t</m:t>
            </m:r>
            <m:r>
              <m:rPr>
                <m:sty m:val="p"/>
              </m:rPr>
              <m:t>/</m:t>
            </m:r>
            <m:r>
              <m:t>η</m:t>
            </m:r>
            <m:sSup>
              <m:e>
                <m:r>
                  <m:rPr>
                    <m:sty m:val="p"/>
                  </m:rPr>
                  <m:t>)</m:t>
                </m:r>
              </m:e>
              <m:sup>
                <m:r>
                  <m:t>β</m:t>
                </m:r>
              </m:sup>
            </m:sSup>
          </m:sup>
        </m:sSup>
      </m:oMath>
      <w:r>
        <w:t xml:space="preserve">, onde</w:t>
      </w:r>
      <w:r>
        <w:t xml:space="preserve"> </w:t>
      </w:r>
      <m:oMath>
        <m:r>
          <m:t>t</m:t>
        </m:r>
      </m:oMath>
      <w:r>
        <w:t xml:space="preserve"> </w:t>
      </w:r>
      <w:r>
        <w:t xml:space="preserve">é o tempo de exposição,</w:t>
      </w:r>
      <w:r>
        <w:t xml:space="preserve"> </w:t>
      </w:r>
      <m:oMath>
        <m:r>
          <m:t>β</m:t>
        </m:r>
      </m:oMath>
      <w:r>
        <w:t xml:space="preserve"> </w:t>
      </w:r>
      <w:r>
        <w:t xml:space="preserve">é o parâmetro de forma (adimensional) que indica a física da falha, e</w:t>
      </w:r>
      <w:r>
        <w:t xml:space="preserve"> </w:t>
      </w:r>
      <m:oMath>
        <m:r>
          <m:t>η</m:t>
        </m:r>
      </m:oMath>
      <w:r>
        <w:t xml:space="preserve"> </w:t>
      </w:r>
      <w:r>
        <w:t xml:space="preserve">é o parâmetro de escala (dias) que representa a vida característica (tempo em que 63,2% das amostras falham). A função de confiabilidade complementar</w:t>
      </w:r>
      <w:r>
        <w:t xml:space="preserve"> </w:t>
      </w:r>
      <m:oMath>
        <m:r>
          <m:t>R</m:t>
        </m:r>
        <m:r>
          <m:rPr>
            <m:sty m:val="p"/>
          </m:rPr>
          <m:t>(</m:t>
        </m:r>
        <m:r>
          <m:t>t</m:t>
        </m:r>
        <m:r>
          <m:rPr>
            <m:sty m:val="p"/>
          </m:rPr>
          <m:t>)</m:t>
        </m:r>
        <m:r>
          <m:rPr>
            <m:sty m:val="p"/>
          </m:rPr>
          <m:t>=</m:t>
        </m:r>
        <m:sSup>
          <m:e>
            <m:r>
              <m:t>e</m:t>
            </m:r>
          </m:e>
          <m:sup>
            <m:r>
              <m:rPr>
                <m:sty m:val="p"/>
              </m:rPr>
              <m:t>−</m:t>
            </m:r>
            <m:r>
              <m:rPr>
                <m:sty m:val="p"/>
              </m:rPr>
              <m:t>(</m:t>
            </m:r>
            <m:r>
              <m:t>t</m:t>
            </m:r>
            <m:r>
              <m:rPr>
                <m:sty m:val="p"/>
              </m:rPr>
              <m:t>/</m:t>
            </m:r>
            <m:r>
              <m:t>η</m:t>
            </m:r>
            <m:sSup>
              <m:e>
                <m:r>
                  <m:rPr>
                    <m:sty m:val="p"/>
                  </m:rPr>
                  <m:t>)</m:t>
                </m:r>
              </m:e>
              <m:sup>
                <m:r>
                  <m:t>β</m:t>
                </m:r>
              </m:sup>
            </m:sSup>
          </m:sup>
        </m:sSup>
      </m:oMath>
      <w:r>
        <w:t xml:space="preserve"> </w:t>
      </w:r>
      <w:r>
        <w:t xml:space="preserve">quantifica a probabilidade de uma fibra manter sua integridade estrutural após o tempo</w:t>
      </w:r>
      <w:r>
        <w:t xml:space="preserve"> </w:t>
      </w:r>
      <m:oMath>
        <m:r>
          <m:t>t</m:t>
        </m:r>
      </m:oMath>
      <w:r>
        <w:t xml:space="preserve">.</w:t>
      </w:r>
    </w:p>
    <w:p>
      <w:pPr>
        <w:pStyle w:val="Corpodetexto"/>
      </w:pPr>
      <w:r>
        <w:t xml:space="preserve">A analose dos parâmetros de forma (</w:t>
      </w:r>
      <m:oMath>
        <m:r>
          <m:t>β</m:t>
        </m:r>
      </m:oMath>
      <w:r>
        <w:t xml:space="preserve">) revela a natureza dos mecanismos de degradação. Valores de</w:t>
      </w:r>
      <w:r>
        <w:t xml:space="preserve"> </w:t>
      </w:r>
      <m:oMath>
        <m:r>
          <m:t>β</m:t>
        </m:r>
        <m:r>
          <m:rPr>
            <m:sty m:val="p"/>
          </m:rPr>
          <m:t>&lt;</m:t>
        </m:r>
        <m:r>
          <m:t>1</m:t>
        </m:r>
      </m:oMath>
      <w:r>
        <w:t xml:space="preserve"> </w:t>
      </w:r>
      <w:r>
        <w:t xml:space="preserve">indicam taxas de falha decrescentes (mortalidade infantil), típicas de defeitos de fabricação iniciais. Valores de</w:t>
      </w:r>
      <w:r>
        <w:t xml:space="preserve"> </w:t>
      </w:r>
      <m:oMath>
        <m:r>
          <m:t>β</m:t>
        </m:r>
        <m:r>
          <m:rPr>
            <m:sty m:val="p"/>
          </m:rPr>
          <m:t>≈</m:t>
        </m:r>
        <m:r>
          <m:t>1</m:t>
        </m:r>
      </m:oMath>
      <w:r>
        <w:t xml:space="preserve"> </w:t>
      </w:r>
      <w:r>
        <w:t xml:space="preserve">sugerem taxas de falha constantes (aleatórias), características de danos acidentais. Os geotêxteis estudados exibiram consistentemente</w:t>
      </w:r>
      <w:r>
        <w:t xml:space="preserve"> </w:t>
      </w:r>
      <m:oMath>
        <m:r>
          <m:t>β</m:t>
        </m:r>
        <m:r>
          <m:rPr>
            <m:sty m:val="p"/>
          </m:rPr>
          <m:t>&gt;</m:t>
        </m:r>
        <m:r>
          <m:t>1</m:t>
        </m:r>
      </m:oMath>
      <w:r>
        <w:t xml:space="preserve"> </w:t>
      </w:r>
      <w:r>
        <w:t xml:space="preserve">(variando de 1,8 a 4,2), confirmando que a falha é impulsionada por mecanismos de desgaste progressivo e envelhecimento acumulativo, através de fadiga por hidrólise e UV. Essa evidência valida a hipótese de degradação dependente do tempo. Nosso conjunto de dados agregados para</w:t>
      </w:r>
      <w:r>
        <w:t xml:space="preserve"> </w:t>
      </w:r>
      <w:r>
        <w:rPr>
          <w:i/>
          <w:iCs/>
        </w:rPr>
        <w:t xml:space="preserve">Typha</w:t>
      </w:r>
      <w:r>
        <w:t xml:space="preserve"> </w:t>
      </w:r>
      <w:r>
        <w:t xml:space="preserve">não tratada produz estimativas de máxima verossimilhança (EMV) de β = 2,3 (IC 95%: 2,0–2,6) e η = 68 dias (IC 95%: 61–75 dias), confirmando o comportamento de desgaste.</w:t>
      </w:r>
    </w:p>
    <w:p>
      <w:pPr>
        <w:pStyle w:val="Corpodetexto"/>
      </w:pPr>
      <w:r>
        <w:t xml:space="preserve">A mercerização alcalina altera sistematicamente ambos os parâmetros de Weibull. O material não tratado apresenta parâmetro de forma β de 2,3 com parâmetro de escala η de 68 dias. Aplicando tratamento com 6% NaOH, o parâmetro β aumenta para 2,8 e η para 142 dias, estendendo a vida útil funcional. O aumento em β (2,3 para 3,1 com 9% NaOH) significa redução na variabilidade e início de falha mais acentuado, refletindo o efeito de homogeneização do tratamento químico que elimina pontos fracos de alta porosidade e ricos em lignina. Concomitantemente, a escalada de η indica deslocamento para a direita da distribuição de falhas, traduzindo-se diretamente em janelas de serviço mais longas.</w:t>
      </w:r>
    </w:p>
    <w:bookmarkEnd w:id="26"/>
    <w:bookmarkStart w:id="27" w:name="X944f340ec15c3002f216815698ac14c79f3a2a7"/>
    <w:p>
      <w:pPr>
        <w:pStyle w:val="Ttulo3"/>
      </w:pPr>
      <w:r>
        <w:t xml:space="preserve">4.2. Aplicação Prática, Parametrização da Vida Útil e Certificação</w:t>
      </w:r>
    </w:p>
    <w:p>
      <w:pPr>
        <w:pStyle w:val="FirstParagraph"/>
      </w:pPr>
      <w:r>
        <w:t xml:space="preserve">A Vida Útil Funcional (FSL), redefinida probabilisticamente como o tempo para atingir 10% de probabilidade de falha (</w:t>
      </w:r>
      <m:oMath>
        <m:sSub>
          <m:e>
            <m:r>
              <m:t>P</m:t>
            </m:r>
          </m:e>
          <m:sub>
            <m:r>
              <m:t>10</m:t>
            </m:r>
          </m:sub>
        </m:sSub>
      </m:oMath>
      <w:r>
        <w:t xml:space="preserve">), oferece um critério de projeto conservador para engenharia civil. Para fibras de</w:t>
      </w:r>
      <w:r>
        <w:t xml:space="preserve"> </w:t>
      </w:r>
      <w:r>
        <w:rPr>
          <w:i/>
          <w:iCs/>
        </w:rPr>
        <w:t xml:space="preserve">Typha</w:t>
      </w:r>
      <w:r>
        <w:t xml:space="preserve"> </w:t>
      </w:r>
      <w:r>
        <w:t xml:space="preserve">não tratadas, o</w:t>
      </w:r>
      <w:r>
        <w:t xml:space="preserve"> </w:t>
      </w:r>
      <m:oMath>
        <m:sSub>
          <m:e>
            <m:r>
              <m:t>P</m:t>
            </m:r>
          </m:e>
          <m:sub>
            <m:r>
              <m:t>10</m:t>
            </m:r>
          </m:sub>
        </m:sSub>
      </m:oMath>
      <w:r>
        <w:t xml:space="preserve"> </w:t>
      </w:r>
      <w:r>
        <w:t xml:space="preserve">ocorre aos 42 dias. O tratamento com NaOH a 6% desloca esse limiar para 95 dias, enquanto o revestimento com resina em</w:t>
      </w:r>
      <w:r>
        <w:t xml:space="preserve"> </w:t>
      </w:r>
      <w:r>
        <w:rPr>
          <w:i/>
          <w:iCs/>
        </w:rPr>
        <w:t xml:space="preserve">Syagrus</w:t>
      </w:r>
      <w:r>
        <w:t xml:space="preserve"> </w:t>
      </w:r>
      <w:r>
        <w:t xml:space="preserve">estende o</w:t>
      </w:r>
      <w:r>
        <w:t xml:space="preserve"> </w:t>
      </w:r>
      <m:oMath>
        <m:sSub>
          <m:e>
            <m:r>
              <m:t>P</m:t>
            </m:r>
          </m:e>
          <m:sub>
            <m:r>
              <m:t>10</m:t>
            </m:r>
          </m:sub>
        </m:sSub>
      </m:oMath>
      <w:r>
        <w:t xml:space="preserve"> </w:t>
      </w:r>
      <w:r>
        <w:t xml:space="preserve">para 128 dias. Essa métrica substitui a vaga</w:t>
      </w:r>
      <w:r>
        <w:t xml:space="preserve"> </w:t>
      </w:r>
      <w:r>
        <w:t xml:space="preserve">“durabilidade média”</w:t>
      </w:r>
      <w:r>
        <w:t xml:space="preserve"> </w:t>
      </w:r>
      <w:r>
        <w:t xml:space="preserve">por um parâmetro de confiabilidade quantificável (90% de sobrevivência), essencial para cálculos de fator de segurança em projetos de estabilidade de taludes.</w:t>
      </w:r>
    </w:p>
    <w:p>
      <w:pPr>
        <w:pStyle w:val="Corpodetexto"/>
      </w:pPr>
      <w:r>
        <w:t xml:space="preserve">A modagem preditiva permite a integração precisa com o cronograma de obras de bioengenharia. Se a vegetação requer 90 dias para estabelecer ancoragem radicular eficaz (fator de cobertura</w:t>
      </w:r>
      <w:r>
        <w:t xml:space="preserve"> </w:t>
      </w:r>
      <m:oMath>
        <m:r>
          <m:t>C</m:t>
        </m:r>
        <m:r>
          <m:rPr>
            <m:sty m:val="p"/>
          </m:rPr>
          <m:t>&lt;</m:t>
        </m:r>
        <m:r>
          <m:t>0</m:t>
        </m:r>
        <m:r>
          <m:rPr>
            <m:sty m:val="p"/>
          </m:rPr>
          <m:t>,</m:t>
        </m:r>
        <m:r>
          <m:t>05</m:t>
        </m:r>
      </m:oMath>
      <w:r>
        <w:t xml:space="preserve"> </w:t>
      </w:r>
      <w:r>
        <w:t xml:space="preserve">na equação USLE), o geotêxtil deve garantir</w:t>
      </w:r>
      <w:r>
        <w:t xml:space="preserve"> </w:t>
      </w:r>
      <m:oMath>
        <m:r>
          <m:t>R</m:t>
        </m:r>
        <m:r>
          <m:rPr>
            <m:sty m:val="p"/>
          </m:rPr>
          <m:t>(</m:t>
        </m:r>
        <m:r>
          <m:t>90</m:t>
        </m:r>
        <m:r>
          <m:rPr>
            <m:sty m:val="p"/>
          </m:rPr>
          <m:t>)</m:t>
        </m:r>
        <m:r>
          <m:rPr>
            <m:sty m:val="p"/>
          </m:rPr>
          <m:t>&gt;</m:t>
        </m:r>
        <m:r>
          <m:t>0</m:t>
        </m:r>
        <m:r>
          <m:rPr>
            <m:sty m:val="p"/>
          </m:rPr>
          <m:t>,</m:t>
        </m:r>
        <m:r>
          <m:t>8</m:t>
        </m:r>
      </m:oMath>
      <w:r>
        <w:t xml:space="preserve">. A análise mostra que fibras não tratadas falham nesse critério com</w:t>
      </w:r>
      <w:r>
        <w:t xml:space="preserve"> </w:t>
      </w:r>
      <m:oMath>
        <m:r>
          <m:t>R</m:t>
        </m:r>
        <m:r>
          <m:rPr>
            <m:sty m:val="p"/>
          </m:rPr>
          <m:t>(</m:t>
        </m:r>
        <m:r>
          <m:t>90</m:t>
        </m:r>
        <m:r>
          <m:rPr>
            <m:sty m:val="p"/>
          </m:rPr>
          <m:t>)</m:t>
        </m:r>
        <m:r>
          <m:rPr>
            <m:sty m:val="p"/>
          </m:rPr>
          <m:t>≈</m:t>
        </m:r>
        <m:r>
          <m:t>0</m:t>
        </m:r>
        <m:r>
          <m:rPr>
            <m:sty m:val="p"/>
          </m:rPr>
          <m:t>,</m:t>
        </m:r>
        <m:r>
          <m:t>15</m:t>
        </m:r>
      </m:oMath>
      <w:r>
        <w:t xml:space="preserve">, enquanto fibras tratadas com NaOH a 6% atendem marginalmente com</w:t>
      </w:r>
      <w:r>
        <w:t xml:space="preserve"> </w:t>
      </w:r>
      <m:oMath>
        <m:r>
          <m:t>R</m:t>
        </m:r>
        <m:r>
          <m:rPr>
            <m:sty m:val="p"/>
          </m:rPr>
          <m:t>(</m:t>
        </m:r>
        <m:r>
          <m:t>90</m:t>
        </m:r>
        <m:r>
          <m:rPr>
            <m:sty m:val="p"/>
          </m:rPr>
          <m:t>)</m:t>
        </m:r>
        <m:r>
          <m:rPr>
            <m:sty m:val="p"/>
          </m:rPr>
          <m:t>≈</m:t>
        </m:r>
        <m:r>
          <m:t>0</m:t>
        </m:r>
        <m:r>
          <m:rPr>
            <m:sty m:val="p"/>
          </m:rPr>
          <m:t>,</m:t>
        </m:r>
        <m:r>
          <m:t>78</m:t>
        </m:r>
      </m:oMath>
      <w:r>
        <w:t xml:space="preserve"> </w:t>
      </w:r>
      <w:r>
        <w:t xml:space="preserve">e fibras resinadas superam o requisito com</w:t>
      </w:r>
      <w:r>
        <w:t xml:space="preserve"> </w:t>
      </w:r>
      <m:oMath>
        <m:r>
          <m:t>R</m:t>
        </m:r>
        <m:r>
          <m:rPr>
            <m:sty m:val="p"/>
          </m:rPr>
          <m:t>(</m:t>
        </m:r>
        <m:r>
          <m:t>90</m:t>
        </m:r>
        <m:r>
          <m:rPr>
            <m:sty m:val="p"/>
          </m:rPr>
          <m:t>)</m:t>
        </m:r>
        <m:r>
          <m:rPr>
            <m:sty m:val="p"/>
          </m:rPr>
          <m:t>≈</m:t>
        </m:r>
        <m:r>
          <m:t>0</m:t>
        </m:r>
        <m:r>
          <m:rPr>
            <m:sty m:val="p"/>
          </m:rPr>
          <m:t>,</m:t>
        </m:r>
        <m:r>
          <m:t>92</m:t>
        </m:r>
      </m:oMath>
      <w:r>
        <w:t xml:space="preserve">. Além da resistência à tração máxima, a cinética de degradação manifesta-se igualmente na capacidade de alongamento (deformação por ruptura, ε) e na rigidez secante (</w:t>
      </w:r>
      <m:oMath>
        <m:sSub>
          <m:e>
            <m:r>
              <m:t>J</m:t>
            </m:r>
          </m:e>
          <m:sub>
            <m:r>
              <m:rPr>
                <m:nor/>
                <m:sty m:val="p"/>
              </m:rPr>
              <m:t>sec</m:t>
            </m:r>
          </m:sub>
        </m:sSub>
      </m:oMath>
      <w:r>
        <w:t xml:space="preserve">), parâmetros críticos para o desempenho sob cargas cíclicas e dinâmicas características de taludes sob ciclos chuvosos.</w:t>
      </w:r>
    </w:p>
    <w:p>
      <w:pPr>
        <w:pStyle w:val="Corpodetexto"/>
      </w:pPr>
      <w:r>
        <w:rPr>
          <w:b/>
          <w:bCs/>
        </w:rPr>
        <w:t xml:space="preserve">Confiabilidade Probabilística e VUF:</w:t>
      </w:r>
      <w:r>
        <w:t xml:space="preserve"> </w:t>
      </w:r>
      <w:r>
        <w:t xml:space="preserve">A análise de confiabilidade via distribuição de Weibull revelou que a Taboa tratada (β=3.1, η=140 dias) atinge o 10º percentil de falha (</w:t>
      </w:r>
      <w:r>
        <w:rPr>
          <w:i/>
          <w:iCs/>
        </w:rPr>
        <w:t xml:space="preserve">P</w:t>
      </w:r>
      <w:r>
        <w:t xml:space="preserve">₁₀) aos 98 dias, superando em 133% o controle não-tratado (</w:t>
      </w:r>
      <w:r>
        <w:rPr>
          <w:i/>
          <w:iCs/>
        </w:rPr>
        <w:t xml:space="preserve">P</w:t>
      </w:r>
      <w:r>
        <w:t xml:space="preserve">₁₀=42 dias) e garantindo probabilidade de sobrevivência de 85% durante toda a janela crítica de estabelecimento vegetal (120-180 dias). O parâmetro de forma β&gt;2 caracteriza um padrão de</w:t>
      </w:r>
      <w:r>
        <w:t xml:space="preserve"> </w:t>
      </w:r>
      <w:r>
        <w:t xml:space="preserve">“envelhecimento acelerado”</w:t>
      </w:r>
      <w:r>
        <w:t xml:space="preserve">, onde a taxa instantânea de falha aumenta com o tempo — comportamento típico de degradação biológica progressiva, em contraste com falhas aleatórias (β≈1) observadas em geotêxteis sintéticos sob estresse mecânico. A redução da taxa de degradação de</w:t>
      </w:r>
      <w:r>
        <w:t xml:space="preserve"> </w:t>
      </w:r>
      <w:r>
        <w:rPr>
          <w:i/>
          <w:iCs/>
        </w:rPr>
        <w:t xml:space="preserve">k</w:t>
      </w:r>
      <w:r>
        <w:t xml:space="preserve">=0.0118 para</w:t>
      </w:r>
      <w:r>
        <w:t xml:space="preserve"> </w:t>
      </w:r>
      <w:r>
        <w:rPr>
          <w:i/>
          <w:iCs/>
        </w:rPr>
        <w:t xml:space="preserve">k</w:t>
      </w:r>
      <w:r>
        <w:t xml:space="preserve">=0.0062 dia⁻¹ estende o tempo de meia-vida (</w:t>
      </w:r>
      <w:r>
        <w:rPr>
          <w:i/>
          <w:iCs/>
        </w:rPr>
        <w:t xml:space="preserve">t</w:t>
      </w:r>
      <w:r>
        <w:t xml:space="preserve">½) de 59 para 112 dias, validando a eficácia do tratamento superficial em escala temporal operacional e fornecendo parâmetros quantitativos para especificações de projeto baseadas em risco.</w:t>
      </w:r>
    </w:p>
    <w:p>
      <w:pPr>
        <w:pStyle w:val="Corpodetexto"/>
      </w:pPr>
      <w:r>
        <w:t xml:space="preserve">A análise de sensibilidade indica que a variabilidade do material (coeficiente de variação da resistência inicial) tem impacto desproporcional na confiabilidade a longo prazo. Reduzir a variabilidade inicial através de padronização do processo de extração das fibras é mais eficaz para aumentar o</w:t>
      </w:r>
      <w:r>
        <w:t xml:space="preserve"> </w:t>
      </w:r>
      <m:oMath>
        <m:sSub>
          <m:e>
            <m:r>
              <m:t>P</m:t>
            </m:r>
          </m:e>
          <m:sub>
            <m:r>
              <m:t>10</m:t>
            </m:r>
          </m:sub>
        </m:sSub>
      </m:oMath>
      <w:r>
        <w:t xml:space="preserve"> </w:t>
      </w:r>
      <w:r>
        <w:t xml:space="preserve">do que aumentar a resistência média absoluta. Processos de controle de qualidade que eliminam fibras com defeitos macroscópicos podem duplicar a vida útil funcional efetiva sem alterações químicas, puramente pelo estreitamento da distribuição de Weibull (aumento de</w:t>
      </w:r>
      <w:r>
        <w:t xml:space="preserve"> </w:t>
      </w:r>
      <m:oMath>
        <m:r>
          <m:t>β</m:t>
        </m:r>
      </m:oMath>
      <w:r>
        <w:t xml:space="preserve">).</w:t>
      </w:r>
    </w:p>
    <w:p>
      <w:pPr>
        <w:pStyle w:val="Corpodetexto"/>
      </w:pPr>
      <w:r>
        <w:t xml:space="preserve">A integração das métricas Weibull FSL e das equações preditivas GLM posiciona os geotêxteis de fibra natural para incorporação em estruturas regulatórias existentes (ASTM D4595, série ISO 10318). O protocolo de certificação proposto inclui: (1) Caracterização do lote com estimativa do parâmetro de Weibull; (2) Envelhecimento acelerado mediante exposição em câmara UV; (3) Modelagem preditiva através da calibração do GLM para climas regionais; e (4) Garantia da qualidade utilizando gráficos de controle. Esta estrutura transcende o empirismo artesanal, fornecendo documentação pronta para auditoria para aquisição por agências governamentais e bancos multilaterais de desenvolvimento.</w:t>
      </w:r>
    </w:p>
    <w:p>
      <w:pPr>
        <w:pStyle w:val="Corpodetexto"/>
      </w:pPr>
      <w:r>
        <w:t xml:space="preserve">O modelo parcimonioso final para</w:t>
      </w:r>
      <w:r>
        <w:t xml:space="preserve"> </w:t>
      </w:r>
      <w:r>
        <w:rPr>
          <w:i/>
          <w:iCs/>
        </w:rPr>
        <w:t xml:space="preserve">Typha</w:t>
      </w:r>
      <w:r>
        <w:t xml:space="preserve"> </w:t>
      </w:r>
      <w:r>
        <w:t xml:space="preserve">integra degradação intrínseca e aceleração UV:</w:t>
      </w:r>
      <w:r>
        <w:t xml:space="preserve"> </w:t>
      </w:r>
      <m:oMath>
        <m:r>
          <m:t>σ</m:t>
        </m:r>
        <m:r>
          <m:rPr>
            <m:sty m:val="p"/>
          </m:rPr>
          <m:t>(</m:t>
        </m:r>
        <m:r>
          <m:t>t</m:t>
        </m:r>
        <m:r>
          <m:rPr>
            <m:sty m:val="p"/>
          </m:rPr>
          <m:t>)</m:t>
        </m:r>
        <m:r>
          <m:rPr>
            <m:sty m:val="p"/>
          </m:rPr>
          <m:t>=</m:t>
        </m:r>
        <m:sSub>
          <m:e>
            <m:r>
              <m:t>σ</m:t>
            </m:r>
          </m:e>
          <m:sub>
            <m:r>
              <m:t>0</m:t>
            </m:r>
          </m:sub>
        </m:sSub>
        <m:r>
          <m:rPr>
            <m:sty m:val="p"/>
          </m:rPr>
          <m:t>⋅</m:t>
        </m:r>
        <m:r>
          <m:rPr>
            <m:sty m:val="p"/>
          </m:rPr>
          <m:t>exp</m:t>
        </m:r>
        <m:r>
          <m:rPr>
            <m:sty m:val="p"/>
          </m:rPr>
          <m:t>[</m:t>
        </m:r>
        <m:r>
          <m:rPr>
            <m:sty m:val="p"/>
          </m:rPr>
          <m:t>−</m:t>
        </m:r>
        <m:r>
          <m:t>k</m:t>
        </m:r>
        <m:r>
          <m:rPr>
            <m:sty m:val="p"/>
          </m:rPr>
          <m:t>⋅</m:t>
        </m:r>
        <m:r>
          <m:t>t</m:t>
        </m:r>
        <m:r>
          <m:rPr>
            <m:sty m:val="p"/>
          </m:rPr>
          <m:t>⋅</m:t>
        </m:r>
        <m:r>
          <m:rPr>
            <m:sty m:val="p"/>
          </m:rPr>
          <m:t>(</m:t>
        </m:r>
        <m:r>
          <m:t>1</m:t>
        </m:r>
        <m:r>
          <m:rPr>
            <m:sty m:val="p"/>
          </m:rPr>
          <m:t>+</m:t>
        </m:r>
        <m:r>
          <m:t>0</m:t>
        </m:r>
        <m:r>
          <m:rPr>
            <m:sty m:val="p"/>
          </m:rPr>
          <m:t>,</m:t>
        </m:r>
        <m:r>
          <m:t>30</m:t>
        </m:r>
        <m:r>
          <m:rPr>
            <m:sty m:val="p"/>
          </m:rPr>
          <m:t>⋅</m:t>
        </m:r>
        <m:sSub>
          <m:e>
            <m:r>
              <m:rPr>
                <m:nor/>
                <m:sty m:val="p"/>
              </m:rPr>
              <m:t>UV</m:t>
            </m:r>
          </m:e>
          <m:sub>
            <m:r>
              <m:rPr>
                <m:nor/>
                <m:sty m:val="p"/>
              </m:rPr>
              <m:t>índice</m:t>
            </m:r>
          </m:sub>
        </m:sSub>
        <m:r>
          <m:rPr>
            <m:sty m:val="p"/>
          </m:rPr>
          <m:t>)</m:t>
        </m:r>
        <m:r>
          <m:rPr>
            <m:sty m:val="p"/>
          </m:rPr>
          <m:t>]</m:t>
        </m:r>
      </m:oMath>
      <w:r>
        <w:t xml:space="preserve">, onde</w:t>
      </w:r>
      <w:r>
        <w:t xml:space="preserve"> </w:t>
      </w:r>
      <m:oMath>
        <m:sSub>
          <m:e>
            <m:r>
              <m:t>σ</m:t>
            </m:r>
          </m:e>
          <m:sub>
            <m:r>
              <m:t>0</m:t>
            </m:r>
          </m:sub>
        </m:sSub>
      </m:oMath>
      <w:r>
        <w:t xml:space="preserve"> </w:t>
      </w:r>
      <w:r>
        <w:t xml:space="preserve">= 21,4 N·mm⁻² (resistência inicial de NaOH a 6%), k = 0,0073 dia⁻¹ (taxa de degradação intrínseca) e o fator de correção UV (0,30) quantifica a aceleração da fotodegradação. A validação do modelo mediante validação cruzada de 10 repetições resultou em R² = 0,87 (previsto vs. observado), RMSE = 2,1 N·mm⁻², confirmando a adequação preditiva para especificações de engenharia.</w:t>
      </w:r>
    </w:p>
    <w:p>
      <w:r>
        <w:pict>
          <v:rect style="width:0;height:1.5pt" o:hralign="center" o:hrstd="t" o:hr="t"/>
        </w:pict>
      </w:r>
    </w:p>
    <w:bookmarkEnd w:id="27"/>
    <w:bookmarkEnd w:id="28"/>
    <w:bookmarkStart w:id="32" w:name="X603abd26a910d0e2c71c5d400e2cfced1916136"/>
    <w:p>
      <w:pPr>
        <w:pStyle w:val="Ttulo2"/>
      </w:pPr>
      <w:r>
        <w:t xml:space="preserve">5. Validação Biogeoquímica em Campo e Serviços Ecossistêmicos</w:t>
      </w:r>
    </w:p>
    <w:bookmarkStart w:id="29" w:name="Xa453e8a02c4962ddd19de21f1e22995b35aacab"/>
    <w:p>
      <w:pPr>
        <w:pStyle w:val="Ttulo3"/>
      </w:pPr>
      <w:r>
        <w:t xml:space="preserve">5.1. Sequestro de Carbono, Ciclagem de Nutrientes e Formação de Agregados</w:t>
      </w:r>
    </w:p>
    <w:p>
      <w:pPr>
        <w:pStyle w:val="FirstParagraph"/>
      </w:pPr>
      <w:r>
        <w:t xml:space="preserve">Enquanto os geotêxteis sintéticos persistem como barreiras inertes por décadas</w:t>
      </w:r>
      <w:r>
        <w:t xml:space="preserve"> </w:t>
      </w:r>
      <w:r>
        <w:t xml:space="preserve">(Barreira-Pinto et al., 2023; Carneiro et al., 2018)</w:t>
      </w:r>
      <w:r>
        <w:t xml:space="preserve">, os sistemas lignocelulósicos operam como intervenções biogeoquímicas nas quais a degradação programada constitui um serviço ecossistêmico. Durante o período de serviço funcional de 120 a 180 dias, os polímeros lignocelulósicos sofrem hidrólise enzimática por consórcios microbianos do solo (fungos</w:t>
      </w:r>
      <w:r>
        <w:t xml:space="preserve"> </w:t>
      </w:r>
      <w:r>
        <w:rPr>
          <w:i/>
          <w:iCs/>
        </w:rPr>
        <w:t xml:space="preserve">Trichoderma</w:t>
      </w:r>
      <w:r>
        <w:t xml:space="preserve">,</w:t>
      </w:r>
      <w:r>
        <w:t xml:space="preserve"> </w:t>
      </w:r>
      <w:r>
        <w:rPr>
          <w:i/>
          <w:iCs/>
        </w:rPr>
        <w:t xml:space="preserve">Aspergillus</w:t>
      </w:r>
      <w:r>
        <w:t xml:space="preserve">,</w:t>
      </w:r>
      <w:r>
        <w:t xml:space="preserve"> </w:t>
      </w:r>
      <w:r>
        <w:rPr>
          <w:i/>
          <w:iCs/>
        </w:rPr>
        <w:t xml:space="preserve">Penicillium</w:t>
      </w:r>
      <w:r>
        <w:t xml:space="preserve">; bactérias</w:t>
      </w:r>
      <w:r>
        <w:t xml:space="preserve"> </w:t>
      </w:r>
      <w:r>
        <w:rPr>
          <w:i/>
          <w:iCs/>
        </w:rPr>
        <w:t xml:space="preserve">Bacillus</w:t>
      </w:r>
      <w:r>
        <w:t xml:space="preserve">,</w:t>
      </w:r>
      <w:r>
        <w:t xml:space="preserve"> </w:t>
      </w:r>
      <w:r>
        <w:rPr>
          <w:i/>
          <w:iCs/>
        </w:rPr>
        <w:t xml:space="preserve">Pseudomonas</w:t>
      </w:r>
      <w:r>
        <w:t xml:space="preserve">), liberando pulsos controlados de carbono lábil juntamente com compostos aromáticos recalcitrantes</w:t>
      </w:r>
      <w:r>
        <w:t xml:space="preserve"> </w:t>
      </w:r>
      <w:r>
        <w:t xml:space="preserve">(</w:t>
      </w:r>
      <w:r>
        <w:t xml:space="preserve">Rodríguez &amp; et al.</w:t>
      </w:r>
      <w:r>
        <w:t xml:space="preserve">, 2023)</w:t>
      </w:r>
      <w:r>
        <w:t xml:space="preserve">.</w:t>
      </w:r>
    </w:p>
    <w:p>
      <w:pPr>
        <w:pStyle w:val="Corpodetexto"/>
      </w:pPr>
      <w:r>
        <w:t xml:space="preserve">Para geotêxteis de</w:t>
      </w:r>
      <w:r>
        <w:t xml:space="preserve"> </w:t>
      </w:r>
      <w:r>
        <w:rPr>
          <w:i/>
          <w:iCs/>
        </w:rPr>
        <w:t xml:space="preserve">Typha</w:t>
      </w:r>
      <w:r>
        <w:t xml:space="preserve"> </w:t>
      </w:r>
      <w:r>
        <w:t xml:space="preserve">(celulose: 48%, lignina: 22%, L/C = 0,46), cálculos de balanço de massa indicam que um geotêxtil de 1,0 m² (massa: 350 g·m⁻², celulose-C: 168 g·m⁻², lignina-C: 77 g·m⁻²) mineraliza aproximadamente 60% da celulose ao longo de 180 dias (100,8 g C·m⁻²), enquanto retém 65% da lignina como resíduos humificados (50,1 g C·m⁻²)</w:t>
      </w:r>
      <w:r>
        <w:t xml:space="preserve"> </w:t>
      </w:r>
      <w:r>
        <w:t xml:space="preserve">(Liu et al., 2008)</w:t>
      </w:r>
      <w:r>
        <w:t xml:space="preserve">. A eficiência de humificação (H</w:t>
      </w:r>
      <w:r>
        <w:rPr>
          <w:vertAlign w:val="subscript"/>
        </w:rPr>
        <w:t xml:space="preserve">eff</w:t>
      </w:r>
      <w:r>
        <w:t xml:space="preserve">), definida como fração do carbono sequestrada como matéria orgânica estável, varia de 0,25 a 0,35 em condições tropicais</w:t>
      </w:r>
      <w:r>
        <w:t xml:space="preserve"> </w:t>
      </w:r>
      <w:r>
        <w:t xml:space="preserve">(Brady &amp; Weil, 2009)</w:t>
      </w:r>
      <w:r>
        <w:t xml:space="preserve">, resultando em sequestro líquido de carbono de 12–18 g C·m⁻² por implantação.</w:t>
      </w:r>
    </w:p>
    <w:p>
      <w:pPr>
        <w:pStyle w:val="Corpodetexto"/>
      </w:pPr>
      <w:r>
        <w:t xml:space="preserve">Em escala de campo, o sequestro agregado de carbono atinge 42–63 kg C por instalação (5.000 m² de taludes com 70% de cobertura), equivalente a 0,8–1,2 Mg C·ha⁻¹. Essa magnitude representa 15–20% das taxas anuais de acúmulo de carbono orgânico do solo em sistemas de plantio direto</w:t>
      </w:r>
      <w:r>
        <w:t xml:space="preserve"> </w:t>
      </w:r>
      <w:r>
        <w:t xml:space="preserve">(Borrelli et al., 2017)</w:t>
      </w:r>
      <w:r>
        <w:t xml:space="preserve"> </w:t>
      </w:r>
      <w:r>
        <w:t xml:space="preserve">(acúmulo típico: 0,4–0,6 Mg C·ha⁻¹·ano⁻¹ em Oxissolos tropicais), com concentração espacial em zonas vulneráveis à erosão (concavidades de taludes, margens de ravinas) criando</w:t>
      </w:r>
      <w:r>
        <w:t xml:space="preserve"> </w:t>
      </w:r>
      <w:r>
        <w:t xml:space="preserve">“pontos quentes”</w:t>
      </w:r>
      <w:r>
        <w:t xml:space="preserve"> </w:t>
      </w:r>
      <w:r>
        <w:t xml:space="preserve">biogeoquímicos que influenciam desproporcionalmente a produção de sedimentos da bacia hidrográfica.</w:t>
      </w:r>
    </w:p>
    <w:p>
      <w:pPr>
        <w:pStyle w:val="Corpodetexto"/>
      </w:pPr>
      <w:r>
        <w:t xml:space="preserve">As fibras lignocelulósicas apresentam relações C:N de 40:1 a 80:1 (</w:t>
      </w:r>
      <w:r>
        <w:rPr>
          <w:i/>
          <w:iCs/>
        </w:rPr>
        <w:t xml:space="preserve">Typha</w:t>
      </w:r>
      <w:r>
        <w:t xml:space="preserve"> </w:t>
      </w:r>
      <w:r>
        <w:t xml:space="preserve">rica em celulose: 55:1;</w:t>
      </w:r>
      <w:r>
        <w:t xml:space="preserve"> </w:t>
      </w:r>
      <w:r>
        <w:rPr>
          <w:i/>
          <w:iCs/>
        </w:rPr>
        <w:t xml:space="preserve">Syagrus</w:t>
      </w:r>
      <w:r>
        <w:t xml:space="preserve"> </w:t>
      </w:r>
      <w:r>
        <w:t xml:space="preserve">rica em lignina: 72:1), excedendo substancialmente os ótimos microbianos (8:1–12:1)</w:t>
      </w:r>
      <w:r>
        <w:t xml:space="preserve"> </w:t>
      </w:r>
      <w:r>
        <w:t xml:space="preserve">(Brady &amp; Weil, 2009)</w:t>
      </w:r>
      <w:r>
        <w:t xml:space="preserve">. Esse desequilíbrio estequiométrico induz imobilização transitória de nitrogênio (N) durante a fase inicial da decomposição (0–60 dias), à medida que microrganismos heterotróficos sequestram N mineral (NH₄⁺, NO₃⁻) da solução do solo para sustentar síntese de enzimas celulolíticas. Observações empíricas documentaram redução de 12–18% no N disponível para plantas (N</w:t>
      </w:r>
      <w:r>
        <w:rPr>
          <w:vertAlign w:val="subscript"/>
        </w:rPr>
        <w:t xml:space="preserve">min</w:t>
      </w:r>
      <w:r>
        <w:t xml:space="preserve">: NH₄⁺ + NO₃⁻) no horizonte 0–10 cm durante os primeiros 45 dias, seguida por remineralização à medida que necromassa microbiana libera N organicamente ligado.</w:t>
      </w:r>
    </w:p>
    <w:p>
      <w:pPr>
        <w:pStyle w:val="Corpodetexto"/>
      </w:pPr>
      <w:r>
        <w:t xml:space="preserve">Contudo, essa dinâmica temporal de sequestro e liberação de N sincroniza-se beneficamente com cronogramas de estabelecimento vegetal: espécies herbáceas (</w:t>
      </w:r>
      <w:r>
        <w:rPr>
          <w:i/>
          <w:iCs/>
        </w:rPr>
        <w:t xml:space="preserve">Vetiveria zizanioides</w:t>
      </w:r>
      <w:r>
        <w:t xml:space="preserve">,</w:t>
      </w:r>
      <w:r>
        <w:t xml:space="preserve"> </w:t>
      </w:r>
      <w:r>
        <w:rPr>
          <w:i/>
          <w:iCs/>
        </w:rPr>
        <w:t xml:space="preserve">Chrysopogon zizanioides</w:t>
      </w:r>
      <w:r>
        <w:t xml:space="preserve">) implantadas simultaneamente com geotêxteis experimentam competição mínima por N durante expansão radicular (0–30 dias), já que demanda de N de plântulas permanece abaixo de 2 kg N·ha⁻¹. Entre 60–90 dias, quando absorção de N pela vegetação acelera (pico de demanda: 8–12 kg N·ha⁻¹·mês⁻¹), a imobilização microbiana de N se inverte, fornecendo N mineralizado a taxas de 0,8–1,2 kg N·ha⁻¹·semana⁻¹ mediante despolimerização enzimática de proteínas e ácidos nucleicos microbianos.</w:t>
      </w:r>
    </w:p>
    <w:p>
      <w:pPr>
        <w:pStyle w:val="Corpodetexto"/>
      </w:pPr>
      <w:r>
        <w:t xml:space="preserve">O fósforo exibe cinética distinta. A decomposição lignocelulósica estimula atividade de fosfatase (fosfatase alcalina: 2,5–4,0 μmol p-nitrofenol·g⁻¹·h⁻¹ em solos com geotêxtil vs. 1,2–1,8 μmol·g⁻¹·h⁻¹ em controles), aumentando mineralização de P orgânico da matéria orgânica do solo. Aliado à acidificação gerada por exsudação de ácidos orgânicos (ácidos acético e oxálico provenientes do metabolismo fúngico), esse ambiente bioquímico aumenta disponibilidade de P em 15–25% na microzona da rizosfera (0–2 mm da superfície radicular)</w:t>
      </w:r>
      <w:r>
        <w:t xml:space="preserve"> </w:t>
      </w:r>
      <w:r>
        <w:t xml:space="preserve">(Rillig et al., 2002)</w:t>
      </w:r>
      <w:r>
        <w:t xml:space="preserve">, conforme quantificado pela técnica de gradientes difusivos em filmes finos (DGT). A integração de geotêxteis em solos tropicais pobres em nutrientes (Oxissolos: P disponível &lt; 5 mg·kg⁻¹, K trocável &lt; 0,15 cmol·kg⁻¹) funciona como mecanismo de ativação biogeoquímica, elevando transitoriamente taxas de ciclagem de nutrientes e facilitando estabelecimento vegetal sem fertilizantes exógenos.</w:t>
      </w:r>
    </w:p>
    <w:p>
      <w:pPr>
        <w:pStyle w:val="Corpodetexto"/>
      </w:pPr>
      <w:r>
        <w:t xml:space="preserve">A estabilidade dos agregados do solo constitui o principal determinante da resistência à erosão. A decomposição lignocelulósica aumenta a agregação mediante três mecanismos simultâneos: (i) entrelaçamento físico por resíduos fibrosos, (ii) cimentação bioquímica via exopolissacarídeos microbianos (EPS) e (iii) associação organomineral mediante pontes de cátions polivalentes (Ca²⁺, Fe³⁺)</w:t>
      </w:r>
      <w:r>
        <w:t xml:space="preserve"> </w:t>
      </w:r>
      <w:r>
        <w:t xml:space="preserve">(Kemper &amp; Rosenau, 1986; Rillig et al., 2002)</w:t>
      </w:r>
      <w:r>
        <w:t xml:space="preserve">. Amostragens de campo documentaram aumentos significativos em agregados estáveis em água (AEA &gt; 0,25 mm): 58,3 ± 4,2% em parcelas tratadas versus 42,1 ± 3,8% em controles (Δ = +16,2 pontos percentuais, p = 0,003). O diâmetro médio ponderado (DMP) melhorou de 0,87 mm para 1,24 mm, representando aumento de 42,5%. Essas melhorias estruturais traduzem-se diretamente em mitigação de erosão: cálculos da Equação Universal de Perda de Solo (USLE) indicam que aumento de 15 pontos percentuais em AEA corresponde a redução de 30–40% na taxa de desprendimento do solo (fator K), mantendo-se inclinação e precipitação constantes.</w:t>
      </w:r>
    </w:p>
    <w:p>
      <w:pPr>
        <w:pStyle w:val="Corpodetexto"/>
      </w:pPr>
      <w:r>
        <w:rPr>
          <w:b/>
          <w:bCs/>
        </w:rPr>
        <w:t xml:space="preserve">Tabela 2.</w:t>
      </w:r>
      <w:r>
        <w:t xml:space="preserve"> </w:t>
      </w:r>
      <w:r>
        <w:t xml:space="preserve">Parâmetros de textura superficial e propriedades estruturais do solo após 180 dias de incubação com geotêxteis de</w:t>
      </w:r>
      <w:r>
        <w:t xml:space="preserve"> </w:t>
      </w:r>
      <w:r>
        <w:rPr>
          <w:i/>
          <w:iCs/>
        </w:rPr>
        <w:t xml:space="preserve">Typha domingensis</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Parâmetro</w:t>
            </w:r>
          </w:p>
        </w:tc>
        <w:tc>
          <w:tcPr/>
          <w:p>
            <w:pPr>
              <w:pStyle w:val="Compact"/>
            </w:pPr>
            <w:r>
              <w:rPr>
                <w:b/>
                <w:bCs/>
              </w:rPr>
              <w:t xml:space="preserve">Controle (sem geotêxtil)</w:t>
            </w:r>
          </w:p>
        </w:tc>
        <w:tc>
          <w:tcPr/>
          <w:p>
            <w:pPr>
              <w:pStyle w:val="Compact"/>
            </w:pPr>
            <w:r>
              <w:rPr>
                <w:b/>
                <w:bCs/>
              </w:rPr>
              <w:t xml:space="preserve">Geotêxtil</w:t>
            </w:r>
            <w:r>
              <w:rPr>
                <w:b/>
                <w:bCs/>
              </w:rPr>
              <w:t xml:space="preserve"> </w:t>
            </w:r>
            <w:r>
              <w:rPr>
                <w:b/>
                <w:bCs/>
                <w:i/>
                <w:iCs/>
              </w:rPr>
              <w:t xml:space="preserve">Typha</w:t>
            </w:r>
            <w:r>
              <w:rPr>
                <w:b/>
                <w:bCs/>
              </w:rPr>
              <w:t xml:space="preserve"> </w:t>
            </w:r>
            <w:r>
              <w:rPr>
                <w:b/>
                <w:bCs/>
              </w:rPr>
              <w:t xml:space="preserve">6% NaOH</w:t>
            </w:r>
          </w:p>
        </w:tc>
        <w:tc>
          <w:tcPr/>
          <w:p>
            <w:pPr>
              <w:pStyle w:val="Compact"/>
            </w:pPr>
            <w:r>
              <w:rPr>
                <w:b/>
                <w:bCs/>
              </w:rPr>
              <w:t xml:space="preserve">Δ absoluta</w:t>
            </w:r>
          </w:p>
        </w:tc>
        <w:tc>
          <w:tcPr/>
          <w:p>
            <w:pPr>
              <w:pStyle w:val="Compact"/>
            </w:pPr>
            <w:r>
              <w:rPr>
                <w:b/>
                <w:bCs/>
              </w:rPr>
              <w:t xml:space="preserve">Δ relativa (%)</w:t>
            </w:r>
          </w:p>
        </w:tc>
        <w:tc>
          <w:tcPr/>
          <w:p>
            <w:pPr>
              <w:pStyle w:val="Compact"/>
            </w:pPr>
            <w:r>
              <w:rPr>
                <w:b/>
                <w:bCs/>
              </w:rPr>
              <w:t xml:space="preserve">Significância</w:t>
            </w:r>
          </w:p>
        </w:tc>
      </w:tr>
      <w:tr>
        <w:tc>
          <w:tcPr/>
          <w:p>
            <w:pPr>
              <w:pStyle w:val="Compact"/>
            </w:pPr>
            <w:r>
              <w:rPr>
                <w:b/>
                <w:bCs/>
              </w:rPr>
              <w:t xml:space="preserve">Agregação e Estrutura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Agregados estáveis (AEA, %)</w:t>
            </w:r>
          </w:p>
        </w:tc>
        <w:tc>
          <w:tcPr/>
          <w:p>
            <w:pPr>
              <w:pStyle w:val="Compact"/>
            </w:pPr>
            <w:r>
              <w:t xml:space="preserve">42,1 ± 3,8</w:t>
            </w:r>
          </w:p>
        </w:tc>
        <w:tc>
          <w:tcPr/>
          <w:p>
            <w:pPr>
              <w:pStyle w:val="Compact"/>
            </w:pPr>
            <w:r>
              <w:t xml:space="preserve">58,3 ± 4,2</w:t>
            </w:r>
          </w:p>
        </w:tc>
        <w:tc>
          <w:tcPr/>
          <w:p>
            <w:pPr>
              <w:pStyle w:val="Compact"/>
            </w:pPr>
            <w:r>
              <w:t xml:space="preserve">+16,2</w:t>
            </w:r>
          </w:p>
        </w:tc>
        <w:tc>
          <w:tcPr/>
          <w:p>
            <w:pPr>
              <w:pStyle w:val="Compact"/>
            </w:pPr>
            <w:r>
              <w:t xml:space="preserve">+38,5</w:t>
            </w:r>
          </w:p>
        </w:tc>
        <w:tc>
          <w:tcPr/>
          <w:p>
            <w:pPr>
              <w:pStyle w:val="Compact"/>
            </w:pPr>
            <w:r>
              <w:t xml:space="preserve">p = 0,003**</w:t>
            </w:r>
          </w:p>
        </w:tc>
      </w:tr>
      <w:tr>
        <w:tc>
          <w:tcPr/>
          <w:p>
            <w:pPr>
              <w:pStyle w:val="Compact"/>
            </w:pPr>
            <w:r>
              <w:t xml:space="preserve">Diâmetro médio ponderado (mm)</w:t>
            </w:r>
          </w:p>
        </w:tc>
        <w:tc>
          <w:tcPr/>
          <w:p>
            <w:pPr>
              <w:pStyle w:val="Compact"/>
            </w:pPr>
            <w:r>
              <w:t xml:space="preserve">0,87 ± 0,11</w:t>
            </w:r>
          </w:p>
        </w:tc>
        <w:tc>
          <w:tcPr/>
          <w:p>
            <w:pPr>
              <w:pStyle w:val="Compact"/>
            </w:pPr>
            <w:r>
              <w:t xml:space="preserve">1,24 ± 0,09</w:t>
            </w:r>
          </w:p>
        </w:tc>
        <w:tc>
          <w:tcPr/>
          <w:p>
            <w:pPr>
              <w:pStyle w:val="Compact"/>
            </w:pPr>
            <w:r>
              <w:t xml:space="preserve">+0,37</w:t>
            </w:r>
          </w:p>
        </w:tc>
        <w:tc>
          <w:tcPr/>
          <w:p>
            <w:pPr>
              <w:pStyle w:val="Compact"/>
            </w:pPr>
            <w:r>
              <w:t xml:space="preserve">+42,5</w:t>
            </w:r>
          </w:p>
        </w:tc>
        <w:tc>
          <w:tcPr/>
          <w:p>
            <w:pPr>
              <w:pStyle w:val="Compact"/>
            </w:pPr>
            <w:r>
              <w:t xml:space="preserve">p &lt; 0,01**</w:t>
            </w:r>
          </w:p>
        </w:tc>
      </w:tr>
      <w:tr>
        <w:tc>
          <w:tcPr/>
          <w:p>
            <w:pPr>
              <w:pStyle w:val="Compact"/>
            </w:pPr>
            <w:r>
              <w:rPr>
                <w:b/>
                <w:bCs/>
              </w:rPr>
              <w:t xml:space="preserve">Atividade Microbiana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Densidade de hifas fúngicas (m·g⁻¹)</w:t>
            </w:r>
          </w:p>
        </w:tc>
        <w:tc>
          <w:tcPr/>
          <w:p>
            <w:pPr>
              <w:pStyle w:val="Compact"/>
            </w:pPr>
            <w:r>
              <w:t xml:space="preserve">8,2 ± 1,5</w:t>
            </w:r>
          </w:p>
        </w:tc>
        <w:tc>
          <w:tcPr/>
          <w:p>
            <w:pPr>
              <w:pStyle w:val="Compact"/>
            </w:pPr>
            <w:r>
              <w:t xml:space="preserve">21,6 ± 2,8</w:t>
            </w:r>
          </w:p>
        </w:tc>
        <w:tc>
          <w:tcPr/>
          <w:p>
            <w:pPr>
              <w:pStyle w:val="Compact"/>
            </w:pPr>
            <w:r>
              <w:t xml:space="preserve">+13,4</w:t>
            </w:r>
          </w:p>
        </w:tc>
        <w:tc>
          <w:tcPr/>
          <w:p>
            <w:pPr>
              <w:pStyle w:val="Compact"/>
            </w:pPr>
            <w:r>
              <w:t xml:space="preserve">+163,4</w:t>
            </w:r>
          </w:p>
        </w:tc>
        <w:tc>
          <w:tcPr/>
          <w:p>
            <w:pPr>
              <w:pStyle w:val="Compact"/>
            </w:pPr>
            <w:r>
              <w:t xml:space="preserve">p &lt; 0,001***</w:t>
            </w:r>
          </w:p>
        </w:tc>
      </w:tr>
      <w:tr>
        <w:tc>
          <w:tcPr/>
          <w:p>
            <w:pPr>
              <w:pStyle w:val="Compact"/>
            </w:pPr>
            <w:r>
              <w:t xml:space="preserve">Exopolissacarídeos (mg glic. equiv.·g⁻¹)</w:t>
            </w:r>
          </w:p>
        </w:tc>
        <w:tc>
          <w:tcPr/>
          <w:p>
            <w:pPr>
              <w:pStyle w:val="Compact"/>
            </w:pPr>
            <w:r>
              <w:t xml:space="preserve">1,2 ± 0,3</w:t>
            </w:r>
          </w:p>
        </w:tc>
        <w:tc>
          <w:tcPr/>
          <w:p>
            <w:pPr>
              <w:pStyle w:val="Compact"/>
            </w:pPr>
            <w:r>
              <w:t xml:space="preserve">3,1 ± 0,4</w:t>
            </w:r>
          </w:p>
        </w:tc>
        <w:tc>
          <w:tcPr/>
          <w:p>
            <w:pPr>
              <w:pStyle w:val="Compact"/>
            </w:pPr>
            <w:r>
              <w:t xml:space="preserve">+1,9</w:t>
            </w:r>
          </w:p>
        </w:tc>
        <w:tc>
          <w:tcPr/>
          <w:p>
            <w:pPr>
              <w:pStyle w:val="Compact"/>
            </w:pPr>
            <w:r>
              <w:t xml:space="preserve">+158,3</w:t>
            </w:r>
          </w:p>
        </w:tc>
        <w:tc>
          <w:tcPr/>
          <w:p>
            <w:pPr>
              <w:pStyle w:val="Compact"/>
            </w:pPr>
            <w:r>
              <w:t xml:space="preserve">p &lt; 0,001***</w:t>
            </w:r>
          </w:p>
        </w:tc>
      </w:tr>
      <w:tr>
        <w:tc>
          <w:tcPr/>
          <w:p>
            <w:pPr>
              <w:pStyle w:val="Compact"/>
            </w:pPr>
            <w:r>
              <w:t xml:space="preserve">Fosfatase alcalina (μmol·g⁻¹·h⁻¹)</w:t>
            </w:r>
          </w:p>
        </w:tc>
        <w:tc>
          <w:tcPr/>
          <w:p>
            <w:pPr>
              <w:pStyle w:val="Compact"/>
            </w:pPr>
            <w:r>
              <w:t xml:space="preserve">1,5 ± 0,3</w:t>
            </w:r>
          </w:p>
        </w:tc>
        <w:tc>
          <w:tcPr/>
          <w:p>
            <w:pPr>
              <w:pStyle w:val="Compact"/>
            </w:pPr>
            <w:r>
              <w:t xml:space="preserve">3,2 ± 0,5</w:t>
            </w:r>
          </w:p>
        </w:tc>
        <w:tc>
          <w:tcPr/>
          <w:p>
            <w:pPr>
              <w:pStyle w:val="Compact"/>
            </w:pPr>
            <w:r>
              <w:t xml:space="preserve">+1,7</w:t>
            </w:r>
          </w:p>
        </w:tc>
        <w:tc>
          <w:tcPr/>
          <w:p>
            <w:pPr>
              <w:pStyle w:val="Compact"/>
            </w:pPr>
            <w:r>
              <w:t xml:space="preserve">+113,3</w:t>
            </w:r>
          </w:p>
        </w:tc>
        <w:tc>
          <w:tcPr/>
          <w:p>
            <w:pPr>
              <w:pStyle w:val="Compact"/>
            </w:pPr>
            <w:r>
              <w:t xml:space="preserve">p &lt; 0,001***</w:t>
            </w:r>
          </w:p>
        </w:tc>
      </w:tr>
      <w:tr>
        <w:tc>
          <w:tcPr/>
          <w:p>
            <w:pPr>
              <w:pStyle w:val="Compact"/>
            </w:pPr>
            <w:r>
              <w:rPr>
                <w:b/>
                <w:bCs/>
              </w:rPr>
              <w:t xml:space="preserve">Carbono Orgânico e Nutrientes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Carbono orgânico total (g C·kg⁻¹)</w:t>
            </w:r>
          </w:p>
        </w:tc>
        <w:tc>
          <w:tcPr/>
          <w:p>
            <w:pPr>
              <w:pStyle w:val="Compact"/>
            </w:pPr>
            <w:r>
              <w:t xml:space="preserve">8,3 ± 1,1</w:t>
            </w:r>
          </w:p>
        </w:tc>
        <w:tc>
          <w:tcPr/>
          <w:p>
            <w:pPr>
              <w:pStyle w:val="Compact"/>
            </w:pPr>
            <w:r>
              <w:t xml:space="preserve">11,8 ± 1,4</w:t>
            </w:r>
          </w:p>
        </w:tc>
        <w:tc>
          <w:tcPr/>
          <w:p>
            <w:pPr>
              <w:pStyle w:val="Compact"/>
            </w:pPr>
            <w:r>
              <w:t xml:space="preserve">+3,5</w:t>
            </w:r>
          </w:p>
        </w:tc>
        <w:tc>
          <w:tcPr/>
          <w:p>
            <w:pPr>
              <w:pStyle w:val="Compact"/>
            </w:pPr>
            <w:r>
              <w:t xml:space="preserve">+42,2</w:t>
            </w:r>
          </w:p>
        </w:tc>
        <w:tc>
          <w:tcPr/>
          <w:p>
            <w:pPr>
              <w:pStyle w:val="Compact"/>
            </w:pPr>
            <w:r>
              <w:t xml:space="preserve">p = 0,012*</w:t>
            </w:r>
          </w:p>
        </w:tc>
      </w:tr>
      <w:tr>
        <w:tc>
          <w:tcPr/>
          <w:p>
            <w:pPr>
              <w:pStyle w:val="Compact"/>
            </w:pPr>
            <w:r>
              <w:t xml:space="preserve">Fração lábil (% COT)</w:t>
            </w:r>
          </w:p>
        </w:tc>
        <w:tc>
          <w:tcPr/>
          <w:p>
            <w:pPr>
              <w:pStyle w:val="Compact"/>
            </w:pPr>
            <w:r>
              <w:t xml:space="preserve">18,5</w:t>
            </w:r>
          </w:p>
        </w:tc>
        <w:tc>
          <w:tcPr/>
          <w:p>
            <w:pPr>
              <w:pStyle w:val="Compact"/>
            </w:pPr>
            <w:r>
              <w:t xml:space="preserve">26,3</w:t>
            </w:r>
          </w:p>
        </w:tc>
        <w:tc>
          <w:tcPr/>
          <w:p>
            <w:pPr>
              <w:pStyle w:val="Compact"/>
            </w:pPr>
            <w:r>
              <w:t xml:space="preserve">+7,8</w:t>
            </w:r>
          </w:p>
        </w:tc>
        <w:tc>
          <w:tcPr/>
          <w:p>
            <w:pPr>
              <w:pStyle w:val="Compact"/>
            </w:pPr>
            <w:r>
              <w:t xml:space="preserve">+42,2</w:t>
            </w:r>
          </w:p>
        </w:tc>
        <w:tc>
          <w:tcPr/>
          <w:p>
            <w:pPr>
              <w:pStyle w:val="Compact"/>
            </w:pPr>
            <w:r>
              <w:t xml:space="preserve">,</w:t>
            </w:r>
          </w:p>
        </w:tc>
      </w:tr>
      <w:tr>
        <w:tc>
          <w:tcPr/>
          <w:p>
            <w:pPr>
              <w:pStyle w:val="Compact"/>
            </w:pPr>
            <w:r>
              <w:t xml:space="preserve">Fração recalcitrante (% COT)</w:t>
            </w:r>
          </w:p>
        </w:tc>
        <w:tc>
          <w:tcPr/>
          <w:p>
            <w:pPr>
              <w:pStyle w:val="Compact"/>
            </w:pPr>
            <w:r>
              <w:t xml:space="preserve">81,5</w:t>
            </w:r>
          </w:p>
        </w:tc>
        <w:tc>
          <w:tcPr/>
          <w:p>
            <w:pPr>
              <w:pStyle w:val="Compact"/>
            </w:pPr>
            <w:r>
              <w:t xml:space="preserve">73,7</w:t>
            </w:r>
          </w:p>
        </w:tc>
        <w:tc>
          <w:tcPr/>
          <w:p>
            <w:pPr>
              <w:pStyle w:val="Compact"/>
            </w:pPr>
            <w:r>
              <w:t xml:space="preserve">-7,8</w:t>
            </w:r>
          </w:p>
        </w:tc>
        <w:tc>
          <w:tcPr/>
          <w:p>
            <w:pPr>
              <w:pStyle w:val="Compact"/>
            </w:pPr>
            <w:r>
              <w:t xml:space="preserve">-9,6</w:t>
            </w:r>
          </w:p>
        </w:tc>
        <w:tc>
          <w:tcPr/>
          <w:p>
            <w:pPr>
              <w:pStyle w:val="Compact"/>
            </w:pPr>
            <w:r>
              <w:t xml:space="preserve">,</w:t>
            </w:r>
          </w:p>
        </w:tc>
      </w:tr>
      <w:tr>
        <w:tc>
          <w:tcPr/>
          <w:p>
            <w:pPr>
              <w:pStyle w:val="Compact"/>
            </w:pPr>
            <w:r>
              <w:t xml:space="preserve">P disponível (mg·kg⁻¹)</w:t>
            </w:r>
          </w:p>
        </w:tc>
        <w:tc>
          <w:tcPr/>
          <w:p>
            <w:pPr>
              <w:pStyle w:val="Compact"/>
            </w:pPr>
            <w:r>
              <w:t xml:space="preserve">4,2 ± 0,6</w:t>
            </w:r>
          </w:p>
        </w:tc>
        <w:tc>
          <w:tcPr/>
          <w:p>
            <w:pPr>
              <w:pStyle w:val="Compact"/>
            </w:pPr>
            <w:r>
              <w:t xml:space="preserve">5,1 ± 0,7</w:t>
            </w:r>
          </w:p>
        </w:tc>
        <w:tc>
          <w:tcPr/>
          <w:p>
            <w:pPr>
              <w:pStyle w:val="Compact"/>
            </w:pPr>
            <w:r>
              <w:t xml:space="preserve">+0,9</w:t>
            </w:r>
          </w:p>
        </w:tc>
        <w:tc>
          <w:tcPr/>
          <w:p>
            <w:pPr>
              <w:pStyle w:val="Compact"/>
            </w:pPr>
            <w:r>
              <w:t xml:space="preserve">+21,4</w:t>
            </w:r>
          </w:p>
        </w:tc>
        <w:tc>
          <w:tcPr/>
          <w:p>
            <w:pPr>
              <w:pStyle w:val="Compact"/>
            </w:pPr>
            <w:r>
              <w:t xml:space="preserve">p = 0,042*</w:t>
            </w:r>
          </w:p>
        </w:tc>
      </w:tr>
      <w:tr>
        <w:tc>
          <w:tcPr/>
          <w:p>
            <w:pPr>
              <w:pStyle w:val="Compact"/>
            </w:pPr>
            <w:r>
              <w:t xml:space="preserve">N mineral (kg·ha⁻¹, 0–10 cm)</w:t>
            </w:r>
          </w:p>
        </w:tc>
        <w:tc>
          <w:tcPr/>
          <w:p>
            <w:pPr>
              <w:pStyle w:val="Compact"/>
            </w:pPr>
            <w:r>
              <w:t xml:space="preserve">12,8 ± 2,1</w:t>
            </w:r>
          </w:p>
        </w:tc>
        <w:tc>
          <w:tcPr/>
          <w:p>
            <w:pPr>
              <w:pStyle w:val="Compact"/>
            </w:pPr>
            <w:r>
              <w:t xml:space="preserve">14,6 ± 2,4</w:t>
            </w:r>
          </w:p>
        </w:tc>
        <w:tc>
          <w:tcPr/>
          <w:p>
            <w:pPr>
              <w:pStyle w:val="Compact"/>
            </w:pPr>
            <w:r>
              <w:t xml:space="preserve">+1,8</w:t>
            </w:r>
          </w:p>
        </w:tc>
        <w:tc>
          <w:tcPr/>
          <w:p>
            <w:pPr>
              <w:pStyle w:val="Compact"/>
            </w:pPr>
            <w:r>
              <w:t xml:space="preserve">+14,1</w:t>
            </w:r>
          </w:p>
        </w:tc>
        <w:tc>
          <w:tcPr/>
          <w:p>
            <w:pPr>
              <w:pStyle w:val="Compact"/>
            </w:pPr>
            <w:r>
              <w:t xml:space="preserve">p = 0,089</w:t>
            </w:r>
          </w:p>
        </w:tc>
      </w:tr>
      <w:tr>
        <w:tc>
          <w:tcPr/>
          <w:p>
            <w:pPr>
              <w:pStyle w:val="Compact"/>
            </w:pPr>
            <w:r>
              <w:rPr>
                <w:b/>
                <w:bCs/>
              </w:rPr>
              <w:t xml:space="preserve">Contraste de Textura Superficial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Rugosidade (índice adimensional)</w:t>
            </w:r>
          </w:p>
        </w:tc>
        <w:tc>
          <w:tcPr/>
          <w:p>
            <w:pPr>
              <w:pStyle w:val="Compact"/>
            </w:pPr>
            <w:r>
              <w:t xml:space="preserve">0,0353</w:t>
            </w:r>
          </w:p>
        </w:tc>
        <w:tc>
          <w:tcPr/>
          <w:p>
            <w:pPr>
              <w:pStyle w:val="Compact"/>
            </w:pPr>
            <w:r>
              <w:t xml:space="preserve">0,0523</w:t>
            </w:r>
          </w:p>
        </w:tc>
        <w:tc>
          <w:tcPr/>
          <w:p>
            <w:pPr>
              <w:pStyle w:val="Compact"/>
            </w:pPr>
            <w:r>
              <w:t xml:space="preserve">+0,0170</w:t>
            </w:r>
          </w:p>
        </w:tc>
        <w:tc>
          <w:tcPr/>
          <w:p>
            <w:pPr>
              <w:pStyle w:val="Compact"/>
            </w:pPr>
            <w:r>
              <w:t xml:space="preserve">+48,2</w:t>
            </w:r>
          </w:p>
        </w:tc>
        <w:tc>
          <w:tcPr/>
          <w:p>
            <w:pPr>
              <w:pStyle w:val="Compact"/>
            </w:pPr>
            <w:r>
              <w:t xml:space="preserve">,</w:t>
            </w:r>
          </w:p>
        </w:tc>
      </w:tr>
      <w:tr>
        <w:tc>
          <w:tcPr/>
          <w:p>
            <w:pPr>
              <w:pStyle w:val="Compact"/>
            </w:pPr>
            <w:r>
              <w:t xml:space="preserve">Contraste de textura</w:t>
            </w:r>
          </w:p>
        </w:tc>
        <w:tc>
          <w:tcPr/>
          <w:p>
            <w:pPr>
              <w:pStyle w:val="Compact"/>
            </w:pPr>
            <w:r>
              <w:t xml:space="preserve">309,1</w:t>
            </w:r>
          </w:p>
        </w:tc>
        <w:tc>
          <w:tcPr/>
          <w:p>
            <w:pPr>
              <w:pStyle w:val="Compact"/>
            </w:pPr>
            <w:r>
              <w:t xml:space="preserve">606,2</w:t>
            </w:r>
          </w:p>
        </w:tc>
        <w:tc>
          <w:tcPr/>
          <w:p>
            <w:pPr>
              <w:pStyle w:val="Compact"/>
            </w:pPr>
            <w:r>
              <w:t xml:space="preserve">+297,1</w:t>
            </w:r>
          </w:p>
        </w:tc>
        <w:tc>
          <w:tcPr/>
          <w:p>
            <w:pPr>
              <w:pStyle w:val="Compact"/>
            </w:pPr>
            <w:r>
              <w:t xml:space="preserve">+96,1</w:t>
            </w:r>
          </w:p>
        </w:tc>
        <w:tc>
          <w:tcPr/>
          <w:p>
            <w:pPr>
              <w:pStyle w:val="Compact"/>
            </w:pPr>
            <w:r>
              <w:t xml:space="preserve">,</w:t>
            </w:r>
          </w:p>
        </w:tc>
      </w:tr>
      <w:tr>
        <w:tc>
          <w:tcPr/>
          <w:p>
            <w:pPr>
              <w:pStyle w:val="Compact"/>
            </w:pPr>
            <w:r>
              <w:t xml:space="preserve">Dissimilaridade</w:t>
            </w:r>
          </w:p>
        </w:tc>
        <w:tc>
          <w:tcPr/>
          <w:p>
            <w:pPr>
              <w:pStyle w:val="Compact"/>
            </w:pPr>
            <w:r>
              <w:t xml:space="preserve">8,97</w:t>
            </w:r>
          </w:p>
        </w:tc>
        <w:tc>
          <w:tcPr/>
          <w:p>
            <w:pPr>
              <w:pStyle w:val="Compact"/>
            </w:pPr>
            <w:r>
              <w:t xml:space="preserve">13,15</w:t>
            </w:r>
          </w:p>
        </w:tc>
        <w:tc>
          <w:tcPr/>
          <w:p>
            <w:pPr>
              <w:pStyle w:val="Compact"/>
            </w:pPr>
            <w:r>
              <w:t xml:space="preserve">+4,18</w:t>
            </w:r>
          </w:p>
        </w:tc>
        <w:tc>
          <w:tcPr/>
          <w:p>
            <w:pPr>
              <w:pStyle w:val="Compact"/>
            </w:pPr>
            <w:r>
              <w:t xml:space="preserve">+46,6</w:t>
            </w:r>
          </w:p>
        </w:tc>
        <w:tc>
          <w:tcPr/>
          <w:p>
            <w:pPr>
              <w:pStyle w:val="Compact"/>
            </w:pPr>
            <w:r>
              <w:t xml:space="preserve">,</w:t>
            </w:r>
          </w:p>
        </w:tc>
      </w:tr>
    </w:tbl>
    <w:p>
      <w:pPr>
        <w:pStyle w:val="Corpodetexto"/>
      </w:pPr>
      <w:r>
        <w:rPr>
          <w:i/>
          <w:iCs/>
        </w:rPr>
        <w:t xml:space="preserve">p &lt; 0,05;</w:t>
      </w:r>
      <w:r>
        <w:rPr>
          <w:i/>
          <w:iCs/>
        </w:rPr>
        <w:t xml:space="preserve"> </w:t>
      </w:r>
      <w:r>
        <w:rPr>
          <w:b/>
          <w:bCs/>
          <w:i/>
          <w:iCs/>
        </w:rPr>
        <w:t xml:space="preserve">p &lt; 0,01;</w:t>
      </w:r>
      <w:r>
        <w:rPr>
          <w:b/>
          <w:bCs/>
          <w:i/>
          <w:iCs/>
        </w:rPr>
        <w:t xml:space="preserve"> </w:t>
      </w:r>
      <w:r>
        <w:t xml:space="preserve">p &lt; 0,001. Valores médios ± desvio padrão (n = 6 repetições).</w:t>
      </w:r>
    </w:p>
    <w:p>
      <w:pPr>
        <w:pStyle w:val="Corpodetexto"/>
      </w:pPr>
      <w:r>
        <w:t xml:space="preserve">A análise integrada revela transformações biogeoquímicas profundas: aumento de 163,4% na densidade de hifas fúngicas (8,2 → 21,6 m·g⁻¹ solo) e 158,3% na concentração de exopolissacarídeos (1,2 → 3,1 mg equivalentes de glicose·g⁻¹) evidenciam intensa atividade microbiana (Tabela 2). Quantificação de polissacarídeos (ensaio fenol-ácido sulfúrico) revelou concentrações máximas de EPS de 2,8–3,5 mg equivalentes de glicose·g⁻¹ solo aos 90 dias, coincidindo com densidade máxima de hifas fúngicas (18–25 m·g⁻¹ solo, microscopia de fluorescência). O contraste de textura superficial aumentou +96,1% enquanto a rugosidade elevou-se +48,2%, refletindo reorganização microestrutural do solo com formação de microirregularidades que favorecem retenção hídrica capilar e infiltração. O incremento no carbono orgânico total (+42,2%) ocorre predominantemente na fração lábil, enquanto a atividade elevada de fosfatase alcalina (+113,3%) correlaciona-se com aumento de 21,4% no P disponível</w:t>
      </w:r>
      <w:r>
        <w:t xml:space="preserve"> </w:t>
      </w:r>
      <w:r>
        <w:t xml:space="preserve">(Rillig et al., 2002)</w:t>
      </w:r>
      <w:r>
        <w:t xml:space="preserve">.</w:t>
      </w:r>
    </w:p>
    <w:p>
      <w:pPr>
        <w:pStyle w:val="Corpodetexto"/>
      </w:pPr>
      <w:r>
        <w:t xml:space="preserve">A trajetória temporal da formação de agregados exibe fase de latência (0–45 dias), fase de crescimento exponencial (45–120 dias) e fase de platô (&gt; 120 dias). À medida que as fibras do geotêxtil se desintegram após 150 dias, fragmentos residuais de lignina e polímeros humificados persistem como núcleos de agregados estáveis, conferindo resiliência estrutural a longo prazo (DMP residual: 1,08 mm aos 365 dias, ainda 24% acima da linha de base).</w:t>
      </w:r>
    </w:p>
    <w:bookmarkEnd w:id="29"/>
    <w:bookmarkStart w:id="30" w:name="Xaee00f8496bbc6bb3f604a257b8e4250b2bbeaf"/>
    <w:p>
      <w:pPr>
        <w:pStyle w:val="Ttulo3"/>
      </w:pPr>
      <w:r>
        <w:t xml:space="preserve">5.2. Estabelecimento da Vegetação, Propriedades Hidráulicas e Valoração Econômica</w:t>
      </w:r>
    </w:p>
    <w:p>
      <w:pPr>
        <w:pStyle w:val="FirstParagraph"/>
      </w:pPr>
      <w:r>
        <w:t xml:space="preserve">Enquanto os geotêxteis sintéticos fornecem reforço persistente porém biologicamente inerte, a implantação lignocelulósica visa o estabelecimento vegetal no qual redes radiculares assumem funções de reforço mecânico à medida que a resistência à tração das fibras diminui</w:t>
      </w:r>
      <w:r>
        <w:t xml:space="preserve"> </w:t>
      </w:r>
      <w:r>
        <w:t xml:space="preserve">(Mahannopkul &amp; Jotisankasa, 2019;</w:t>
      </w:r>
      <w:r>
        <w:t xml:space="preserve"> </w:t>
      </w:r>
      <w:r>
        <w:t xml:space="preserve">Singh &amp; et al.</w:t>
      </w:r>
      <w:r>
        <w:t xml:space="preserve">, 2024)</w:t>
      </w:r>
      <w:r>
        <w:t xml:space="preserve">. A coesão radicular (C_r), o incremento na resistência ao cisalhamento do solo conferido pela resistência à tração das raízes através de planos de ruptura potenciais, é quantificada pelo modelo de Wu-Waldron modificado:</w:t>
      </w:r>
      <w:r>
        <w:t xml:space="preserve"> </w:t>
      </w:r>
      <m:oMath>
        <m:sSub>
          <m:e>
            <m:r>
              <m:t>C</m:t>
            </m:r>
          </m:e>
          <m:sub>
            <m:r>
              <m:t>r</m:t>
            </m:r>
          </m:sub>
        </m:sSub>
        <m:r>
          <m:rPr>
            <m:sty m:val="p"/>
          </m:rPr>
          <m:t>=</m:t>
        </m:r>
        <m:r>
          <m:t>k</m:t>
        </m:r>
        <m:r>
          <m:rPr>
            <m:sty m:val="p"/>
          </m:rPr>
          <m:t>⋅</m:t>
        </m:r>
        <m:sSub>
          <m:e>
            <m:r>
              <m:t>T</m:t>
            </m:r>
          </m:e>
          <m:sub>
            <m:r>
              <m:t>r</m:t>
            </m:r>
          </m:sub>
        </m:sSub>
        <m:r>
          <m:rPr>
            <m:sty m:val="p"/>
          </m:rPr>
          <m:t>⋅</m:t>
        </m:r>
        <m:r>
          <m:rPr>
            <m:nor/>
            <m:sty m:val="p"/>
          </m:rPr>
          <m:t>RAR</m:t>
        </m:r>
        <m:r>
          <m:rPr>
            <m:sty m:val="p"/>
          </m:rPr>
          <m:t>⋅</m:t>
        </m:r>
        <m:r>
          <m:rPr>
            <m:sty m:val="p"/>
          </m:rPr>
          <m:t>cot</m:t>
        </m:r>
        <m:r>
          <m:rPr>
            <m:sty m:val="p"/>
          </m:rPr>
          <m:t>(</m:t>
        </m:r>
        <m:r>
          <m:t>ϕ</m:t>
        </m:r>
        <m:r>
          <m:rPr>
            <m:sty m:val="p"/>
          </m:rPr>
          <m:t>)</m:t>
        </m:r>
        <m:r>
          <m:rPr>
            <m:sty m:val="p"/>
          </m:rPr>
          <m:t>⋅</m:t>
        </m:r>
        <m:r>
          <m:rPr>
            <m:sty m:val="p"/>
          </m:rPr>
          <m:t>tan</m:t>
        </m:r>
        <m:r>
          <m:rPr>
            <m:sty m:val="p"/>
          </m:rPr>
          <m:t>(</m:t>
        </m:r>
        <m:r>
          <m:t>α</m:t>
        </m:r>
        <m:r>
          <m:rPr>
            <m:sty m:val="p"/>
          </m:rPr>
          <m:t>)</m:t>
        </m:r>
      </m:oMath>
      <w:r>
        <w:t xml:space="preserve">, onde T_r representa resistência média à tração da raiz (kPa), RAR denota razão de área radicular (adimensional, tipicamente 0,001–0,01), φ é ângulo de atrito interno do solo (°), α é ângulo da raiz relativamente ao plano de ruptura (°, valores típicos: 60–90°), e k é fator de correção empírico (0,5–0,8) que contabiliza orientação não-uniforme das raízes e falha progressiva do sistema raiz-solo</w:t>
      </w:r>
      <w:r>
        <w:t xml:space="preserve"> </w:t>
      </w:r>
      <w:r>
        <w:t xml:space="preserve">(Veylon et al., 2015; Wu et al., 1979)</w:t>
      </w:r>
      <w:r>
        <w:t xml:space="preserve">.</w:t>
      </w:r>
    </w:p>
    <w:p>
      <w:pPr>
        <w:pStyle w:val="Corpodetexto"/>
      </w:pPr>
      <w:r>
        <w:t xml:space="preserve">Para</w:t>
      </w:r>
      <w:r>
        <w:t xml:space="preserve"> </w:t>
      </w:r>
      <w:r>
        <w:rPr>
          <w:i/>
          <w:iCs/>
        </w:rPr>
        <w:t xml:space="preserve">Vetiveria zizanioides</w:t>
      </w:r>
      <w:r>
        <w:t xml:space="preserve"> </w:t>
      </w:r>
      <w:r>
        <w:t xml:space="preserve">(capim-vetiver), espécie amplamente utilizada em bioengenharia com raízes fibrosas profundas (profundidade: 1–3 m, densidade radicular: 50–200 raízes·dm⁻²·m profundidade⁻¹), valores de T_r de 1.200–2.400 kPa e RAR de 0,004–0,008 são atingidos dentro de 120 dias pós-plantio</w:t>
      </w:r>
      <w:r>
        <w:t xml:space="preserve"> </w:t>
      </w:r>
      <w:r>
        <w:t xml:space="preserve">(Mahannopkul &amp; Jotisankasa, 2019)</w:t>
      </w:r>
      <w:r>
        <w:t xml:space="preserve">. Cálculos aplicados a taludes em Typic Quartzipsamment (φ’ = 32°, C’ = 3 kPa) resultam em:</w:t>
      </w:r>
    </w:p>
    <w:p>
      <w:pPr>
        <w:pStyle w:val="Corpodetexto"/>
      </w:pPr>
      <m:oMathPara>
        <m:oMathParaPr>
          <m:jc m:val="center"/>
        </m:oMathParaPr>
        <m:oMath>
          <m:sSub>
            <m:e>
              <m:r>
                <m:t>C</m:t>
              </m:r>
            </m:e>
            <m:sub>
              <m:r>
                <m:t>r</m:t>
              </m:r>
            </m:sub>
          </m:sSub>
          <m:r>
            <m:rPr>
              <m:sty m:val="p"/>
            </m:rPr>
            <m:t>=</m:t>
          </m:r>
          <m:r>
            <m:t>0</m:t>
          </m:r>
          <m:r>
            <m:rPr>
              <m:sty m:val="p"/>
            </m:rPr>
            <m:t>,</m:t>
          </m:r>
          <m:r>
            <m:t>7</m:t>
          </m:r>
          <m:r>
            <m:rPr>
              <m:sty m:val="p"/>
            </m:rPr>
            <m:t>×</m:t>
          </m:r>
          <m:r>
            <m:t>1.800</m:t>
          </m:r>
          <m:r>
            <m:t> </m:t>
          </m:r>
          <m:r>
            <m:rPr>
              <m:nor/>
              <m:sty m:val="p"/>
            </m:rPr>
            <m:t>kPa</m:t>
          </m:r>
          <m:r>
            <m:rPr>
              <m:sty m:val="p"/>
            </m:rPr>
            <m:t>×</m:t>
          </m:r>
          <m:r>
            <m:t>0</m:t>
          </m:r>
          <m:r>
            <m:rPr>
              <m:sty m:val="p"/>
            </m:rPr>
            <m:t>,</m:t>
          </m:r>
          <m:r>
            <m:t>006</m:t>
          </m:r>
          <m:r>
            <m:rPr>
              <m:sty m:val="p"/>
            </m:rPr>
            <m:t>×</m:t>
          </m:r>
          <m:r>
            <m:rPr>
              <m:sty m:val="p"/>
            </m:rPr>
            <m:t>cot</m:t>
          </m:r>
          <m:r>
            <m:rPr>
              <m:sty m:val="p"/>
            </m:rPr>
            <m:t>(</m:t>
          </m:r>
          <m:r>
            <m:t>32</m:t>
          </m:r>
          <m:r>
            <m:rPr>
              <m:sty m:val="p"/>
            </m:rPr>
            <m:t>°</m:t>
          </m:r>
          <m:r>
            <m:rPr>
              <m:sty m:val="p"/>
            </m:rPr>
            <m:t>)</m:t>
          </m:r>
          <m:r>
            <m:rPr>
              <m:sty m:val="p"/>
            </m:rPr>
            <m:t>×</m:t>
          </m:r>
          <m:r>
            <m:rPr>
              <m:sty m:val="p"/>
            </m:rPr>
            <m:t>tan</m:t>
          </m:r>
          <m:r>
            <m:rPr>
              <m:sty m:val="p"/>
            </m:rPr>
            <m:t>(</m:t>
          </m:r>
          <m:r>
            <m:t>75</m:t>
          </m:r>
          <m:r>
            <m:rPr>
              <m:sty m:val="p"/>
            </m:rPr>
            <m:t>°</m:t>
          </m:r>
          <m:r>
            <m:rPr>
              <m:sty m:val="p"/>
            </m:rPr>
            <m:t>)</m:t>
          </m:r>
          <m:r>
            <m:rPr>
              <m:sty m:val="p"/>
            </m:rPr>
            <m:t>=</m:t>
          </m:r>
          <m:r>
            <m:t>45</m:t>
          </m:r>
          <m:r>
            <m:rPr>
              <m:sty m:val="p"/>
            </m:rPr>
            <m:t>,</m:t>
          </m:r>
          <m:r>
            <m:t>2</m:t>
          </m:r>
          <m:r>
            <m:rPr>
              <m:nor/>
              <m:sty m:val="p"/>
            </m:rPr>
            <m:t> kPa</m:t>
          </m:r>
        </m:oMath>
      </m:oMathPara>
    </w:p>
    <w:p>
      <w:pPr>
        <w:pStyle w:val="FirstParagraph"/>
      </w:pPr>
      <w:r>
        <w:t xml:space="preserve">Esse incremento de 45,2 kPa na coesão efetiva traduz-se em elevação do fator de segurança (FS) em taludes de 18,3°: FS = (C’ + C_r + σ_n’·tan φ’) / (γ·h·sin β·cos β). Para talude de altura h = 5 m com peso específico do solo γ = 16 kN·m⁻³:</w:t>
      </w:r>
    </w:p>
    <w:p>
      <w:pPr>
        <w:pStyle w:val="Corpodetexto"/>
      </w:pPr>
      <m:oMathPara>
        <m:oMathParaPr>
          <m:jc m:val="center"/>
        </m:oMathParaPr>
        <m:oMath>
          <m:r>
            <m:rPr>
              <m:sty m:val="p"/>
            </m:rPr>
            <m:t>Δ</m:t>
          </m:r>
          <m:r>
            <m:t>F</m:t>
          </m:r>
          <m:r>
            <m:t>S</m:t>
          </m:r>
          <m:r>
            <m:rPr>
              <m:sty m:val="p"/>
            </m:rPr>
            <m:t>=</m:t>
          </m:r>
          <m:f>
            <m:fPr>
              <m:type m:val="bar"/>
            </m:fPr>
            <m:num>
              <m:r>
                <m:t>45</m:t>
              </m:r>
              <m:r>
                <m:rPr>
                  <m:sty m:val="p"/>
                </m:rPr>
                <m:t>,</m:t>
              </m:r>
              <m:r>
                <m:t>2</m:t>
              </m:r>
            </m:num>
            <m:den>
              <m:r>
                <m:t>16</m:t>
              </m:r>
              <m:r>
                <m:rPr>
                  <m:sty m:val="p"/>
                </m:rPr>
                <m:t>×</m:t>
              </m:r>
              <m:r>
                <m:t>5</m:t>
              </m:r>
              <m:r>
                <m:rPr>
                  <m:sty m:val="p"/>
                </m:rPr>
                <m:t>×</m:t>
              </m:r>
              <m:r>
                <m:rPr>
                  <m:sty m:val="p"/>
                </m:rPr>
                <m:t>sin</m:t>
              </m:r>
              <m:r>
                <m:rPr>
                  <m:sty m:val="p"/>
                </m:rPr>
                <m:t>(</m:t>
              </m:r>
              <m:r>
                <m:t>18</m:t>
              </m:r>
              <m:r>
                <m:rPr>
                  <m:sty m:val="p"/>
                </m:rPr>
                <m:t>,</m:t>
              </m:r>
              <m:r>
                <m:t>3</m:t>
              </m:r>
              <m:r>
                <m:rPr>
                  <m:sty m:val="p"/>
                </m:rPr>
                <m:t>°</m:t>
              </m:r>
              <m:r>
                <m:rPr>
                  <m:sty m:val="p"/>
                </m:rPr>
                <m:t>)</m:t>
              </m:r>
              <m:r>
                <m:rPr>
                  <m:sty m:val="p"/>
                </m:rPr>
                <m:t>×</m:t>
              </m:r>
              <m:r>
                <m:rPr>
                  <m:sty m:val="p"/>
                </m:rPr>
                <m:t>cos</m:t>
              </m:r>
              <m:r>
                <m:rPr>
                  <m:sty m:val="p"/>
                </m:rPr>
                <m:t>(</m:t>
              </m:r>
              <m:r>
                <m:t>18</m:t>
              </m:r>
              <m:r>
                <m:rPr>
                  <m:sty m:val="p"/>
                </m:rPr>
                <m:t>,</m:t>
              </m:r>
              <m:r>
                <m:t>3</m:t>
              </m:r>
              <m:r>
                <m:rPr>
                  <m:sty m:val="p"/>
                </m:rPr>
                <m:t>°</m:t>
              </m:r>
              <m:r>
                <m:rPr>
                  <m:sty m:val="p"/>
                </m:rPr>
                <m:t>)</m:t>
              </m:r>
            </m:den>
          </m:f>
          <m:r>
            <m:rPr>
              <m:sty m:val="p"/>
            </m:rPr>
            <m:t>=</m:t>
          </m:r>
          <m:f>
            <m:fPr>
              <m:type m:val="bar"/>
            </m:fPr>
            <m:num>
              <m:r>
                <m:t>45</m:t>
              </m:r>
              <m:r>
                <m:rPr>
                  <m:sty m:val="p"/>
                </m:rPr>
                <m:t>,</m:t>
              </m:r>
              <m:r>
                <m:t>2</m:t>
              </m:r>
            </m:num>
            <m:den>
              <m:r>
                <m:t>16</m:t>
              </m:r>
              <m:r>
                <m:rPr>
                  <m:sty m:val="p"/>
                </m:rPr>
                <m:t>×</m:t>
              </m:r>
              <m:r>
                <m:t>5</m:t>
              </m:r>
              <m:r>
                <m:rPr>
                  <m:sty m:val="p"/>
                </m:rPr>
                <m:t>×</m:t>
              </m:r>
              <m:r>
                <m:t>0</m:t>
              </m:r>
              <m:r>
                <m:rPr>
                  <m:sty m:val="p"/>
                </m:rPr>
                <m:t>,</m:t>
              </m:r>
              <m:r>
                <m:t>314</m:t>
              </m:r>
              <m:r>
                <m:rPr>
                  <m:sty m:val="p"/>
                </m:rPr>
                <m:t>×</m:t>
              </m:r>
              <m:r>
                <m:t>0</m:t>
              </m:r>
              <m:r>
                <m:rPr>
                  <m:sty m:val="p"/>
                </m:rPr>
                <m:t>,</m:t>
              </m:r>
              <m:r>
                <m:t>949</m:t>
              </m:r>
            </m:den>
          </m:f>
          <m:r>
            <m:rPr>
              <m:sty m:val="p"/>
            </m:rPr>
            <m:t>≈</m:t>
          </m:r>
          <m:r>
            <m:t>0</m:t>
          </m:r>
          <m:r>
            <m:rPr>
              <m:sty m:val="p"/>
            </m:rPr>
            <m:t>,</m:t>
          </m:r>
          <m:r>
            <m:t>61</m:t>
          </m:r>
        </m:oMath>
      </m:oMathPara>
    </w:p>
    <w:p>
      <w:pPr>
        <w:pStyle w:val="FirstParagraph"/>
      </w:pPr>
      <w:r>
        <w:t xml:space="preserve">Um incremento de 0,61 em FS é operacionalmente significativo, capaz de converter talude marginalmente instável (FS~0,95) em configuração segura (FS~1,56), satisfazendo critérios de estabilidade normativos (FS &gt; 1,3 para taludes permanentes segundo DIN 4084, FS &gt; 1,5 segundo ABNT NBR 11682).</w:t>
      </w:r>
    </w:p>
    <w:p>
      <w:pPr>
        <w:pStyle w:val="Corpodetexto"/>
      </w:pPr>
      <w:r>
        <w:t xml:space="preserve">A cinética de acúmulo de RAR segue função logística:</w:t>
      </w:r>
      <w:r>
        <w:t xml:space="preserve"> </w:t>
      </w:r>
      <m:oMath>
        <m:r>
          <m:rPr>
            <m:nor/>
            <m:sty m:val="p"/>
          </m:rPr>
          <m:t>RAR</m:t>
        </m:r>
        <m:r>
          <m:rPr>
            <m:sty m:val="p"/>
          </m:rPr>
          <m:t>(</m:t>
        </m:r>
        <m:r>
          <m:t>t</m:t>
        </m:r>
        <m:r>
          <m:rPr>
            <m:sty m:val="p"/>
          </m:rPr>
          <m:t>)</m:t>
        </m:r>
        <m:r>
          <m:rPr>
            <m:sty m:val="p"/>
          </m:rPr>
          <m:t>=</m:t>
        </m:r>
        <m:f>
          <m:fPr>
            <m:type m:val="bar"/>
          </m:fPr>
          <m:num>
            <m:sSub>
              <m:e>
                <m:r>
                  <m:rPr>
                    <m:nor/>
                    <m:sty m:val="p"/>
                  </m:rPr>
                  <m:t>RAR</m:t>
                </m:r>
              </m:e>
              <m:sub>
                <m:r>
                  <m:rPr>
                    <m:sty m:val="p"/>
                  </m:rPr>
                  <m:t>max</m:t>
                </m:r>
              </m:sub>
            </m:sSub>
          </m:num>
          <m:den>
            <m:r>
              <m:t>1</m:t>
            </m:r>
            <m:r>
              <m:rPr>
                <m:sty m:val="p"/>
              </m:rPr>
              <m:t>+</m:t>
            </m:r>
            <m:sSup>
              <m:e>
                <m:r>
                  <m:t>e</m:t>
                </m:r>
              </m:e>
              <m:sup>
                <m:r>
                  <m:rPr>
                    <m:sty m:val="p"/>
                  </m:rPr>
                  <m:t>−</m:t>
                </m:r>
                <m:sSub>
                  <m:e>
                    <m:r>
                      <m:t>k</m:t>
                    </m:r>
                  </m:e>
                  <m:sub>
                    <m:r>
                      <m:rPr>
                        <m:nor/>
                        <m:sty m:val="p"/>
                      </m:rPr>
                      <m:t>RAR</m:t>
                    </m:r>
                  </m:sub>
                </m:sSub>
                <m:r>
                  <m:rPr>
                    <m:sty m:val="p"/>
                  </m:rPr>
                  <m:t>(</m:t>
                </m:r>
                <m:r>
                  <m:t>t</m:t>
                </m:r>
                <m:r>
                  <m:rPr>
                    <m:sty m:val="p"/>
                  </m:rPr>
                  <m:t>−</m:t>
                </m:r>
                <m:sSub>
                  <m:e>
                    <m:r>
                      <m:t>t</m:t>
                    </m:r>
                  </m:e>
                  <m:sub>
                    <m:r>
                      <m:t>50</m:t>
                    </m:r>
                  </m:sub>
                </m:sSub>
                <m:r>
                  <m:rPr>
                    <m:sty m:val="p"/>
                  </m:rPr>
                  <m:t>)</m:t>
                </m:r>
              </m:sup>
            </m:sSup>
          </m:den>
        </m:f>
      </m:oMath>
      <w:r>
        <w:t xml:space="preserve">, onde RAR</w:t>
      </w:r>
      <w:r>
        <w:rPr>
          <w:vertAlign w:val="subscript"/>
        </w:rPr>
        <w:t xml:space="preserve">max</w:t>
      </w:r>
      <w:r>
        <w:t xml:space="preserve"> </w:t>
      </w:r>
      <w:r>
        <w:t xml:space="preserve">= 0,008, k</w:t>
      </w:r>
      <w:r>
        <w:rPr>
          <w:vertAlign w:val="subscript"/>
        </w:rPr>
        <w:t xml:space="preserve">RAR</w:t>
      </w:r>
      <w:r>
        <w:t xml:space="preserve"> </w:t>
      </w:r>
      <w:r>
        <w:t xml:space="preserve">= 0,04 dia⁻¹, e t</w:t>
      </w:r>
      <w:r>
        <w:rPr>
          <w:vertAlign w:val="subscript"/>
        </w:rPr>
        <w:t xml:space="preserve">50</w:t>
      </w:r>
      <w:r>
        <w:t xml:space="preserve"> </w:t>
      </w:r>
      <w:r>
        <w:t xml:space="preserve">= 90 dias</w:t>
      </w:r>
      <w:r>
        <w:t xml:space="preserve"> </w:t>
      </w:r>
      <w:r>
        <w:t xml:space="preserve">(Mahannopkul &amp; Jotisankasa, 2019)</w:t>
      </w:r>
      <w:r>
        <w:t xml:space="preserve">. Essa parametrização revela que apenas 50% do RAR máximo é alcançado aos 90 dias, período durante o qual o geotêxtil ainda fornece reforço mecânico crítico. Contudo, a sincronização entre degradação do geotêxtil (VUF: 120–180 dias) e desenvolvimento da coesão radicular cria</w:t>
      </w:r>
      <w:r>
        <w:t xml:space="preserve"> </w:t>
      </w:r>
      <w:r>
        <w:t xml:space="preserve">“zona de transição”</w:t>
      </w:r>
      <w:r>
        <w:t xml:space="preserve"> </w:t>
      </w:r>
      <w:r>
        <w:t xml:space="preserve">de 30–60 dias (dias 90–150) com redundância estrutural.</w:t>
      </w:r>
    </w:p>
    <w:p>
      <w:pPr>
        <w:pStyle w:val="Corpodetexto"/>
      </w:pPr>
      <w:r>
        <w:t xml:space="preserve">As propriedades hidráulicas de geotêxteis naturais diferem fundamentalmente de equivalentes sintéticos. Enquanto materiais sintéticos mantêm condutividade hidráulica consistente (k &gt; 10⁻² cm·s⁻¹)</w:t>
      </w:r>
      <w:r>
        <w:t xml:space="preserve"> </w:t>
      </w:r>
      <w:r>
        <w:t xml:space="preserve">(Holanda et al., 2021)</w:t>
      </w:r>
      <w:r>
        <w:t xml:space="preserve">, geotêxteis de</w:t>
      </w:r>
      <w:r>
        <w:t xml:space="preserve"> </w:t>
      </w:r>
      <w:r>
        <w:rPr>
          <w:i/>
          <w:iCs/>
        </w:rPr>
        <w:t xml:space="preserve">Typha</w:t>
      </w:r>
      <w:r>
        <w:t xml:space="preserve"> </w:t>
      </w:r>
      <w:r>
        <w:t xml:space="preserve">não tratados exibiram inicialmente k = 3,2×10⁻² cm·s⁻¹, declinando progressivamente para k = 0,9×10⁻² cm·s⁻¹ aos 120 dias (redução de 72%), refletindo colmatação de poros. Esse padrão de</w:t>
      </w:r>
      <w:r>
        <w:t xml:space="preserve"> </w:t>
      </w:r>
      <w:r>
        <w:t xml:space="preserve">“autossedimentação”</w:t>
      </w:r>
      <w:r>
        <w:t xml:space="preserve"> </w:t>
      </w:r>
      <w:r>
        <w:t xml:space="preserve">fornece vantagem funcional: durante os primeiros 30 dias, drenagem elevada reduz pressões de poros; progressivamente, condutividade reduzida impede fluxo preferencial, forçando percolação através da matriz do solo e raízes.</w:t>
      </w:r>
    </w:p>
    <w:p>
      <w:pPr>
        <w:pStyle w:val="Corpodetexto"/>
      </w:pPr>
      <w:r>
        <w:t xml:space="preserve">A taxa de descarga através de geotêxtil (q, m³·s⁻¹·m⁻¹) segue</w:t>
      </w:r>
      <w:r>
        <w:t xml:space="preserve"> </w:t>
      </w:r>
      <m:oMath>
        <m:r>
          <m:t>q</m:t>
        </m:r>
        <m:r>
          <m:rPr>
            <m:sty m:val="p"/>
          </m:rPr>
          <m:t>=</m:t>
        </m:r>
        <m:r>
          <m:t>k</m:t>
        </m:r>
        <m:r>
          <m:rPr>
            <m:sty m:val="p"/>
          </m:rPr>
          <m:t>⋅</m:t>
        </m:r>
        <m:r>
          <m:t>i</m:t>
        </m:r>
        <m:r>
          <m:rPr>
            <m:sty m:val="p"/>
          </m:rPr>
          <m:t>⋅</m:t>
        </m:r>
        <m:r>
          <m:t>A</m:t>
        </m:r>
        <m:r>
          <m:rPr>
            <m:sty m:val="p"/>
          </m:rPr>
          <m:t>=</m:t>
        </m:r>
        <m:r>
          <m:t>k</m:t>
        </m:r>
        <m:r>
          <m:rPr>
            <m:sty m:val="p"/>
          </m:rPr>
          <m:t>⋅</m:t>
        </m:r>
        <m:f>
          <m:fPr>
            <m:type m:val="bar"/>
          </m:fPr>
          <m:num>
            <m:r>
              <m:rPr>
                <m:sty m:val="p"/>
              </m:rPr>
              <m:t>Δ</m:t>
            </m:r>
            <m:r>
              <m:t>h</m:t>
            </m:r>
          </m:num>
          <m:den>
            <m:r>
              <m:t>L</m:t>
            </m:r>
          </m:den>
        </m:f>
        <m:r>
          <m:rPr>
            <m:sty m:val="p"/>
          </m:rPr>
          <m:t>⋅</m:t>
        </m:r>
        <m:r>
          <m:t>t</m:t>
        </m:r>
        <m:r>
          <m:rPr>
            <m:sty m:val="p"/>
          </m:rPr>
          <m:t>⋅</m:t>
        </m:r>
        <m:r>
          <m:t>w</m:t>
        </m:r>
      </m:oMath>
      <w:r>
        <w:t xml:space="preserve">. Para talude com gradiente i = 0,08, a descarga por metro de comprimento usando</w:t>
      </w:r>
      <w:r>
        <w:t xml:space="preserve"> </w:t>
      </w:r>
      <w:r>
        <w:rPr>
          <w:i/>
          <w:iCs/>
        </w:rPr>
        <w:t xml:space="preserve">Typha</w:t>
      </w:r>
      <w:r>
        <w:t xml:space="preserve"> </w:t>
      </w:r>
      <w:r>
        <w:t xml:space="preserve">aos 60 dias é 0,576 cm³/s/m, suficiente para manter pressões de poros controladas durante tempestades típicas da Caatinga. Geotêxteis naturais apresentam sucção inicial de −20 a −50 kPa, reduzindo para −500 a −1.000 kPa em estados de secagem, com sucção máxima de −150 kPa a 3 m de profundidade, suficiente para manter condições aeróbicas.</w:t>
      </w:r>
    </w:p>
    <w:p>
      <w:pPr>
        <w:pStyle w:val="Corpodetexto"/>
      </w:pPr>
      <w:r>
        <w:t xml:space="preserve">A quantificação de serviços ecossistêmicos permite análise custo-benefício que transcende custos de aquisição. A retenção de sedimentos é valorada via metodologia de custo de reposição, onde na bacia do Baixo Rio São Francisco, a redução da produção de sedimentos evita sedimentação de 57.500 Mg·ano⁻¹, gerando benefício anual de US$ 188.000</w:t>
      </w:r>
      <w:r>
        <w:t xml:space="preserve"> </w:t>
      </w:r>
      <w:r>
        <w:t xml:space="preserve">(</w:t>
      </w:r>
      <w:r>
        <w:t xml:space="preserve">Amadou &amp; et al.</w:t>
      </w:r>
      <w:r>
        <w:t xml:space="preserve">, 2022)</w:t>
      </w:r>
      <w:r>
        <w:t xml:space="preserve">. O sequestro de carbono (0,8–1,2 Mg C·ha⁻¹) gera valor presente de US$ 146–220·ha⁻¹ ao longo de 30 anos. Agregando serviços, o valor presente líquido atinge US$ 3.200–4.800·ha⁻¹, excedendo custos de instalação (US$ 2.500·ha⁻¹).</w:t>
      </w:r>
    </w:p>
    <w:p>
      <w:pPr>
        <w:pStyle w:val="Corpodetexto"/>
      </w:pPr>
      <w:r>
        <w:t xml:space="preserve">A análise de custo-efetividade revela que o tratamento com monocamada de resina eleva os custos em 50% (1,5× vs. 1,0× do geotêxtil bruto), produzindo uma razão VUF/investimento de 87 dias por unidade de custo, tornando-se competitivo com geotêxteis de polipropileno de curta duração (PP não-tecido: 150 dias de VUF a 3× o custo, equivalente a 50 dias/unidade)</w:t>
      </w:r>
      <w:r>
        <w:t xml:space="preserve"> </w:t>
      </w:r>
      <w:r>
        <w:t xml:space="preserve">(</w:t>
      </w:r>
      <w:r>
        <w:t xml:space="preserve">Almeida &amp; et al.</w:t>
      </w:r>
      <w:r>
        <w:t xml:space="preserve">, 2023;</w:t>
      </w:r>
      <w:r>
        <w:t xml:space="preserve"> </w:t>
      </w:r>
      <w:r>
        <w:t xml:space="preserve">Amadou &amp; et al.</w:t>
      </w:r>
      <w:r>
        <w:t xml:space="preserve">, 2022)</w:t>
      </w:r>
      <w:r>
        <w:t xml:space="preserve">. A mercerização com 6% NaOH emerge como alternativa otimizada, com acréscimo de custo de apenas 20% e VUF/custo de 92 dias/unidade, embora produza VUF absoluta 15% inferior à resina (110 vs. 130 dias)</w:t>
      </w:r>
      <w:r>
        <w:t xml:space="preserve"> </w:t>
      </w:r>
      <w:r>
        <w:t xml:space="preserve">(Vivek et al., 2019, 2020)</w:t>
      </w:r>
      <w:r>
        <w:t xml:space="preserve">.</w:t>
      </w:r>
    </w:p>
    <w:p>
      <w:pPr>
        <w:pStyle w:val="Corpodetexto"/>
      </w:pPr>
      <w:r>
        <w:t xml:space="preserve">Quando considerados os co-benefícios ambientais de fim-de-vida, compostagem</w:t>
      </w:r>
      <w:r>
        <w:t xml:space="preserve"> </w:t>
      </w:r>
      <w:r>
        <w:rPr>
          <w:i/>
          <w:iCs/>
        </w:rPr>
        <w:t xml:space="preserve">in situ</w:t>
      </w:r>
      <w:r>
        <w:t xml:space="preserve"> </w:t>
      </w:r>
      <w:r>
        <w:t xml:space="preserve">com liberação gradual de carbono orgânico para o solo versus deposição em aterros sanitários com lixiviação de aditivos petroquímicos, os geotêxteis lignocelulósicos tratados apresentam pegada de carbono 60-75% inferior aos sintéticos equivalentes (0,8-1,2 vs. 3,5 kg CO₂-eq/m²), reforçando sua viabilidade para aplicações temporárias de alto volume, como controle erosivo pós-mineração e restauração de taludes degradados</w:t>
      </w:r>
      <w:r>
        <w:t xml:space="preserve"> </w:t>
      </w:r>
      <w:r>
        <w:t xml:space="preserve">(Liu et al., 2008;</w:t>
      </w:r>
      <w:r>
        <w:t xml:space="preserve"> </w:t>
      </w:r>
      <w:r>
        <w:t xml:space="preserve">Lorenzo &amp; et al.</w:t>
      </w:r>
      <w:r>
        <w:t xml:space="preserve">, 2024)</w:t>
      </w:r>
      <w:r>
        <w:t xml:space="preserve">.</w:t>
      </w:r>
    </w:p>
    <w:bookmarkEnd w:id="30"/>
    <w:bookmarkStart w:id="31" w:name="Xc2dd72232be82fa157aefdf3afc75fd2132e149"/>
    <w:p>
      <w:pPr>
        <w:pStyle w:val="Ttulo3"/>
      </w:pPr>
      <w:r>
        <w:t xml:space="preserve">5.3. Biodiversidade Edáfica e Resiliência Ecológica</w:t>
      </w:r>
    </w:p>
    <w:p>
      <w:pPr>
        <w:pStyle w:val="FirstParagraph"/>
      </w:pPr>
      <w:r>
        <w:t xml:space="preserve">A conversão de taludes erodidos para sistemas estabilizados com geotêxtil natural induz cascata de alterações na comunidade biológica do solo</w:t>
      </w:r>
      <w:r>
        <w:t xml:space="preserve"> </w:t>
      </w:r>
      <w:r>
        <w:t xml:space="preserve">(Katariya et al., 2025)</w:t>
      </w:r>
      <w:r>
        <w:t xml:space="preserve">. Amostragem de diversidade de Collembola (microartrópodes sentinelas de qualidade do solo) em taludes com geotêxtil de</w:t>
      </w:r>
      <w:r>
        <w:t xml:space="preserve"> </w:t>
      </w:r>
      <w:r>
        <w:rPr>
          <w:i/>
          <w:iCs/>
        </w:rPr>
        <w:t xml:space="preserve">Typha</w:t>
      </w:r>
      <w:r>
        <w:t xml:space="preserve"> </w:t>
      </w:r>
      <w:r>
        <w:t xml:space="preserve">documentou aumento de abundância de 12,4 ± 3,2 indivíduos·10 g⁻¹ solo (controle, não-vegetado) para 67,3 ± 8,1 indivíduos·10 g⁻¹ solo (tratado, 180 dias), com diversidade de Shannon (H) evoluindo de 1,23 ± 0,18 (controle) para 2,87 ± 0,24 (tratado), indicando incremento substancial em complexidade ecológica.</w:t>
      </w:r>
    </w:p>
    <w:p>
      <w:pPr>
        <w:pStyle w:val="Corpodetexto"/>
      </w:pPr>
      <w:r>
        <w:t xml:space="preserve">Essa recuperação biológica correlaciona-se diretamente com métricas de agregação: r de Pearson = 0,84 (p &lt; 0,001) entre abundância de Collembola e AEA, sugerindo que microartrópodes, ao se alimentarem de fungos e matéria orgânica, mediam indiretamente cimentação de agregados via metabólitos e estrume fecal rico em polissacarídeos</w:t>
      </w:r>
      <w:r>
        <w:t xml:space="preserve"> </w:t>
      </w:r>
      <w:r>
        <w:t xml:space="preserve">(Ke &amp; Scheu, 2008)</w:t>
      </w:r>
      <w:r>
        <w:t xml:space="preserve">. Colonização por fungos micorrízicos arbusculares (AMF) apresentou densidades de esporos aumentando de &lt;100 esporos·g⁻¹ solo em controles para 400–600 esporos·g⁻¹ em solos com geotêxtil após 120 dias, conforme observado por fluorescência com corantes fluorogênicos (anticorpos marcados com FITC)</w:t>
      </w:r>
      <w:r>
        <w:t xml:space="preserve"> </w:t>
      </w:r>
      <w:r>
        <w:t xml:space="preserve">(Li et al., 2024)</w:t>
      </w:r>
      <w:r>
        <w:t xml:space="preserve">.</w:t>
      </w:r>
    </w:p>
    <w:bookmarkEnd w:id="31"/>
    <w:bookmarkEnd w:id="32"/>
    <w:bookmarkStart w:id="33" w:name="Xa3fb5a6e38d2d0d04d2512b764755d7d79d23ed"/>
    <w:p>
      <w:pPr>
        <w:pStyle w:val="Ttulo2"/>
      </w:pPr>
      <w:r>
        <w:t xml:space="preserve">6. Lacunas de Dados e Recomendações para Pesquisa Futura</w:t>
      </w:r>
    </w:p>
    <w:p>
      <w:pPr>
        <w:pStyle w:val="FirstParagraph"/>
      </w:pPr>
      <w:r>
        <w:t xml:space="preserve">Apesar dos avanços documentados nesta revisão, persistem lacunas quantitativas críticas que limitam a extrapolação dos resultados e a validação completa da hierarquia L/C →</w:t>
      </w:r>
      <w:r>
        <w:t xml:space="preserve"> </w:t>
      </w:r>
      <m:oMath>
        <m:r>
          <m:t>k</m:t>
        </m:r>
      </m:oMath>
      <w:r>
        <w:t xml:space="preserve"> </w:t>
      </w:r>
      <w:r>
        <w:t xml:space="preserve">→ VUF.</w:t>
      </w:r>
    </w:p>
    <w:p>
      <w:pPr>
        <w:pStyle w:val="Corpodetexto"/>
      </w:pPr>
      <w:r>
        <w:t xml:space="preserve">Primeiramente, o teor de celulose de</w:t>
      </w:r>
      <w:r>
        <w:t xml:space="preserve"> </w:t>
      </w:r>
      <w:r>
        <w:rPr>
          <w:i/>
          <w:iCs/>
        </w:rPr>
        <w:t xml:space="preserve">Syagrus coronata</w:t>
      </w:r>
      <w:r>
        <w:t xml:space="preserve"> </w:t>
      </w:r>
      <w:r>
        <w:t xml:space="preserve">permanece estimado por diferença (100% − lignina − hemicelulose − extrativos), resultando em um valor L/C provisório de 0,80. A quantificação direta por cromatografia HPLC após hidrólise ácida (TAPPI T222 om-02) ou pelo método de Van Soest modificado é necessária para validar o posicionamento de</w:t>
      </w:r>
      <w:r>
        <w:t xml:space="preserve"> </w:t>
      </w:r>
      <w:r>
        <w:rPr>
          <w:i/>
          <w:iCs/>
        </w:rPr>
        <w:t xml:space="preserve">Syagrus</w:t>
      </w:r>
      <w:r>
        <w:t xml:space="preserve"> </w:t>
      </w:r>
      <w:r>
        <w:t xml:space="preserve">no espectro de recalcitrância. Essa validação é crucial para confirmar se a discrepância entre a meia-vida teórica (85 dias) e o colapso observado (60 dias) decorre de imprecisões na estimativa de celulose ou da heterogeneidade espacial da lignina na matriz fibrilar.</w:t>
      </w:r>
    </w:p>
    <w:p>
      <w:pPr>
        <w:pStyle w:val="Corpodetexto"/>
      </w:pPr>
      <w:r>
        <w:t xml:space="preserve">No âmbito da caracterização molecular, embora bandas características tenham sido identificadas qualitativamente por espectroscopia FTIR (1730 cm⁻¹ para hemicelulose, 1510–1590 cm⁻¹ para lignina), a quantificação absoluta dos grupos funcionais por deconvolução de picos e calibração com padrões internos permanece pendente. O estabelecimento de razões de absorbância A₁₅₁₀/A₁₀₃₀ (lignina/celulose) e A₁₇₃₀/A₁₀₃₀ (hemicelulose/celulose) permitiria a validação cruzada da composição bioquímica e o refinamento do modelo preditivo</w:t>
      </w:r>
      <w:r>
        <w:t xml:space="preserve"> </w:t>
      </w:r>
      <m:oMath>
        <m:r>
          <m:t>k</m:t>
        </m:r>
        <m:r>
          <m:rPr>
            <m:sty m:val="p"/>
          </m:rPr>
          <m:t>=</m:t>
        </m:r>
        <m:r>
          <m:t>f</m:t>
        </m:r>
        <m:r>
          <m:rPr>
            <m:sty m:val="p"/>
          </m:rPr>
          <m:t>(</m:t>
        </m:r>
        <m:r>
          <m:rPr>
            <m:nor/>
            <m:sty m:val="p"/>
          </m:rPr>
          <m:t>L/C</m:t>
        </m:r>
        <m:r>
          <m:rPr>
            <m:sty m:val="p"/>
          </m:rPr>
          <m:t>)</m:t>
        </m:r>
      </m:oMath>
      <w:r>
        <w:t xml:space="preserve">.</w:t>
      </w:r>
    </w:p>
    <w:p>
      <w:pPr>
        <w:pStyle w:val="Corpodetexto"/>
      </w:pPr>
      <w:r>
        <w:t xml:space="preserve">Adicionalmente, os dados de resistência à tração reportados (UTS, N·mm⁻²) carecem de curvas completas tensão-deformação (σ-ε) que permitam calcular o módulo elástico (</w:t>
      </w:r>
      <m:oMath>
        <m:r>
          <m:t>E</m:t>
        </m:r>
      </m:oMath>
      <w:r>
        <w:t xml:space="preserve">, GPa), a rigidez secante (</w:t>
      </w:r>
      <m:oMath>
        <m:sSub>
          <m:e>
            <m:r>
              <m:t>J</m:t>
            </m:r>
          </m:e>
          <m:sub>
            <m:r>
              <m:rPr>
                <m:nor/>
                <m:sty m:val="p"/>
              </m:rPr>
              <m:t>sec</m:t>
            </m:r>
          </m:sub>
        </m:sSub>
      </m:oMath>
      <w:r>
        <w:t xml:space="preserve">, kN·m⁻¹) e a energia de fratura (</w:t>
      </w:r>
      <m:oMath>
        <m:sSub>
          <m:e>
            <m:r>
              <m:t>G</m:t>
            </m:r>
          </m:e>
          <m:sub>
            <m:r>
              <m:t>f</m:t>
            </m:r>
          </m:sub>
        </m:sSub>
      </m:oMath>
      <w:r>
        <w:t xml:space="preserve">, J·m⁻²). Essas propriedades mecânicas são essenciais para a modelagem de elementos finitos (FEM) de sistemas geotêxtil-solo-vegetação e para a previsão de resposta sob carregamento sísmico ou cíclico, como em eventos de chuvas intensas recorrentes. Recomenda-se a realização de ensaios de tração com extensômetros laser ou vídeo-extensometria digital (resolução &lt;0,01 mm) em etapas futuras.</w:t>
      </w:r>
    </w:p>
    <w:p>
      <w:pPr>
        <w:pStyle w:val="Corpodetexto"/>
      </w:pPr>
      <w:r>
        <w:t xml:space="preserve">Em relação aos tratamentos superficiais, o mecanismo de falha prematura do revestimento bicamada (2× resina) aos 90 dias foi atribuído qualitativamente à delaminação interfacial e à retenção de umidade subsuperficial. Contudo, faltam medições diretas da espessura de camada por microscopia confocal, da permeabilidade ao vapor d’água (ASTM E96), da energia de adesão interfacial por ensaios de</w:t>
      </w:r>
      <w:r>
        <w:t xml:space="preserve"> </w:t>
      </w:r>
      <w:r>
        <w:rPr>
          <w:i/>
          <w:iCs/>
        </w:rPr>
        <w:t xml:space="preserve">pull-off</w:t>
      </w:r>
      <w:r>
        <w:t xml:space="preserve"> </w:t>
      </w:r>
      <w:r>
        <w:t xml:space="preserve">ou</w:t>
      </w:r>
      <w:r>
        <w:t xml:space="preserve"> </w:t>
      </w:r>
      <w:r>
        <w:rPr>
          <w:i/>
          <w:iCs/>
        </w:rPr>
        <w:t xml:space="preserve">peel test</w:t>
      </w:r>
      <w:r>
        <w:t xml:space="preserve">, e da distribuição espacial de umidade por tomografia de impedância elétrica ou espectroscopia de RMN de campo baixo. Esses dados permitiriam a otimização da formulação da resina, incluindo ajustes de viscosidade e incorporação de surfactantes, para maximizar a penetração na primeira camada sem impermeabilização excessiva.</w:t>
      </w:r>
    </w:p>
    <w:p>
      <w:pPr>
        <w:pStyle w:val="Corpodetexto"/>
      </w:pPr>
      <w:r>
        <w:t xml:space="preserve">Outra limitação reside na escala espacial e temporal, visto que os resultados reportados derivam predominantemente de parcelas experimentais (5–50 m²) com períodos de observação de 180–360 dias. Faltam dados de desempenho em escala de sub-bacia hidrográfica (&gt;10 ha), integração com modelos hidrológicos distribuídos (SWAT, WEPP) e monitoramento estendido (&gt;5 anos) que capture ciclos completos de degradação, estabelecimento vegetal e estabilização permanente. Colaborações interinstitucionais para o estabelecimento de uma rede de sítios experimentais em gradientes climáticos (semiárido→úmido, 300→2000 mm·ano⁻¹) são prioritárias para a consolidação da tecnologia.</w:t>
      </w:r>
    </w:p>
    <w:p>
      <w:pPr>
        <w:pStyle w:val="Corpodetexto"/>
      </w:pPr>
      <w:r>
        <w:t xml:space="preserve">Por fim, a análise de sensibilidade climática do modelo preditivo GLM, que incorpora o índice UV como covariável, carece de validação explícita para regimes de precipitação extrema (&gt;100 mm·dia⁻¹, eventos ENSO), dessecação prolongada (&gt;90 dias sem chuva) e temperatura elevada (Tₘₐₓ &gt;40°C). Experimentos em câmaras climáticas simulando cenários de mudanças climáticas (RCP 4.5, RCP 8.5) permitirão avaliar a resiliência da tecnologia sob estresse ambiental amplificado.</w:t>
      </w:r>
    </w:p>
    <w:p>
      <w:pPr>
        <w:pStyle w:val="Corpodetexto"/>
      </w:pPr>
      <w:r>
        <w:t xml:space="preserve">O preenchimento dessas lacunas transformará a base empírica atual em um sistema preditivo robusto, habilitando a especificação quantitativa de geotêxteis lignocelulósicos para condições edafoclimáticas específicas e acelerando a transição de protótipos acadêmicos para produtos comerciais certificados.</w:t>
      </w:r>
    </w:p>
    <w:bookmarkEnd w:id="33"/>
    <w:bookmarkStart w:id="34" w:name="conclusões"/>
    <w:p>
      <w:pPr>
        <w:pStyle w:val="Ttulo2"/>
      </w:pPr>
      <w:r>
        <w:t xml:space="preserve">7. Conclusões</w:t>
      </w:r>
    </w:p>
    <w:p>
      <w:pPr>
        <w:pStyle w:val="FirstParagraph"/>
      </w:pPr>
      <w:r>
        <w:t xml:space="preserve">A presente revisão consolida a arquitetura química das fibras lignocelulósicas como o determinante fundamental da cinética de biodegradação em geotêxteis naturais. A relação inversa estabelecida entre a razão lignina/celulose e a taxa de degradação valida o uso da caracterização bioquímica como ferramenta preditiva para a seleção de matérias-primas, permitindo a triagem de espécies vegetais com base em sua recalcitrância intrínseca sem a necessidade de ensaios de campo de longa duração.</w:t>
      </w:r>
    </w:p>
    <w:p>
      <w:pPr>
        <w:pStyle w:val="Corpodetexto"/>
      </w:pPr>
      <w:r>
        <w:t xml:space="preserve">A redefinição da Vida Útil Funcional (VUF) sob uma ótica probabilística, fundamentada na distribuição de Weibull, representa um avanço metodológico significativo em relação às abordagens determinísticas tradicionais. Ao quantificar a confiabilidade temporal dos materiais, essa estrutura permite a incorporação de fatores de segurança precisos em projetos de bioengenharia, alinhando o uso de fibras naturais aos rigorosos padrões de engenharia geotécnica.</w:t>
      </w:r>
    </w:p>
    <w:p>
      <w:pPr>
        <w:pStyle w:val="Corpodetexto"/>
      </w:pPr>
      <w:r>
        <w:t xml:space="preserve">As estratégias de modificação superficial demonstraram que a otimização do desempenho mecânico e da durabilidade não é linear. Tratamentos alcalinos moderados promovem ganhos estruturais sem comprometer a flexibilidade, enquanto revestimentos poliméricos demandam um equilíbrio crítico entre hidrofobicidade e permeabilidade para evitar falhas por delaminação. A análise de custo-efetividade evidencia que intervenções de baixo custo podem estender significativamente a vida útil, tornando os geotêxteis naturais competitivos frente aos sintéticos em aplicações temporárias.</w:t>
      </w:r>
    </w:p>
    <w:p>
      <w:pPr>
        <w:pStyle w:val="Corpodetexto"/>
      </w:pPr>
      <w:r>
        <w:t xml:space="preserve">Além do reforço mecânico, os geotêxteis lignocelulósicos atuam como agentes de restauração ecológica, promovendo serviços ecossistêmicos que transcendem a estabilização do solo. A decomposição programada das fibras contribui para o sequestro de carbono, a melhoria da estrutura do solo e o aumento da biodiversidade edáfica, criando um ciclo virtuoso de recuperação ambiental. A sincronização entre a perda de resistência do geotêxtil e o desenvolvimento do sistema radicular da vegetação assegura uma transição contínua da estabilização artificial para a coesão natural.</w:t>
      </w:r>
    </w:p>
    <w:p>
      <w:pPr>
        <w:pStyle w:val="Corpodetexto"/>
      </w:pPr>
      <w:r>
        <w:t xml:space="preserve">Integração de modelos estocásticos, caracterização avançada de materiais e valoração de serviços ambientais fundamenta uma nova disciplina de bioengenharia baseada em evidências. Essa abordagem posiciona os geotêxteis lignocelulósicos não apenas como alternativas sustentáveis, mas como soluções técnicas robustas e economicamente viáveis para os desafios da engenharia de solos em regiões tropicais.</w:t>
      </w:r>
    </w:p>
    <w:bookmarkEnd w:id="34"/>
    <w:bookmarkStart w:id="116" w:name="referências"/>
    <w:p>
      <w:pPr>
        <w:pStyle w:val="Ttulo2"/>
      </w:pPr>
      <w:r>
        <w:t xml:space="preserve">Referências</w:t>
      </w:r>
    </w:p>
    <w:bookmarkStart w:id="115" w:name="refs"/>
    <w:bookmarkStart w:id="36" w:name="ref-Almeida2023"/>
    <w:p>
      <w:pPr>
        <w:pStyle w:val="Bibliografia"/>
      </w:pPr>
      <w:r>
        <w:t xml:space="preserve">Almeida, J., &amp; et al.</w:t>
      </w:r>
      <w:r>
        <w:t xml:space="preserve"> (2023). Comparison of mechanical performance of different geotextiles manufactured from natural fibers subjected to environmental biodegradation.</w:t>
      </w:r>
      <w:r>
        <w:t xml:space="preserve"> </w:t>
      </w:r>
      <w:r>
        <w:rPr>
          <w:i/>
          <w:iCs/>
        </w:rPr>
        <w:t xml:space="preserve">The International Journal of Advanced Manufacturing Technology</w:t>
      </w:r>
      <w:r>
        <w:t xml:space="preserve">.</w:t>
      </w:r>
      <w:r>
        <w:t xml:space="preserve"> </w:t>
      </w:r>
      <w:hyperlink r:id="rId35">
        <w:r>
          <w:rPr>
            <w:rStyle w:val="Hyperlink"/>
          </w:rPr>
          <w:t xml:space="preserve">https://doi.org/10.1007/s00170-023-12549-w</w:t>
        </w:r>
      </w:hyperlink>
    </w:p>
    <w:bookmarkEnd w:id="36"/>
    <w:bookmarkStart w:id="38" w:name="ref-Amadou2022_natural_geotextile_cost"/>
    <w:p>
      <w:pPr>
        <w:pStyle w:val="Bibliografia"/>
      </w:pPr>
      <w:r>
        <w:t xml:space="preserve">Amadou, H., &amp; et al.</w:t>
      </w:r>
      <w:r>
        <w:t xml:space="preserve"> (2022). Evaluation of Environmental Impact of Palm-Fiber Based Geotextile Using a Life Cycle Method.</w:t>
      </w:r>
      <w:r>
        <w:t xml:space="preserve"> </w:t>
      </w:r>
      <w:r>
        <w:rPr>
          <w:i/>
          <w:iCs/>
        </w:rPr>
        <w:t xml:space="preserve">Key Engineering Materials</w:t>
      </w:r>
      <w:r>
        <w:t xml:space="preserve">,</w:t>
      </w:r>
      <w:r>
        <w:t xml:space="preserve"> </w:t>
      </w:r>
      <w:r>
        <w:rPr>
          <w:i/>
          <w:iCs/>
        </w:rPr>
        <w:t xml:space="preserve">925</w:t>
      </w:r>
      <w:r>
        <w:t xml:space="preserve">, 9–21.</w:t>
      </w:r>
      <w:r>
        <w:t xml:space="preserve"> </w:t>
      </w:r>
      <w:hyperlink r:id="rId37">
        <w:r>
          <w:rPr>
            <w:rStyle w:val="Hyperlink"/>
          </w:rPr>
          <w:t xml:space="preserve">https://doi.org/10.4028/www.scientific.net/KEM.925.9</w:t>
        </w:r>
      </w:hyperlink>
    </w:p>
    <w:bookmarkEnd w:id="38"/>
    <w:bookmarkStart w:id="40" w:name="ref-Bai2022"/>
    <w:p>
      <w:pPr>
        <w:pStyle w:val="Bibliografia"/>
      </w:pPr>
      <w:r>
        <w:t xml:space="preserve">Bai, X., Li, C., Ma, L., Xin, P., Li, F., &amp; Xu, Z. (2022). Quantitative analysis of microplastics in coastal tidal-flat reclamation in Dongtai, China.</w:t>
      </w:r>
      <w:r>
        <w:t xml:space="preserve"> </w:t>
      </w:r>
      <w:r>
        <w:rPr>
          <w:i/>
          <w:iCs/>
        </w:rPr>
        <w:t xml:space="preserve">Frontiers of Environmental Science &amp; Engineering 2022 16:8</w:t>
      </w:r>
      <w:r>
        <w:t xml:space="preserve">,</w:t>
      </w:r>
      <w:r>
        <w:t xml:space="preserve"> </w:t>
      </w:r>
      <w:r>
        <w:rPr>
          <w:i/>
          <w:iCs/>
        </w:rPr>
        <w:t xml:space="preserve">16</w:t>
      </w:r>
      <w:r>
        <w:t xml:space="preserve">, 1–11.</w:t>
      </w:r>
      <w:r>
        <w:t xml:space="preserve"> </w:t>
      </w:r>
      <w:hyperlink r:id="rId39">
        <w:r>
          <w:rPr>
            <w:rStyle w:val="Hyperlink"/>
          </w:rPr>
          <w:t xml:space="preserve">https://doi.org/10.1007/S11783-022-1528-5</w:t>
        </w:r>
      </w:hyperlink>
    </w:p>
    <w:bookmarkEnd w:id="40"/>
    <w:bookmarkStart w:id="42" w:name="ref-BarreiraPinto2023"/>
    <w:p>
      <w:pPr>
        <w:pStyle w:val="Bibliografia"/>
      </w:pPr>
      <w:r>
        <w:t xml:space="preserve">Barreira-Pinto, R., Carneiro, R., Miranda, M., &amp; Guedes, R. M. (2023). Polymer-Matrix Composites: Characterising the Impact of Environmental Factors on Their Lifetime.</w:t>
      </w:r>
      <w:r>
        <w:t xml:space="preserve"> </w:t>
      </w:r>
      <w:r>
        <w:rPr>
          <w:i/>
          <w:iCs/>
        </w:rPr>
        <w:t xml:space="preserve">Materials</w:t>
      </w:r>
      <w:r>
        <w:t xml:space="preserve">,</w:t>
      </w:r>
      <w:r>
        <w:t xml:space="preserve"> </w:t>
      </w:r>
      <w:r>
        <w:rPr>
          <w:i/>
          <w:iCs/>
        </w:rPr>
        <w:t xml:space="preserve">16</w:t>
      </w:r>
      <w:r>
        <w:t xml:space="preserve">, 3913.</w:t>
      </w:r>
      <w:r>
        <w:t xml:space="preserve"> </w:t>
      </w:r>
      <w:hyperlink r:id="rId41">
        <w:r>
          <w:rPr>
            <w:rStyle w:val="Hyperlink"/>
          </w:rPr>
          <w:t xml:space="preserve">https://doi.org/10.3390/ma16113913</w:t>
        </w:r>
      </w:hyperlink>
    </w:p>
    <w:bookmarkEnd w:id="42"/>
    <w:bookmarkStart w:id="44" w:name="ref-Bispo2017"/>
    <w:p>
      <w:pPr>
        <w:pStyle w:val="Bibliografia"/>
      </w:pPr>
      <w:r>
        <w:t xml:space="preserve">Bispo, D. F. A., Silva, M. L. N., Pontes, L. M., Guimarães, D. V., Sá e Melo Marques, J. J. G. de, &amp; Curi, N. (2017). Soil, water, nutrients and soil organic matter losses by water erosion as a function of soil management in the Posses sub-watershed, Extrema, Minas Gerais, Brazil.</w:t>
      </w:r>
      <w:r>
        <w:t xml:space="preserve"> </w:t>
      </w:r>
      <w:r>
        <w:rPr>
          <w:i/>
          <w:iCs/>
        </w:rPr>
        <w:t xml:space="preserve">Semina: Ciências Agrárias</w:t>
      </w:r>
      <w:r>
        <w:t xml:space="preserve">,</w:t>
      </w:r>
      <w:r>
        <w:t xml:space="preserve"> </w:t>
      </w:r>
      <w:r>
        <w:rPr>
          <w:i/>
          <w:iCs/>
        </w:rPr>
        <w:t xml:space="preserve">38</w:t>
      </w:r>
      <w:r>
        <w:t xml:space="preserve">, 1813–1824.</w:t>
      </w:r>
      <w:r>
        <w:t xml:space="preserve"> </w:t>
      </w:r>
      <w:hyperlink r:id="rId43">
        <w:r>
          <w:rPr>
            <w:rStyle w:val="Hyperlink"/>
          </w:rPr>
          <w:t xml:space="preserve">https://doi.org/10.5433/1679-0359.2017v38n4p1813</w:t>
        </w:r>
      </w:hyperlink>
    </w:p>
    <w:bookmarkEnd w:id="44"/>
    <w:bookmarkStart w:id="46" w:name="ref-Borrelli2017"/>
    <w:p>
      <w:pPr>
        <w:pStyle w:val="Bibliografia"/>
      </w:pPr>
      <w:r>
        <w:t xml:space="preserve">Borrelli, P., Robinson, D. A., Fleischer, L. R., Lugato, E., Ballabio, C., Alewell, C., Meusburger, K., Modugno, S., Sch"utt, B., Ferro, V., Bagarello, V., Van Oost, K., Montanarella, L., &amp; Panagos, P. (2017). An assessment of the global impact of 21st century land use change on soil erosion.</w:t>
      </w:r>
      <w:r>
        <w:t xml:space="preserve"> </w:t>
      </w:r>
      <w:r>
        <w:rPr>
          <w:i/>
          <w:iCs/>
        </w:rPr>
        <w:t xml:space="preserve">Nature Communications</w:t>
      </w:r>
      <w:r>
        <w:t xml:space="preserve">,</w:t>
      </w:r>
      <w:r>
        <w:t xml:space="preserve"> </w:t>
      </w:r>
      <w:r>
        <w:rPr>
          <w:i/>
          <w:iCs/>
        </w:rPr>
        <w:t xml:space="preserve">8</w:t>
      </w:r>
      <w:r>
        <w:t xml:space="preserve">, 2013.</w:t>
      </w:r>
      <w:r>
        <w:t xml:space="preserve"> </w:t>
      </w:r>
      <w:hyperlink r:id="rId45">
        <w:r>
          <w:rPr>
            <w:rStyle w:val="Hyperlink"/>
          </w:rPr>
          <w:t xml:space="preserve">https://doi.org/10.1038/s41467-017-02142-7</w:t>
        </w:r>
      </w:hyperlink>
    </w:p>
    <w:bookmarkEnd w:id="46"/>
    <w:bookmarkStart w:id="47" w:name="ref-Brady2009"/>
    <w:p>
      <w:pPr>
        <w:pStyle w:val="Bibliografia"/>
      </w:pPr>
      <w:r>
        <w:t xml:space="preserve">Brady, N. C., &amp; Weil, R. R. (2009).</w:t>
      </w:r>
      <w:r>
        <w:t xml:space="preserve"> </w:t>
      </w:r>
      <w:r>
        <w:rPr>
          <w:i/>
          <w:iCs/>
        </w:rPr>
        <w:t xml:space="preserve">Elementos da natureza e propriedades dos solos</w:t>
      </w:r>
      <w:r>
        <w:t xml:space="preserve">. Bookman Editora.</w:t>
      </w:r>
    </w:p>
    <w:bookmarkEnd w:id="47"/>
    <w:bookmarkStart w:id="49" w:name="ref-Cardoso2023_TGA_biomass"/>
    <w:p>
      <w:pPr>
        <w:pStyle w:val="Bibliografia"/>
      </w:pPr>
      <w:r>
        <w:t xml:space="preserve">Cardoso, C. R., &amp; Ataíde, C. H. (2023). TGA-FTIR Analysis of Biomass Samples Based on the Thermal Decomposition Behavior of Hemicellulose, Cellulose, and Lignin.</w:t>
      </w:r>
      <w:r>
        <w:t xml:space="preserve"> </w:t>
      </w:r>
      <w:r>
        <w:rPr>
          <w:i/>
          <w:iCs/>
        </w:rPr>
        <w:t xml:space="preserve">Energies</w:t>
      </w:r>
      <w:r>
        <w:t xml:space="preserve">,</w:t>
      </w:r>
      <w:r>
        <w:t xml:space="preserve"> </w:t>
      </w:r>
      <w:r>
        <w:rPr>
          <w:i/>
          <w:iCs/>
        </w:rPr>
        <w:t xml:space="preserve">16</w:t>
      </w:r>
      <w:r>
        <w:t xml:space="preserve">(9), 3674.</w:t>
      </w:r>
      <w:r>
        <w:t xml:space="preserve"> </w:t>
      </w:r>
      <w:hyperlink r:id="rId48">
        <w:r>
          <w:rPr>
            <w:rStyle w:val="Hyperlink"/>
          </w:rPr>
          <w:t xml:space="preserve">https://doi.org/10.3390/en16093674</w:t>
        </w:r>
      </w:hyperlink>
    </w:p>
    <w:bookmarkEnd w:id="49"/>
    <w:bookmarkStart w:id="51" w:name="ref-Cardoso2006"/>
    <w:p>
      <w:pPr>
        <w:pStyle w:val="Bibliografia"/>
      </w:pPr>
      <w:r>
        <w:t xml:space="preserve">Cardoso, I. M., &amp; Kuyper, T. W. (2006). Mycorrhizas and tropical soil fertility.</w:t>
      </w:r>
      <w:r>
        <w:t xml:space="preserve"> </w:t>
      </w:r>
      <w:r>
        <w:rPr>
          <w:i/>
          <w:iCs/>
        </w:rPr>
        <w:t xml:space="preserve">Agriculture, Ecosystems and Environment</w:t>
      </w:r>
      <w:r>
        <w:t xml:space="preserve">,</w:t>
      </w:r>
      <w:r>
        <w:t xml:space="preserve"> </w:t>
      </w:r>
      <w:r>
        <w:rPr>
          <w:i/>
          <w:iCs/>
        </w:rPr>
        <w:t xml:space="preserve">116</w:t>
      </w:r>
      <w:r>
        <w:t xml:space="preserve">, 72–84.</w:t>
      </w:r>
      <w:r>
        <w:t xml:space="preserve"> </w:t>
      </w:r>
      <w:hyperlink r:id="rId50">
        <w:r>
          <w:rPr>
            <w:rStyle w:val="Hyperlink"/>
          </w:rPr>
          <w:t xml:space="preserve">https://doi.org/10.1016/j.agee.2006.01.005</w:t>
        </w:r>
      </w:hyperlink>
    </w:p>
    <w:bookmarkEnd w:id="51"/>
    <w:bookmarkStart w:id="53" w:name="ref-Carneiro2017"/>
    <w:p>
      <w:pPr>
        <w:pStyle w:val="Bibliografia"/>
      </w:pPr>
      <w:r>
        <w:t xml:space="preserve">Carneiro, J. R., &amp; Lopes, M. L. (2017). Natural weathering of polypropylene geotextiles treated with different chemical stabilisers.</w:t>
      </w:r>
      <w:r>
        <w:t xml:space="preserve"> </w:t>
      </w:r>
      <w:r>
        <w:rPr>
          <w:i/>
          <w:iCs/>
        </w:rPr>
        <w:t xml:space="preserve">Geosynthetics International</w:t>
      </w:r>
      <w:r>
        <w:t xml:space="preserve">,</w:t>
      </w:r>
      <w:r>
        <w:t xml:space="preserve"> </w:t>
      </w:r>
      <w:r>
        <w:rPr>
          <w:i/>
          <w:iCs/>
        </w:rPr>
        <w:t xml:space="preserve">24</w:t>
      </w:r>
      <w:r>
        <w:t xml:space="preserve">, 544–553.</w:t>
      </w:r>
      <w:r>
        <w:t xml:space="preserve"> </w:t>
      </w:r>
      <w:hyperlink r:id="rId52">
        <w:r>
          <w:rPr>
            <w:rStyle w:val="Hyperlink"/>
          </w:rPr>
          <w:t xml:space="preserve">https://doi.org/10.1680/jgein.17.00020</w:t>
        </w:r>
      </w:hyperlink>
    </w:p>
    <w:bookmarkEnd w:id="53"/>
    <w:bookmarkStart w:id="55" w:name="ref-Carneiro2018"/>
    <w:p>
      <w:pPr>
        <w:pStyle w:val="Bibliografia"/>
      </w:pPr>
      <w:r>
        <w:t xml:space="preserve">Carneiro, J. R., Morais, M., &amp; Lurdes Lopes, M. de. (2018). Degradation of polypropylene geotextiles with different chemical stabilisations in marine environments.</w:t>
      </w:r>
      <w:r>
        <w:t xml:space="preserve"> </w:t>
      </w:r>
      <w:r>
        <w:rPr>
          <w:i/>
          <w:iCs/>
        </w:rPr>
        <w:t xml:space="preserve">Construction and Building Materials</w:t>
      </w:r>
      <w:r>
        <w:t xml:space="preserve">,</w:t>
      </w:r>
      <w:r>
        <w:t xml:space="preserve"> </w:t>
      </w:r>
      <w:r>
        <w:rPr>
          <w:i/>
          <w:iCs/>
        </w:rPr>
        <w:t xml:space="preserve">165</w:t>
      </w:r>
      <w:r>
        <w:t xml:space="preserve">, 877–886.</w:t>
      </w:r>
      <w:r>
        <w:t xml:space="preserve"> </w:t>
      </w:r>
      <w:hyperlink r:id="rId54">
        <w:r>
          <w:rPr>
            <w:rStyle w:val="Hyperlink"/>
          </w:rPr>
          <w:t xml:space="preserve">https://doi.org/10.1016/J.CONBUILDMAT.2018.01.067</w:t>
        </w:r>
      </w:hyperlink>
    </w:p>
    <w:bookmarkEnd w:id="55"/>
    <w:bookmarkStart w:id="57" w:name="ref-Chakravarthy2021"/>
    <w:p>
      <w:pPr>
        <w:pStyle w:val="Bibliografia"/>
      </w:pPr>
      <w:r>
        <w:t xml:space="preserve">Chakravarthy, G. S., GuhaRay, A., &amp; Kar, A. (2021). Experimental Investigations on Strength and Durability of Alkali-Activated Binder-Treated Natural Jute Geotextile.</w:t>
      </w:r>
      <w:r>
        <w:t xml:space="preserve"> </w:t>
      </w:r>
      <w:r>
        <w:rPr>
          <w:i/>
          <w:iCs/>
        </w:rPr>
        <w:t xml:space="preserve">International Journal of Geosynthetics and Ground Engineering</w:t>
      </w:r>
      <w:r>
        <w:t xml:space="preserve">,</w:t>
      </w:r>
      <w:r>
        <w:t xml:space="preserve"> </w:t>
      </w:r>
      <w:r>
        <w:rPr>
          <w:i/>
          <w:iCs/>
        </w:rPr>
        <w:t xml:space="preserve">7</w:t>
      </w:r>
      <w:r>
        <w:t xml:space="preserve">, 1–18.</w:t>
      </w:r>
      <w:r>
        <w:t xml:space="preserve"> </w:t>
      </w:r>
      <w:hyperlink r:id="rId56">
        <w:r>
          <w:rPr>
            <w:rStyle w:val="Hyperlink"/>
          </w:rPr>
          <w:t xml:space="preserve">https://doi.org/10.1007/S40891-021-00341-3</w:t>
        </w:r>
      </w:hyperlink>
    </w:p>
    <w:bookmarkEnd w:id="57"/>
    <w:bookmarkStart w:id="58" w:name="ref-Fontes2021"/>
    <w:p>
      <w:pPr>
        <w:pStyle w:val="Bibliografia"/>
      </w:pPr>
      <w:r>
        <w:t xml:space="preserve">Fontes, C. S., Holanda, F. S. R., Santos, L. D. V., Melo, J. C. R. D., Boge, G. M., &amp; Sussuchi, E. M. (2021). Resistance of the Fiber-derived geotextile from Typha domingensis under field exposure.</w:t>
      </w:r>
      <w:r>
        <w:t xml:space="preserve"> </w:t>
      </w:r>
      <w:r>
        <w:rPr>
          <w:i/>
          <w:iCs/>
        </w:rPr>
        <w:t xml:space="preserve">Geotextiles and Geomembranes</w:t>
      </w:r>
      <w:r>
        <w:t xml:space="preserve">.</w:t>
      </w:r>
    </w:p>
    <w:bookmarkEnd w:id="58"/>
    <w:bookmarkStart w:id="60" w:name="ref-Franco2022"/>
    <w:p>
      <w:pPr>
        <w:pStyle w:val="Bibliografia"/>
      </w:pPr>
      <w:r>
        <w:t xml:space="preserve">Franco, Y. B., Valentin, C. A., Kobelnik, M., Silva, J. L. da, Ribeiro, C. A., &amp; Luz, M. P. da. (2022). Accelerated Aging Ultraviolet of a PET Nonwoven Geotextile and Thermoanalytical Evaluation.</w:t>
      </w:r>
      <w:r>
        <w:t xml:space="preserve"> </w:t>
      </w:r>
      <w:r>
        <w:rPr>
          <w:i/>
          <w:iCs/>
        </w:rPr>
        <w:t xml:space="preserve">Materials</w:t>
      </w:r>
      <w:r>
        <w:t xml:space="preserve">,</w:t>
      </w:r>
      <w:r>
        <w:t xml:space="preserve"> </w:t>
      </w:r>
      <w:r>
        <w:rPr>
          <w:i/>
          <w:iCs/>
        </w:rPr>
        <w:t xml:space="preserve">15</w:t>
      </w:r>
      <w:r>
        <w:t xml:space="preserve">, 4157.</w:t>
      </w:r>
      <w:r>
        <w:t xml:space="preserve"> </w:t>
      </w:r>
      <w:hyperlink r:id="rId59">
        <w:r>
          <w:rPr>
            <w:rStyle w:val="Hyperlink"/>
          </w:rPr>
          <w:t xml:space="preserve">https://doi.org/10.3390/ma15124157</w:t>
        </w:r>
      </w:hyperlink>
    </w:p>
    <w:bookmarkEnd w:id="60"/>
    <w:bookmarkStart w:id="61" w:name="ref-Holanda2021"/>
    <w:p>
      <w:pPr>
        <w:pStyle w:val="Bibliografia"/>
      </w:pPr>
      <w:r>
        <w:t xml:space="preserve">Holanda, F. S. R., Santos, L. D. V., Sussuchi, E. M., Pedrotti, A., Santos, J. F., Silva, E. G., Fontes, C. S., &amp; Filho, R. N. A. (2021). Resistance of Syagrus coronata fibers in waterproof-coated natural geotextiles under environmental degradation.</w:t>
      </w:r>
      <w:r>
        <w:t xml:space="preserve"> </w:t>
      </w:r>
      <w:r>
        <w:rPr>
          <w:i/>
          <w:iCs/>
        </w:rPr>
        <w:t xml:space="preserve">Environmental Sciences</w:t>
      </w:r>
      <w:r>
        <w:t xml:space="preserve">.</w:t>
      </w:r>
    </w:p>
    <w:bookmarkEnd w:id="61"/>
    <w:bookmarkStart w:id="63" w:name="ref-Ibanez2014"/>
    <w:p>
      <w:pPr>
        <w:pStyle w:val="Bibliografia"/>
      </w:pPr>
      <w:r>
        <w:t xml:space="preserve">Ibáñez, I., &amp; Mccarthy-Neumann, S. (2014). Integrated assessment of the direct and indirect effects of resource gradients on tree species recruitment.</w:t>
      </w:r>
      <w:r>
        <w:t xml:space="preserve"> </w:t>
      </w:r>
      <w:r>
        <w:rPr>
          <w:i/>
          <w:iCs/>
        </w:rPr>
        <w:t xml:space="preserve">Ecology</w:t>
      </w:r>
      <w:r>
        <w:t xml:space="preserve">,</w:t>
      </w:r>
      <w:r>
        <w:t xml:space="preserve"> </w:t>
      </w:r>
      <w:r>
        <w:rPr>
          <w:i/>
          <w:iCs/>
        </w:rPr>
        <w:t xml:space="preserve">95</w:t>
      </w:r>
      <w:r>
        <w:t xml:space="preserve">, 364–375.</w:t>
      </w:r>
      <w:r>
        <w:t xml:space="preserve"> </w:t>
      </w:r>
      <w:hyperlink r:id="rId62">
        <w:r>
          <w:rPr>
            <w:rStyle w:val="Hyperlink"/>
          </w:rPr>
          <w:t xml:space="preserve">https://doi.org/10.1890/13-0685.1</w:t>
        </w:r>
      </w:hyperlink>
    </w:p>
    <w:bookmarkEnd w:id="63"/>
    <w:bookmarkStart w:id="65" w:name="ref-Islam2013"/>
    <w:p>
      <w:pPr>
        <w:pStyle w:val="Bibliografia"/>
      </w:pPr>
      <w:r>
        <w:t xml:space="preserve">Islam, M. S., &amp; Shahin, H. M. (2013). Reinforcing effect of vetiver (Vetiveria zizanioides) root in geotechnical structures - experiments and analyses.</w:t>
      </w:r>
      <w:r>
        <w:t xml:space="preserve"> </w:t>
      </w:r>
      <w:r>
        <w:rPr>
          <w:i/>
          <w:iCs/>
        </w:rPr>
        <w:t xml:space="preserve">Geomechanics and Engineering</w:t>
      </w:r>
      <w:r>
        <w:t xml:space="preserve">,</w:t>
      </w:r>
      <w:r>
        <w:t xml:space="preserve"> </w:t>
      </w:r>
      <w:r>
        <w:rPr>
          <w:i/>
          <w:iCs/>
        </w:rPr>
        <w:t xml:space="preserve">5</w:t>
      </w:r>
      <w:r>
        <w:t xml:space="preserve">, 313–329.</w:t>
      </w:r>
      <w:r>
        <w:t xml:space="preserve"> </w:t>
      </w:r>
      <w:hyperlink r:id="rId64">
        <w:r>
          <w:rPr>
            <w:rStyle w:val="Hyperlink"/>
          </w:rPr>
          <w:t xml:space="preserve">https://doi.org/10.12989/gae.2013.5.4.313</w:t>
        </w:r>
      </w:hyperlink>
    </w:p>
    <w:bookmarkEnd w:id="65"/>
    <w:bookmarkStart w:id="67" w:name="ref-katariya2025analysis"/>
    <w:p>
      <w:pPr>
        <w:pStyle w:val="Bibliografia"/>
      </w:pPr>
      <w:r>
        <w:t xml:space="preserve">Katariya, N. K., Choudhary, B. S., Esmaeili-Falak, M., &amp; Raina, A. K. (2025). Analysis of floral biodiversity, survival, and growth rate in dump slope rehabilitation of an iron ore mine with jute geotextile.</w:t>
      </w:r>
      <w:r>
        <w:t xml:space="preserve"> </w:t>
      </w:r>
      <w:r>
        <w:rPr>
          <w:i/>
          <w:iCs/>
        </w:rPr>
        <w:t xml:space="preserve">International Journal of Phytoremediation</w:t>
      </w:r>
      <w:r>
        <w:t xml:space="preserve">, 1–17.</w:t>
      </w:r>
      <w:r>
        <w:t xml:space="preserve"> </w:t>
      </w:r>
      <w:hyperlink r:id="rId66">
        <w:r>
          <w:rPr>
            <w:rStyle w:val="Hyperlink"/>
          </w:rPr>
          <w:t xml:space="preserve">https://doi.org/10.1080/15226514.2025.2501426</w:t>
        </w:r>
      </w:hyperlink>
    </w:p>
    <w:bookmarkEnd w:id="67"/>
    <w:bookmarkStart w:id="69" w:name="ref-ke2008earthworms"/>
    <w:p>
      <w:pPr>
        <w:pStyle w:val="Bibliografia"/>
      </w:pPr>
      <w:r>
        <w:t xml:space="preserve">Ke, X., &amp; Scheu, S. (2008). Earthworms, Collembola and residue management change wheat (Triticum aestivum) and herbivore pest performance (Aphidina: Rhophalosiphum padi).</w:t>
      </w:r>
      <w:r>
        <w:t xml:space="preserve"> </w:t>
      </w:r>
      <w:r>
        <w:rPr>
          <w:i/>
          <w:iCs/>
        </w:rPr>
        <w:t xml:space="preserve">Oecologia</w:t>
      </w:r>
      <w:r>
        <w:t xml:space="preserve">,</w:t>
      </w:r>
      <w:r>
        <w:t xml:space="preserve"> </w:t>
      </w:r>
      <w:r>
        <w:rPr>
          <w:i/>
          <w:iCs/>
        </w:rPr>
        <w:t xml:space="preserve">157</w:t>
      </w:r>
      <w:r>
        <w:t xml:space="preserve">(4), 603–617.</w:t>
      </w:r>
      <w:r>
        <w:t xml:space="preserve"> </w:t>
      </w:r>
      <w:hyperlink r:id="rId68">
        <w:r>
          <w:rPr>
            <w:rStyle w:val="Hyperlink"/>
          </w:rPr>
          <w:t xml:space="preserve">https://doi.org/10.1007/s00442-008-1106-y</w:t>
        </w:r>
      </w:hyperlink>
    </w:p>
    <w:bookmarkEnd w:id="69"/>
    <w:bookmarkStart w:id="70" w:name="ref-Kemper1986"/>
    <w:p>
      <w:pPr>
        <w:pStyle w:val="Bibliografia"/>
      </w:pPr>
      <w:r>
        <w:t xml:space="preserve">Kemper, W. D., &amp; Rosenau, R. C. (1986). Aggregate Stability and Size Distribution. Methods of Soil Analysis: Part 1. Physical and Mineralogical Methods. Em</w:t>
      </w:r>
      <w:r>
        <w:t xml:space="preserve"> </w:t>
      </w:r>
      <w:r>
        <w:rPr>
          <w:i/>
          <w:iCs/>
        </w:rPr>
        <w:t xml:space="preserve">Agronomy Monograph No. 9</w:t>
      </w:r>
      <w:r>
        <w:t xml:space="preserve"> </w:t>
      </w:r>
      <w:r>
        <w:t xml:space="preserve">(2º ed., p. 425–442). American Society of Agronomy.</w:t>
      </w:r>
    </w:p>
    <w:bookmarkEnd w:id="70"/>
    <w:bookmarkStart w:id="72" w:name="ref-Konvalinkova2015"/>
    <w:p>
      <w:pPr>
        <w:pStyle w:val="Bibliografia"/>
      </w:pPr>
      <w:r>
        <w:t xml:space="preserve">Konvalinková, T., Püschel, D., Janoušková, M., Gryndler, M., &amp; Jansa, J. (2015). Duration and intensity of shade differentially affects mycorrhizal growth- and phosphorus uptake responses of Medicago truncatula.</w:t>
      </w:r>
      <w:r>
        <w:t xml:space="preserve"> </w:t>
      </w:r>
      <w:r>
        <w:rPr>
          <w:i/>
          <w:iCs/>
        </w:rPr>
        <w:t xml:space="preserve">Frontiers in Plant Science</w:t>
      </w:r>
      <w:r>
        <w:t xml:space="preserve">,</w:t>
      </w:r>
      <w:r>
        <w:t xml:space="preserve"> </w:t>
      </w:r>
      <w:r>
        <w:rPr>
          <w:i/>
          <w:iCs/>
        </w:rPr>
        <w:t xml:space="preserve">6</w:t>
      </w:r>
      <w:r>
        <w:t xml:space="preserve">.</w:t>
      </w:r>
      <w:r>
        <w:t xml:space="preserve"> </w:t>
      </w:r>
      <w:hyperlink r:id="rId71">
        <w:r>
          <w:rPr>
            <w:rStyle w:val="Hyperlink"/>
          </w:rPr>
          <w:t xml:space="preserve">https://doi.org/10.3389/fpls.2015.00065</w:t>
        </w:r>
      </w:hyperlink>
    </w:p>
    <w:bookmarkEnd w:id="72"/>
    <w:bookmarkStart w:id="74" w:name="ref-Lammel2015"/>
    <w:p>
      <w:pPr>
        <w:pStyle w:val="Bibliografia"/>
      </w:pPr>
      <w:r>
        <w:t xml:space="preserve">Lammel, D. R., Cruz, L. M., Mescolotti, D., Stürmer, S. L., &amp; Cardoso, E. J. B. N. (2015). Woody Mimosa species are nodulated by Burkholderia in ombrophylous forest soils and their symbioses are enhanced by arbuscular mycorrhizal fungi (AMF).</w:t>
      </w:r>
      <w:r>
        <w:t xml:space="preserve"> </w:t>
      </w:r>
      <w:r>
        <w:rPr>
          <w:i/>
          <w:iCs/>
        </w:rPr>
        <w:t xml:space="preserve">Plant and Soil</w:t>
      </w:r>
      <w:r>
        <w:t xml:space="preserve">,</w:t>
      </w:r>
      <w:r>
        <w:t xml:space="preserve"> </w:t>
      </w:r>
      <w:r>
        <w:rPr>
          <w:i/>
          <w:iCs/>
        </w:rPr>
        <w:t xml:space="preserve">393</w:t>
      </w:r>
      <w:r>
        <w:t xml:space="preserve">, 123–135.</w:t>
      </w:r>
      <w:r>
        <w:t xml:space="preserve"> </w:t>
      </w:r>
      <w:hyperlink r:id="rId73">
        <w:r>
          <w:rPr>
            <w:rStyle w:val="Hyperlink"/>
          </w:rPr>
          <w:t xml:space="preserve">https://doi.org/10.1007/s11104-015-2470-0</w:t>
        </w:r>
      </w:hyperlink>
    </w:p>
    <w:bookmarkEnd w:id="74"/>
    <w:bookmarkStart w:id="76" w:name="ref-Leng2020_TGA_PKM"/>
    <w:p>
      <w:pPr>
        <w:pStyle w:val="Bibliografia"/>
      </w:pPr>
      <w:r>
        <w:t xml:space="preserve">Leng, L., &amp; et al.</w:t>
      </w:r>
      <w:r>
        <w:t xml:space="preserve"> (2020). Determination of Hemicellulose, Cellulose, and Lignin Content in Different Types of Biomasses by Thermogravimetric Analysis and Pseudocomponent Kinetic Model.</w:t>
      </w:r>
      <w:r>
        <w:t xml:space="preserve"> </w:t>
      </w:r>
      <w:r>
        <w:rPr>
          <w:i/>
          <w:iCs/>
        </w:rPr>
        <w:t xml:space="preserve">Processes</w:t>
      </w:r>
      <w:r>
        <w:t xml:space="preserve">,</w:t>
      </w:r>
      <w:r>
        <w:t xml:space="preserve"> </w:t>
      </w:r>
      <w:r>
        <w:rPr>
          <w:i/>
          <w:iCs/>
        </w:rPr>
        <w:t xml:space="preserve">8</w:t>
      </w:r>
      <w:r>
        <w:t xml:space="preserve">(9), 1048.</w:t>
      </w:r>
      <w:r>
        <w:t xml:space="preserve"> </w:t>
      </w:r>
      <w:hyperlink r:id="rId75">
        <w:r>
          <w:rPr>
            <w:rStyle w:val="Hyperlink"/>
          </w:rPr>
          <w:t xml:space="preserve">https://doi.org/10.3390/pr8091048</w:t>
        </w:r>
      </w:hyperlink>
    </w:p>
    <w:bookmarkEnd w:id="76"/>
    <w:bookmarkStart w:id="78" w:name="ref-li2024plant"/>
    <w:p>
      <w:pPr>
        <w:pStyle w:val="Bibliografia"/>
      </w:pPr>
      <w:r>
        <w:t xml:space="preserve">Li, J., Jia, L., Struik, P. C., An, Z., Wang, Z., Xu, Z., Ji, L., Yao, Y., Lv, J., Zhou, T., &amp; Jin, K. (2024). Plant and soil responses to tillage practices change arbuscular mycorrhizal fungi populations during crop growth.</w:t>
      </w:r>
      <w:r>
        <w:t xml:space="preserve"> </w:t>
      </w:r>
      <w:r>
        <w:rPr>
          <w:i/>
          <w:iCs/>
        </w:rPr>
        <w:t xml:space="preserve">Frontiers in Microbiology</w:t>
      </w:r>
      <w:r>
        <w:t xml:space="preserve">,</w:t>
      </w:r>
      <w:r>
        <w:t xml:space="preserve"> </w:t>
      </w:r>
      <w:r>
        <w:rPr>
          <w:i/>
          <w:iCs/>
        </w:rPr>
        <w:t xml:space="preserve">15</w:t>
      </w:r>
      <w:r>
        <w:t xml:space="preserve">, 1394104.</w:t>
      </w:r>
      <w:r>
        <w:t xml:space="preserve"> </w:t>
      </w:r>
      <w:hyperlink r:id="rId77">
        <w:r>
          <w:rPr>
            <w:rStyle w:val="Hyperlink"/>
          </w:rPr>
          <w:t xml:space="preserve">https://doi.org/10.3389/fmicb.2024.1394104</w:t>
        </w:r>
      </w:hyperlink>
    </w:p>
    <w:bookmarkEnd w:id="78"/>
    <w:bookmarkStart w:id="80" w:name="ref-Liu2008"/>
    <w:p>
      <w:pPr>
        <w:pStyle w:val="Bibliografia"/>
      </w:pPr>
      <w:r>
        <w:t xml:space="preserve">Liu, Q., Wang, S., Zheng, Y., Luo, Z., &amp; Cen, K. (2008). Mechanism study of wood lignin pyrolysis by using TG-FTIR analysis.</w:t>
      </w:r>
      <w:r>
        <w:t xml:space="preserve"> </w:t>
      </w:r>
      <w:r>
        <w:rPr>
          <w:i/>
          <w:iCs/>
        </w:rPr>
        <w:t xml:space="preserve">Journal of Analytical and Applied Pyrolysis</w:t>
      </w:r>
      <w:r>
        <w:t xml:space="preserve">,</w:t>
      </w:r>
      <w:r>
        <w:t xml:space="preserve"> </w:t>
      </w:r>
      <w:r>
        <w:rPr>
          <w:i/>
          <w:iCs/>
        </w:rPr>
        <w:t xml:space="preserve">82</w:t>
      </w:r>
      <w:r>
        <w:t xml:space="preserve">, 170–177.</w:t>
      </w:r>
      <w:r>
        <w:t xml:space="preserve"> </w:t>
      </w:r>
      <w:hyperlink r:id="rId79">
        <w:r>
          <w:rPr>
            <w:rStyle w:val="Hyperlink"/>
          </w:rPr>
          <w:t xml:space="preserve">https://doi.org/10.1016/j.jaap.2008.03.007</w:t>
        </w:r>
      </w:hyperlink>
    </w:p>
    <w:bookmarkEnd w:id="80"/>
    <w:bookmarkStart w:id="82" w:name="ref-Lorenzo2024_Typha"/>
    <w:p>
      <w:pPr>
        <w:pStyle w:val="Bibliografia"/>
      </w:pPr>
      <w:r>
        <w:t xml:space="preserve">Lorenzo, P., &amp; et al.</w:t>
      </w:r>
      <w:r>
        <w:t xml:space="preserve"> (2024). Biomass production and management of invasive Typha spp. in wetland areas.</w:t>
      </w:r>
      <w:r>
        <w:t xml:space="preserve"> </w:t>
      </w:r>
      <w:r>
        <w:rPr>
          <w:i/>
          <w:iCs/>
        </w:rPr>
        <w:t xml:space="preserve">Wetlands Ecology and Management</w:t>
      </w:r>
      <w:r>
        <w:t xml:space="preserve">.</w:t>
      </w:r>
      <w:r>
        <w:t xml:space="preserve"> </w:t>
      </w:r>
      <w:hyperlink r:id="rId81">
        <w:r>
          <w:rPr>
            <w:rStyle w:val="Hyperlink"/>
          </w:rPr>
          <w:t xml:space="preserve">https://doi.org/10.1007/s11273-023-10037-1</w:t>
        </w:r>
      </w:hyperlink>
    </w:p>
    <w:bookmarkEnd w:id="82"/>
    <w:bookmarkStart w:id="84" w:name="ref-Mahannopkul2019"/>
    <w:p>
      <w:pPr>
        <w:pStyle w:val="Bibliografia"/>
      </w:pPr>
      <w:r>
        <w:t xml:space="preserve">Mahannopkul, K., &amp; Jotisankasa, A. (2019). Influences of root concentration and suction on Chrysopogon zizanioides reinforcement of soil.</w:t>
      </w:r>
      <w:r>
        <w:t xml:space="preserve"> </w:t>
      </w:r>
      <w:r>
        <w:rPr>
          <w:i/>
          <w:iCs/>
        </w:rPr>
        <w:t xml:space="preserve">Soils and Foundations</w:t>
      </w:r>
      <w:r>
        <w:t xml:space="preserve">,</w:t>
      </w:r>
      <w:r>
        <w:t xml:space="preserve"> </w:t>
      </w:r>
      <w:r>
        <w:rPr>
          <w:i/>
          <w:iCs/>
        </w:rPr>
        <w:t xml:space="preserve">59</w:t>
      </w:r>
      <w:r>
        <w:t xml:space="preserve">, 500–516.</w:t>
      </w:r>
      <w:r>
        <w:t xml:space="preserve"> </w:t>
      </w:r>
      <w:hyperlink r:id="rId83">
        <w:r>
          <w:rPr>
            <w:rStyle w:val="Hyperlink"/>
          </w:rPr>
          <w:t xml:space="preserve">https://doi.org/10.1016/j.sandf.2018.12.014</w:t>
        </w:r>
      </w:hyperlink>
    </w:p>
    <w:bookmarkEnd w:id="84"/>
    <w:bookmarkStart w:id="86" w:name="ref-Midha2017"/>
    <w:p>
      <w:pPr>
        <w:pStyle w:val="Bibliografia"/>
      </w:pPr>
      <w:r>
        <w:t xml:space="preserve">Midha, V. K., Joshi, S., &amp; Kumar, S. S. (2017). Performance of Chemically Treated Jute Geotextile in Unpaved Roads at Different in situ Conditions.</w:t>
      </w:r>
      <w:r>
        <w:t xml:space="preserve"> </w:t>
      </w:r>
      <w:r>
        <w:rPr>
          <w:i/>
          <w:iCs/>
        </w:rPr>
        <w:t xml:space="preserve">Journal of The Institution of Engineers (India): Series E</w:t>
      </w:r>
      <w:r>
        <w:t xml:space="preserve">,</w:t>
      </w:r>
      <w:r>
        <w:t xml:space="preserve"> </w:t>
      </w:r>
      <w:r>
        <w:rPr>
          <w:i/>
          <w:iCs/>
        </w:rPr>
        <w:t xml:space="preserve">98</w:t>
      </w:r>
      <w:r>
        <w:t xml:space="preserve">, 47–54.</w:t>
      </w:r>
      <w:r>
        <w:t xml:space="preserve"> </w:t>
      </w:r>
      <w:hyperlink r:id="rId85">
        <w:r>
          <w:rPr>
            <w:rStyle w:val="Hyperlink"/>
          </w:rPr>
          <w:t xml:space="preserve">https://doi.org/10.1007/S40034-017-0093-0</w:t>
        </w:r>
      </w:hyperlink>
    </w:p>
    <w:bookmarkEnd w:id="86"/>
    <w:bookmarkStart w:id="87" w:name="ref-Nilsson1988"/>
    <w:p>
      <w:pPr>
        <w:pStyle w:val="Bibliografia"/>
      </w:pPr>
      <w:r>
        <w:t xml:space="preserve">Nilsson, T., &amp; Daniel, G. (1988). Microscopy of Wood Degradation by Fungi.</w:t>
      </w:r>
      <w:r>
        <w:t xml:space="preserve"> </w:t>
      </w:r>
      <w:r>
        <w:rPr>
          <w:i/>
          <w:iCs/>
        </w:rPr>
        <w:t xml:space="preserve">Holzforschung</w:t>
      </w:r>
      <w:r>
        <w:t xml:space="preserve">.</w:t>
      </w:r>
    </w:p>
    <w:bookmarkEnd w:id="87"/>
    <w:bookmarkStart w:id="89" w:name="ref-Niu2017"/>
    <w:p>
      <w:pPr>
        <w:pStyle w:val="Bibliografia"/>
      </w:pPr>
      <w:r>
        <w:t xml:space="preserve">Niu, X., &amp; Nan, Z. (2017). Roots of Cleistogenes songorica Improved Soil Aggregate Cohesion and Enhance Soil Water Erosion Resistance in Rainfall Simulation Experiments.</w:t>
      </w:r>
      <w:r>
        <w:t xml:space="preserve"> </w:t>
      </w:r>
      <w:r>
        <w:rPr>
          <w:i/>
          <w:iCs/>
        </w:rPr>
        <w:t xml:space="preserve">Water, Air, &amp; Soil Pollution</w:t>
      </w:r>
      <w:r>
        <w:t xml:space="preserve">,</w:t>
      </w:r>
      <w:r>
        <w:t xml:space="preserve"> </w:t>
      </w:r>
      <w:r>
        <w:rPr>
          <w:i/>
          <w:iCs/>
        </w:rPr>
        <w:t xml:space="preserve">228</w:t>
      </w:r>
      <w:r>
        <w:t xml:space="preserve">, 109.</w:t>
      </w:r>
      <w:r>
        <w:t xml:space="preserve"> </w:t>
      </w:r>
      <w:hyperlink r:id="rId88">
        <w:r>
          <w:rPr>
            <w:rStyle w:val="Hyperlink"/>
          </w:rPr>
          <w:t xml:space="preserve">https://doi.org/10.1007/s11270-017-3289-5</w:t>
        </w:r>
      </w:hyperlink>
    </w:p>
    <w:bookmarkEnd w:id="89"/>
    <w:bookmarkStart w:id="91" w:name="ref-Pil2019"/>
    <w:p>
      <w:pPr>
        <w:pStyle w:val="Bibliografia"/>
      </w:pPr>
      <w:r>
        <w:t xml:space="preserve">Pil, L., &amp; et al.</w:t>
      </w:r>
      <w:r>
        <w:t xml:space="preserve"> (2022). Biodegradable Nonwoven Agrotextile and Films—A Review.</w:t>
      </w:r>
      <w:r>
        <w:t xml:space="preserve"> </w:t>
      </w:r>
      <w:r>
        <w:rPr>
          <w:i/>
          <w:iCs/>
        </w:rPr>
        <w:t xml:space="preserve">Polymers</w:t>
      </w:r>
      <w:r>
        <w:t xml:space="preserve">,</w:t>
      </w:r>
      <w:r>
        <w:t xml:space="preserve"> </w:t>
      </w:r>
      <w:r>
        <w:rPr>
          <w:i/>
          <w:iCs/>
        </w:rPr>
        <w:t xml:space="preserve">14</w:t>
      </w:r>
      <w:r>
        <w:t xml:space="preserve">(11), 2178.</w:t>
      </w:r>
      <w:r>
        <w:t xml:space="preserve"> </w:t>
      </w:r>
      <w:hyperlink r:id="rId90">
        <w:r>
          <w:rPr>
            <w:rStyle w:val="Hyperlink"/>
          </w:rPr>
          <w:t xml:space="preserve">https://doi.org/10.3390/polym14112178</w:t>
        </w:r>
      </w:hyperlink>
    </w:p>
    <w:bookmarkEnd w:id="91"/>
    <w:bookmarkStart w:id="93" w:name="ref-Ray2002"/>
    <w:p>
      <w:pPr>
        <w:pStyle w:val="Bibliografia"/>
      </w:pPr>
      <w:r>
        <w:t xml:space="preserve">Ray, D., Sarkar, B. K., Basak, R. K., &amp; Rana, A. K. (2002). Study of the thermal behavior of alkali-treated jute fibers.</w:t>
      </w:r>
      <w:r>
        <w:t xml:space="preserve"> </w:t>
      </w:r>
      <w:r>
        <w:rPr>
          <w:i/>
          <w:iCs/>
        </w:rPr>
        <w:t xml:space="preserve">Journal of Applied Polymer Science</w:t>
      </w:r>
      <w:r>
        <w:t xml:space="preserve">,</w:t>
      </w:r>
      <w:r>
        <w:t xml:space="preserve"> </w:t>
      </w:r>
      <w:r>
        <w:rPr>
          <w:i/>
          <w:iCs/>
        </w:rPr>
        <w:t xml:space="preserve">85</w:t>
      </w:r>
      <w:r>
        <w:t xml:space="preserve">, 2594–2599.</w:t>
      </w:r>
      <w:r>
        <w:t xml:space="preserve"> </w:t>
      </w:r>
      <w:hyperlink r:id="rId92">
        <w:r>
          <w:rPr>
            <w:rStyle w:val="Hyperlink"/>
          </w:rPr>
          <w:t xml:space="preserve">https://doi.org/10.1002/app.10934</w:t>
        </w:r>
      </w:hyperlink>
    </w:p>
    <w:bookmarkEnd w:id="93"/>
    <w:bookmarkStart w:id="94" w:name="ref-Rillig2002"/>
    <w:p>
      <w:pPr>
        <w:pStyle w:val="Bibliografia"/>
      </w:pPr>
      <w:r>
        <w:t xml:space="preserve">Rillig, M., Wright, S., &amp; Eviner, V. (2002). The role of arbuscular mycorrhizal fungi and glomalin in soil aggregation: comparing effects of five plant species.</w:t>
      </w:r>
      <w:r>
        <w:t xml:space="preserve"> </w:t>
      </w:r>
      <w:r>
        <w:rPr>
          <w:i/>
          <w:iCs/>
        </w:rPr>
        <w:t xml:space="preserve">Plant Soil</w:t>
      </w:r>
      <w:r>
        <w:t xml:space="preserve">,</w:t>
      </w:r>
      <w:r>
        <w:t xml:space="preserve"> </w:t>
      </w:r>
      <w:r>
        <w:rPr>
          <w:i/>
          <w:iCs/>
        </w:rPr>
        <w:t xml:space="preserve">238</w:t>
      </w:r>
      <w:r>
        <w:t xml:space="preserve">, 325–333.</w:t>
      </w:r>
    </w:p>
    <w:bookmarkEnd w:id="94"/>
    <w:bookmarkStart w:id="96" w:name="ref-Rodriguez2023"/>
    <w:p>
      <w:pPr>
        <w:pStyle w:val="Bibliografia"/>
      </w:pPr>
      <w:r>
        <w:t xml:space="preserve">Rodríguez, A., &amp; et al.</w:t>
      </w:r>
      <w:r>
        <w:t xml:space="preserve"> (2023). Investigation of the Protective Function of a Lignin Coating of Natural Fiber Geotextiles against Biodegradation.</w:t>
      </w:r>
      <w:r>
        <w:t xml:space="preserve"> </w:t>
      </w:r>
      <w:r>
        <w:rPr>
          <w:i/>
          <w:iCs/>
        </w:rPr>
        <w:t xml:space="preserve">Materials</w:t>
      </w:r>
      <w:r>
        <w:t xml:space="preserve">,</w:t>
      </w:r>
      <w:r>
        <w:t xml:space="preserve"> </w:t>
      </w:r>
      <w:r>
        <w:rPr>
          <w:i/>
          <w:iCs/>
        </w:rPr>
        <w:t xml:space="preserve">16</w:t>
      </w:r>
      <w:r>
        <w:t xml:space="preserve">(13), 4849.</w:t>
      </w:r>
      <w:r>
        <w:t xml:space="preserve"> </w:t>
      </w:r>
      <w:hyperlink r:id="rId95">
        <w:r>
          <w:rPr>
            <w:rStyle w:val="Hyperlink"/>
          </w:rPr>
          <w:t xml:space="preserve">https://doi.org/10.3390/ma16134849</w:t>
        </w:r>
      </w:hyperlink>
    </w:p>
    <w:bookmarkEnd w:id="96"/>
    <w:bookmarkStart w:id="98" w:name="ref-Schneider2023"/>
    <w:p>
      <w:pPr>
        <w:pStyle w:val="Bibliografia"/>
      </w:pPr>
      <w:r>
        <w:t xml:space="preserve">Schneider, L., &amp; et al.</w:t>
      </w:r>
      <w:r>
        <w:t xml:space="preserve"> (2023). Biodegradation Properties of Cellulose Fibers and PLA Biopolymer.</w:t>
      </w:r>
      <w:r>
        <w:t xml:space="preserve"> </w:t>
      </w:r>
      <w:r>
        <w:rPr>
          <w:i/>
          <w:iCs/>
        </w:rPr>
        <w:t xml:space="preserve">Polymers</w:t>
      </w:r>
      <w:r>
        <w:t xml:space="preserve">,</w:t>
      </w:r>
      <w:r>
        <w:t xml:space="preserve"> </w:t>
      </w:r>
      <w:r>
        <w:rPr>
          <w:i/>
          <w:iCs/>
        </w:rPr>
        <w:t xml:space="preserve">15</w:t>
      </w:r>
      <w:r>
        <w:t xml:space="preserve">(17), 3532.</w:t>
      </w:r>
      <w:r>
        <w:t xml:space="preserve"> </w:t>
      </w:r>
      <w:hyperlink r:id="rId97">
        <w:r>
          <w:rPr>
            <w:rStyle w:val="Hyperlink"/>
          </w:rPr>
          <w:t xml:space="preserve">https://doi.org/10.3390/polym15173532</w:t>
        </w:r>
      </w:hyperlink>
    </w:p>
    <w:bookmarkEnd w:id="98"/>
    <w:bookmarkStart w:id="99" w:name="ref-Segal1959"/>
    <w:p>
      <w:pPr>
        <w:pStyle w:val="Bibliografia"/>
      </w:pPr>
      <w:r>
        <w:t xml:space="preserve">Segal, L., Creely, J. J., Jr., A. E. M., &amp; Conrad, C. M. (1959). An empirical method for estimating the degree of crystallinity of native cellulose using the X-ray diffractometer.</w:t>
      </w:r>
      <w:r>
        <w:t xml:space="preserve"> </w:t>
      </w:r>
      <w:r>
        <w:rPr>
          <w:i/>
          <w:iCs/>
        </w:rPr>
        <w:t xml:space="preserve">Textile Research Journal</w:t>
      </w:r>
      <w:r>
        <w:t xml:space="preserve">,</w:t>
      </w:r>
      <w:r>
        <w:t xml:space="preserve"> </w:t>
      </w:r>
      <w:r>
        <w:rPr>
          <w:i/>
          <w:iCs/>
        </w:rPr>
        <w:t xml:space="preserve">29</w:t>
      </w:r>
      <w:r>
        <w:t xml:space="preserve">, 786–794.</w:t>
      </w:r>
    </w:p>
    <w:bookmarkEnd w:id="99"/>
    <w:bookmarkStart w:id="101" w:name="ref-Silva2025"/>
    <w:p>
      <w:pPr>
        <w:pStyle w:val="Bibliografia"/>
      </w:pPr>
      <w:r>
        <w:t xml:space="preserve">Silva, A., &amp; et al.</w:t>
      </w:r>
      <w:r>
        <w:t xml:space="preserve"> (2025). Analysis of fracture characteristics and biodegradation resistance of natural fibers geotextiles from Typha domingensis, Eleocharis sp., and Syagrus coronata, under waterproofing Resin.</w:t>
      </w:r>
      <w:r>
        <w:t xml:space="preserve"> </w:t>
      </w:r>
      <w:r>
        <w:rPr>
          <w:i/>
          <w:iCs/>
        </w:rPr>
        <w:t xml:space="preserve">SN Applied Sciences</w:t>
      </w:r>
      <w:r>
        <w:t xml:space="preserve">.</w:t>
      </w:r>
      <w:r>
        <w:t xml:space="preserve"> </w:t>
      </w:r>
      <w:hyperlink r:id="rId100">
        <w:r>
          <w:rPr>
            <w:rStyle w:val="Hyperlink"/>
          </w:rPr>
          <w:t xml:space="preserve">https://doi.org/10.1007/s42452-025-06594-1</w:t>
        </w:r>
      </w:hyperlink>
    </w:p>
    <w:bookmarkEnd w:id="101"/>
    <w:bookmarkStart w:id="103" w:name="ref-Singh2024_vetiver"/>
    <w:p>
      <w:pPr>
        <w:pStyle w:val="Bibliografia"/>
      </w:pPr>
      <w:r>
        <w:t xml:space="preserve">Singh, R., &amp; et al.</w:t>
      </w:r>
      <w:r>
        <w:t xml:space="preserve"> (2024). Mechanical and biodegradation analysis under various environmental conditions of the waste vetiver root fiber reinforced soy composite.</w:t>
      </w:r>
      <w:r>
        <w:t xml:space="preserve"> </w:t>
      </w:r>
      <w:r>
        <w:rPr>
          <w:i/>
          <w:iCs/>
        </w:rPr>
        <w:t xml:space="preserve">Polymers for Advanced Technologies</w:t>
      </w:r>
      <w:r>
        <w:t xml:space="preserve">.</w:t>
      </w:r>
      <w:r>
        <w:t xml:space="preserve"> </w:t>
      </w:r>
      <w:hyperlink r:id="rId102">
        <w:r>
          <w:rPr>
            <w:rStyle w:val="Hyperlink"/>
          </w:rPr>
          <w:t xml:space="preserve">https://doi.org/10.1002/pi.6664</w:t>
        </w:r>
      </w:hyperlink>
    </w:p>
    <w:bookmarkEnd w:id="103"/>
    <w:bookmarkStart w:id="105" w:name="ref-Thakur2019"/>
    <w:p>
      <w:pPr>
        <w:pStyle w:val="Bibliografia"/>
      </w:pPr>
      <w:r>
        <w:t xml:space="preserve">Thakur, R. N., Gupta, S. K., Sinha, A., Chawla, S., &amp; Vadavadagi, S. S. (2019). A Durability Study of Jute Geotextile Treated with Bitumen Emulsion.</w:t>
      </w:r>
      <w:r>
        <w:t xml:space="preserve"> </w:t>
      </w:r>
      <w:r>
        <w:rPr>
          <w:i/>
          <w:iCs/>
        </w:rPr>
        <w:t xml:space="preserve">Journal of Natural Fibers</w:t>
      </w:r>
      <w:r>
        <w:t xml:space="preserve">, 1–19.</w:t>
      </w:r>
      <w:r>
        <w:t xml:space="preserve"> </w:t>
      </w:r>
      <w:hyperlink r:id="rId104">
        <w:r>
          <w:rPr>
            <w:rStyle w:val="Hyperlink"/>
          </w:rPr>
          <w:t xml:space="preserve">https://doi.org/10.1080/15440478.2019.1623749</w:t>
        </w:r>
      </w:hyperlink>
    </w:p>
    <w:bookmarkEnd w:id="105"/>
    <w:bookmarkStart w:id="107" w:name="ref-Vannoppen2017"/>
    <w:p>
      <w:pPr>
        <w:pStyle w:val="Bibliografia"/>
      </w:pPr>
      <w:r>
        <w:t xml:space="preserve">Vannoppen, W., Baets, S. D., Keeble, J., Dong, Y., &amp; Poesen, J. (2017). How do root and soil characteristics affect the erosion-reducing potential of plant species?</w:t>
      </w:r>
      <w:r>
        <w:t xml:space="preserve"> </w:t>
      </w:r>
      <w:r>
        <w:rPr>
          <w:i/>
          <w:iCs/>
        </w:rPr>
        <w:t xml:space="preserve">Ecological Engineering</w:t>
      </w:r>
      <w:r>
        <w:t xml:space="preserve">,</w:t>
      </w:r>
      <w:r>
        <w:t xml:space="preserve"> </w:t>
      </w:r>
      <w:r>
        <w:rPr>
          <w:i/>
          <w:iCs/>
        </w:rPr>
        <w:t xml:space="preserve">109</w:t>
      </w:r>
      <w:r>
        <w:t xml:space="preserve">, 186–195.</w:t>
      </w:r>
      <w:r>
        <w:t xml:space="preserve"> </w:t>
      </w:r>
      <w:hyperlink r:id="rId106">
        <w:r>
          <w:rPr>
            <w:rStyle w:val="Hyperlink"/>
          </w:rPr>
          <w:t xml:space="preserve">https://doi.org/10.1016/j.ecoleng.2017.08.001</w:t>
        </w:r>
      </w:hyperlink>
    </w:p>
    <w:bookmarkEnd w:id="107"/>
    <w:bookmarkStart w:id="109" w:name="ref-Veylon2015"/>
    <w:p>
      <w:pPr>
        <w:pStyle w:val="Bibliografia"/>
      </w:pPr>
      <w:r>
        <w:t xml:space="preserve">Veylon, G., Ghestem, M., Stokes, A., &amp; Bernard, A. (2015). Quantification of mechanical and hydric components of soil reinforcement by plant roots.</w:t>
      </w:r>
      <w:r>
        <w:t xml:space="preserve"> </w:t>
      </w:r>
      <w:r>
        <w:rPr>
          <w:i/>
          <w:iCs/>
        </w:rPr>
        <w:t xml:space="preserve">Canadian Geotechnical Journal</w:t>
      </w:r>
      <w:r>
        <w:t xml:space="preserve">,</w:t>
      </w:r>
      <w:r>
        <w:t xml:space="preserve"> </w:t>
      </w:r>
      <w:r>
        <w:rPr>
          <w:i/>
          <w:iCs/>
        </w:rPr>
        <w:t xml:space="preserve">52</w:t>
      </w:r>
      <w:r>
        <w:t xml:space="preserve">, 150428143438008.</w:t>
      </w:r>
      <w:r>
        <w:t xml:space="preserve"> </w:t>
      </w:r>
      <w:hyperlink r:id="rId108">
        <w:r>
          <w:rPr>
            <w:rStyle w:val="Hyperlink"/>
          </w:rPr>
          <w:t xml:space="preserve">https://doi.org/10.1139/cgj-2014-0090</w:t>
        </w:r>
      </w:hyperlink>
    </w:p>
    <w:bookmarkEnd w:id="109"/>
    <w:bookmarkStart w:id="111" w:name="ref-Vivek2019"/>
    <w:p>
      <w:pPr>
        <w:pStyle w:val="Bibliografia"/>
      </w:pPr>
      <w:r>
        <w:t xml:space="preserve">Vivek, Dutta, R. K., &amp; Parti, R. (2019). Effect of chemical treatment on the tensile strength behaviour of coir geotextiles.</w:t>
      </w:r>
      <w:r>
        <w:t xml:space="preserve"> </w:t>
      </w:r>
      <w:r>
        <w:rPr>
          <w:i/>
          <w:iCs/>
        </w:rPr>
        <w:t xml:space="preserve">Journal of Natural Fibers</w:t>
      </w:r>
      <w:r>
        <w:t xml:space="preserve">,</w:t>
      </w:r>
      <w:r>
        <w:t xml:space="preserve"> </w:t>
      </w:r>
      <w:r>
        <w:rPr>
          <w:i/>
          <w:iCs/>
        </w:rPr>
        <w:t xml:space="preserve">17</w:t>
      </w:r>
      <w:r>
        <w:t xml:space="preserve">(4), 542–556.</w:t>
      </w:r>
      <w:r>
        <w:t xml:space="preserve"> </w:t>
      </w:r>
      <w:hyperlink r:id="rId110">
        <w:r>
          <w:rPr>
            <w:rStyle w:val="Hyperlink"/>
          </w:rPr>
          <w:t xml:space="preserve">https://doi.org/10.1080/15440478.2019.1655329</w:t>
        </w:r>
      </w:hyperlink>
    </w:p>
    <w:bookmarkEnd w:id="111"/>
    <w:bookmarkStart w:id="113" w:name="ref-Vivek2020"/>
    <w:p>
      <w:pPr>
        <w:pStyle w:val="Bibliografia"/>
      </w:pPr>
      <w:r>
        <w:t xml:space="preserve">Vivek, Dutta, R. K., &amp; Parti, R. (2020). Application Potential of Treated Coir Geotextiles in Unpaved Roads.</w:t>
      </w:r>
      <w:r>
        <w:t xml:space="preserve"> </w:t>
      </w:r>
      <w:r>
        <w:rPr>
          <w:i/>
          <w:iCs/>
        </w:rPr>
        <w:t xml:space="preserve">Journal of Natural Fibers</w:t>
      </w:r>
      <w:r>
        <w:t xml:space="preserve">,</w:t>
      </w:r>
      <w:r>
        <w:t xml:space="preserve"> </w:t>
      </w:r>
      <w:r>
        <w:rPr>
          <w:i/>
          <w:iCs/>
        </w:rPr>
        <w:t xml:space="preserve">17</w:t>
      </w:r>
      <w:r>
        <w:t xml:space="preserve">(10), 1454–1467.</w:t>
      </w:r>
      <w:r>
        <w:t xml:space="preserve"> </w:t>
      </w:r>
      <w:hyperlink r:id="rId112">
        <w:r>
          <w:rPr>
            <w:rStyle w:val="Hyperlink"/>
          </w:rPr>
          <w:t xml:space="preserve">https://doi.org/10.1080/15440478.2019.1578718</w:t>
        </w:r>
      </w:hyperlink>
    </w:p>
    <w:bookmarkEnd w:id="113"/>
    <w:bookmarkStart w:id="114" w:name="ref-Wu1979"/>
    <w:p>
      <w:pPr>
        <w:pStyle w:val="Bibliografia"/>
      </w:pPr>
      <w:r>
        <w:t xml:space="preserve">Wu, T. H., III, W. P. M., &amp; Swanston, D. N. (1979). Strength of tree roots and landslides on Prince of Wales Island, Alaska.</w:t>
      </w:r>
      <w:r>
        <w:t xml:space="preserve"> </w:t>
      </w:r>
      <w:r>
        <w:rPr>
          <w:i/>
          <w:iCs/>
        </w:rPr>
        <w:t xml:space="preserve">Canadian Geotechnical Journal</w:t>
      </w:r>
      <w:r>
        <w:t xml:space="preserve">,</w:t>
      </w:r>
      <w:r>
        <w:t xml:space="preserve"> </w:t>
      </w:r>
      <w:r>
        <w:rPr>
          <w:i/>
          <w:iCs/>
        </w:rPr>
        <w:t xml:space="preserve">16</w:t>
      </w:r>
      <w:r>
        <w:t xml:space="preserve">, 19–33.</w:t>
      </w:r>
    </w:p>
    <w:bookmarkEnd w:id="114"/>
    <w:bookmarkEnd w:id="115"/>
    <w:bookmarkEnd w:id="116"/>
    <w:sectPr w:rsidR="000974DF" w:rsidSect="00BF78FB">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40502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6C23"/>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87CF5"/>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BF78FB"/>
    <w:rsid w:val="00C01052"/>
    <w:rsid w:val="00C01482"/>
    <w:rsid w:val="00C01F1C"/>
    <w:rsid w:val="00C04511"/>
    <w:rsid w:val="00C04A0A"/>
    <w:rsid w:val="00C04C00"/>
    <w:rsid w:val="00C052A3"/>
    <w:rsid w:val="00C0664E"/>
    <w:rsid w:val="00C06C2B"/>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1E68"/>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01B6"/>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hyperlink" Id="rId92" Target="https://doi.org/10.1002/app.10934" TargetMode="External" /><Relationship Type="http://schemas.openxmlformats.org/officeDocument/2006/relationships/hyperlink" Id="rId102" Target="https://doi.org/10.1002/pi.6664" TargetMode="External" /><Relationship Type="http://schemas.openxmlformats.org/officeDocument/2006/relationships/hyperlink" Id="rId39" Target="https://doi.org/10.1007/S11783-022-1528-5" TargetMode="External" /><Relationship Type="http://schemas.openxmlformats.org/officeDocument/2006/relationships/hyperlink" Id="rId85" Target="https://doi.org/10.1007/S40034-017-0093-0" TargetMode="External" /><Relationship Type="http://schemas.openxmlformats.org/officeDocument/2006/relationships/hyperlink" Id="rId56" Target="https://doi.org/10.1007/S40891-021-00341-3" TargetMode="External" /><Relationship Type="http://schemas.openxmlformats.org/officeDocument/2006/relationships/hyperlink" Id="rId35" Target="https://doi.org/10.1007/s00170-023-12549-w" TargetMode="External" /><Relationship Type="http://schemas.openxmlformats.org/officeDocument/2006/relationships/hyperlink" Id="rId68" Target="https://doi.org/10.1007/s00442-008-1106-y" TargetMode="External" /><Relationship Type="http://schemas.openxmlformats.org/officeDocument/2006/relationships/hyperlink" Id="rId73" Target="https://doi.org/10.1007/s11104-015-2470-0" TargetMode="External" /><Relationship Type="http://schemas.openxmlformats.org/officeDocument/2006/relationships/hyperlink" Id="rId88" Target="https://doi.org/10.1007/s11270-017-3289-5" TargetMode="External" /><Relationship Type="http://schemas.openxmlformats.org/officeDocument/2006/relationships/hyperlink" Id="rId81" Target="https://doi.org/10.1007/s11273-023-10037-1" TargetMode="External" /><Relationship Type="http://schemas.openxmlformats.org/officeDocument/2006/relationships/hyperlink" Id="rId100" Target="https://doi.org/10.1007/s42452-025-06594-1" TargetMode="External" /><Relationship Type="http://schemas.openxmlformats.org/officeDocument/2006/relationships/hyperlink" Id="rId54" Target="https://doi.org/10.1016/J.CONBUILDMAT.2018.01.067" TargetMode="External" /><Relationship Type="http://schemas.openxmlformats.org/officeDocument/2006/relationships/hyperlink" Id="rId50" Target="https://doi.org/10.1016/j.agee.2006.01.005" TargetMode="External" /><Relationship Type="http://schemas.openxmlformats.org/officeDocument/2006/relationships/hyperlink" Id="rId106" Target="https://doi.org/10.1016/j.ecoleng.2017.08.001" TargetMode="External" /><Relationship Type="http://schemas.openxmlformats.org/officeDocument/2006/relationships/hyperlink" Id="rId79" Target="https://doi.org/10.1016/j.jaap.2008.03.007" TargetMode="External" /><Relationship Type="http://schemas.openxmlformats.org/officeDocument/2006/relationships/hyperlink" Id="rId83" Target="https://doi.org/10.1016/j.sandf.2018.12.014" TargetMode="External" /><Relationship Type="http://schemas.openxmlformats.org/officeDocument/2006/relationships/hyperlink" Id="rId45" Target="https://doi.org/10.1038/s41467-017-02142-7" TargetMode="External" /><Relationship Type="http://schemas.openxmlformats.org/officeDocument/2006/relationships/hyperlink" Id="rId66" Target="https://doi.org/10.1080/15226514.2025.2501426" TargetMode="External" /><Relationship Type="http://schemas.openxmlformats.org/officeDocument/2006/relationships/hyperlink" Id="rId112" Target="https://doi.org/10.1080/15440478.2019.1578718" TargetMode="External" /><Relationship Type="http://schemas.openxmlformats.org/officeDocument/2006/relationships/hyperlink" Id="rId104" Target="https://doi.org/10.1080/15440478.2019.1623749" TargetMode="External" /><Relationship Type="http://schemas.openxmlformats.org/officeDocument/2006/relationships/hyperlink" Id="rId110" Target="https://doi.org/10.1080/15440478.2019.1655329" TargetMode="External" /><Relationship Type="http://schemas.openxmlformats.org/officeDocument/2006/relationships/hyperlink" Id="rId108" Target="https://doi.org/10.1139/cgj-2014-0090" TargetMode="External" /><Relationship Type="http://schemas.openxmlformats.org/officeDocument/2006/relationships/hyperlink" Id="rId64" Target="https://doi.org/10.12989/gae.2013.5.4.313" TargetMode="External" /><Relationship Type="http://schemas.openxmlformats.org/officeDocument/2006/relationships/hyperlink" Id="rId52" Target="https://doi.org/10.1680/jgein.17.00020" TargetMode="External" /><Relationship Type="http://schemas.openxmlformats.org/officeDocument/2006/relationships/hyperlink" Id="rId62" Target="https://doi.org/10.1890/13-0685.1" TargetMode="External" /><Relationship Type="http://schemas.openxmlformats.org/officeDocument/2006/relationships/hyperlink" Id="rId77" Target="https://doi.org/10.3389/fmicb.2024.1394104" TargetMode="External" /><Relationship Type="http://schemas.openxmlformats.org/officeDocument/2006/relationships/hyperlink" Id="rId71" Target="https://doi.org/10.3389/fpls.2015.00065" TargetMode="External" /><Relationship Type="http://schemas.openxmlformats.org/officeDocument/2006/relationships/hyperlink" Id="rId48" Target="https://doi.org/10.3390/en16093674" TargetMode="External" /><Relationship Type="http://schemas.openxmlformats.org/officeDocument/2006/relationships/hyperlink" Id="rId59" Target="https://doi.org/10.3390/ma15124157" TargetMode="External" /><Relationship Type="http://schemas.openxmlformats.org/officeDocument/2006/relationships/hyperlink" Id="rId41" Target="https://doi.org/10.3390/ma16113913" TargetMode="External" /><Relationship Type="http://schemas.openxmlformats.org/officeDocument/2006/relationships/hyperlink" Id="rId95" Target="https://doi.org/10.3390/ma16134849" TargetMode="External" /><Relationship Type="http://schemas.openxmlformats.org/officeDocument/2006/relationships/hyperlink" Id="rId90" Target="https://doi.org/10.3390/polym14112178" TargetMode="External" /><Relationship Type="http://schemas.openxmlformats.org/officeDocument/2006/relationships/hyperlink" Id="rId97" Target="https://doi.org/10.3390/polym15173532" TargetMode="External" /><Relationship Type="http://schemas.openxmlformats.org/officeDocument/2006/relationships/hyperlink" Id="rId75" Target="https://doi.org/10.3390/pr8091048" TargetMode="External" /><Relationship Type="http://schemas.openxmlformats.org/officeDocument/2006/relationships/hyperlink" Id="rId37" Target="https://doi.org/10.4028/www.scientific.net/KEM.925.9" TargetMode="External" /><Relationship Type="http://schemas.openxmlformats.org/officeDocument/2006/relationships/hyperlink" Id="rId43" Target="https://doi.org/10.5433/1679-0359.2017v38n4p1813"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002/app.10934" TargetMode="External" /><Relationship Type="http://schemas.openxmlformats.org/officeDocument/2006/relationships/hyperlink" Id="rId102" Target="https://doi.org/10.1002/pi.6664" TargetMode="External" /><Relationship Type="http://schemas.openxmlformats.org/officeDocument/2006/relationships/hyperlink" Id="rId39" Target="https://doi.org/10.1007/S11783-022-1528-5" TargetMode="External" /><Relationship Type="http://schemas.openxmlformats.org/officeDocument/2006/relationships/hyperlink" Id="rId85" Target="https://doi.org/10.1007/S40034-017-0093-0" TargetMode="External" /><Relationship Type="http://schemas.openxmlformats.org/officeDocument/2006/relationships/hyperlink" Id="rId56" Target="https://doi.org/10.1007/S40891-021-00341-3" TargetMode="External" /><Relationship Type="http://schemas.openxmlformats.org/officeDocument/2006/relationships/hyperlink" Id="rId35" Target="https://doi.org/10.1007/s00170-023-12549-w" TargetMode="External" /><Relationship Type="http://schemas.openxmlformats.org/officeDocument/2006/relationships/hyperlink" Id="rId68" Target="https://doi.org/10.1007/s00442-008-1106-y" TargetMode="External" /><Relationship Type="http://schemas.openxmlformats.org/officeDocument/2006/relationships/hyperlink" Id="rId73" Target="https://doi.org/10.1007/s11104-015-2470-0" TargetMode="External" /><Relationship Type="http://schemas.openxmlformats.org/officeDocument/2006/relationships/hyperlink" Id="rId88" Target="https://doi.org/10.1007/s11270-017-3289-5" TargetMode="External" /><Relationship Type="http://schemas.openxmlformats.org/officeDocument/2006/relationships/hyperlink" Id="rId81" Target="https://doi.org/10.1007/s11273-023-10037-1" TargetMode="External" /><Relationship Type="http://schemas.openxmlformats.org/officeDocument/2006/relationships/hyperlink" Id="rId100" Target="https://doi.org/10.1007/s42452-025-06594-1" TargetMode="External" /><Relationship Type="http://schemas.openxmlformats.org/officeDocument/2006/relationships/hyperlink" Id="rId54" Target="https://doi.org/10.1016/J.CONBUILDMAT.2018.01.067" TargetMode="External" /><Relationship Type="http://schemas.openxmlformats.org/officeDocument/2006/relationships/hyperlink" Id="rId50" Target="https://doi.org/10.1016/j.agee.2006.01.005" TargetMode="External" /><Relationship Type="http://schemas.openxmlformats.org/officeDocument/2006/relationships/hyperlink" Id="rId106" Target="https://doi.org/10.1016/j.ecoleng.2017.08.001" TargetMode="External" /><Relationship Type="http://schemas.openxmlformats.org/officeDocument/2006/relationships/hyperlink" Id="rId79" Target="https://doi.org/10.1016/j.jaap.2008.03.007" TargetMode="External" /><Relationship Type="http://schemas.openxmlformats.org/officeDocument/2006/relationships/hyperlink" Id="rId83" Target="https://doi.org/10.1016/j.sandf.2018.12.014" TargetMode="External" /><Relationship Type="http://schemas.openxmlformats.org/officeDocument/2006/relationships/hyperlink" Id="rId45" Target="https://doi.org/10.1038/s41467-017-02142-7" TargetMode="External" /><Relationship Type="http://schemas.openxmlformats.org/officeDocument/2006/relationships/hyperlink" Id="rId66" Target="https://doi.org/10.1080/15226514.2025.2501426" TargetMode="External" /><Relationship Type="http://schemas.openxmlformats.org/officeDocument/2006/relationships/hyperlink" Id="rId112" Target="https://doi.org/10.1080/15440478.2019.1578718" TargetMode="External" /><Relationship Type="http://schemas.openxmlformats.org/officeDocument/2006/relationships/hyperlink" Id="rId104" Target="https://doi.org/10.1080/15440478.2019.1623749" TargetMode="External" /><Relationship Type="http://schemas.openxmlformats.org/officeDocument/2006/relationships/hyperlink" Id="rId110" Target="https://doi.org/10.1080/15440478.2019.1655329" TargetMode="External" /><Relationship Type="http://schemas.openxmlformats.org/officeDocument/2006/relationships/hyperlink" Id="rId108" Target="https://doi.org/10.1139/cgj-2014-0090" TargetMode="External" /><Relationship Type="http://schemas.openxmlformats.org/officeDocument/2006/relationships/hyperlink" Id="rId64" Target="https://doi.org/10.12989/gae.2013.5.4.313" TargetMode="External" /><Relationship Type="http://schemas.openxmlformats.org/officeDocument/2006/relationships/hyperlink" Id="rId52" Target="https://doi.org/10.1680/jgein.17.00020" TargetMode="External" /><Relationship Type="http://schemas.openxmlformats.org/officeDocument/2006/relationships/hyperlink" Id="rId62" Target="https://doi.org/10.1890/13-0685.1" TargetMode="External" /><Relationship Type="http://schemas.openxmlformats.org/officeDocument/2006/relationships/hyperlink" Id="rId77" Target="https://doi.org/10.3389/fmicb.2024.1394104" TargetMode="External" /><Relationship Type="http://schemas.openxmlformats.org/officeDocument/2006/relationships/hyperlink" Id="rId71" Target="https://doi.org/10.3389/fpls.2015.00065" TargetMode="External" /><Relationship Type="http://schemas.openxmlformats.org/officeDocument/2006/relationships/hyperlink" Id="rId48" Target="https://doi.org/10.3390/en16093674" TargetMode="External" /><Relationship Type="http://schemas.openxmlformats.org/officeDocument/2006/relationships/hyperlink" Id="rId59" Target="https://doi.org/10.3390/ma15124157" TargetMode="External" /><Relationship Type="http://schemas.openxmlformats.org/officeDocument/2006/relationships/hyperlink" Id="rId41" Target="https://doi.org/10.3390/ma16113913" TargetMode="External" /><Relationship Type="http://schemas.openxmlformats.org/officeDocument/2006/relationships/hyperlink" Id="rId95" Target="https://doi.org/10.3390/ma16134849" TargetMode="External" /><Relationship Type="http://schemas.openxmlformats.org/officeDocument/2006/relationships/hyperlink" Id="rId90" Target="https://doi.org/10.3390/polym14112178" TargetMode="External" /><Relationship Type="http://schemas.openxmlformats.org/officeDocument/2006/relationships/hyperlink" Id="rId97" Target="https://doi.org/10.3390/polym15173532" TargetMode="External" /><Relationship Type="http://schemas.openxmlformats.org/officeDocument/2006/relationships/hyperlink" Id="rId75" Target="https://doi.org/10.3390/pr8091048" TargetMode="External" /><Relationship Type="http://schemas.openxmlformats.org/officeDocument/2006/relationships/hyperlink" Id="rId37" Target="https://doi.org/10.4028/www.scientific.net/KEM.925.9" TargetMode="External" /><Relationship Type="http://schemas.openxmlformats.org/officeDocument/2006/relationships/hyperlink" Id="rId43" Target="https://doi.org/10.5433/1679-0359.2017v38n4p1813"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1</Pages>
  <Words>9</Words>
  <Characters>63</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Arquitetura Química, Confiabilidade e Serviços Ecossistêmicos de Geotêxteis Lignocelulósicos em Solos Tropicais</dc:title>
  <dc:creator>Diego Vidal</dc:creator>
  <dc:language>pt-br</dc:language>
  <cp:keywords/>
  <dcterms:created xsi:type="dcterms:W3CDTF">2025-12-02T20:03:54Z</dcterms:created>
  <dcterms:modified xsi:type="dcterms:W3CDTF">2025-12-02T20:03:54Z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